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w:t>
      </w:r>
      <w:r>
        <w:rPr>
          <w:rFonts w:hint="eastAsia"/>
          <w:b/>
          <w:bCs/>
          <w:sz w:val="36"/>
          <w:szCs w:val="36"/>
          <w:lang w:val="en-US" w:eastAsia="zh-CN"/>
        </w:rPr>
        <w:t>40万吨/年高性能树脂多联产循环经济项目</w:t>
      </w:r>
    </w:p>
    <w:p>
      <w:pPr>
        <w:jc w:val="center"/>
        <w:rPr>
          <w:rFonts w:hint="eastAsia"/>
          <w:b/>
          <w:bCs/>
          <w:sz w:val="36"/>
          <w:szCs w:val="36"/>
          <w:lang w:val="en-US" w:eastAsia="zh-CN"/>
        </w:rPr>
      </w:pPr>
      <w:bookmarkStart w:id="0" w:name="_GoBack"/>
      <w:bookmarkEnd w:id="0"/>
      <w:r>
        <w:rPr>
          <w:rFonts w:hint="eastAsia"/>
          <w:b/>
          <w:bCs/>
          <w:sz w:val="36"/>
          <w:szCs w:val="36"/>
          <w:lang w:val="en-US" w:eastAsia="zh-CN"/>
        </w:rPr>
        <w:t>配套原料堆场建设项目环境影响评价文件的公示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40万吨/年高性能树脂多联产循环经济项目配套原料堆场建设项目环境影响评价文件作出审批意见。为保证此次审批工作的严肃性和公正性，现将拟作出审批意见的环境影响评价文件基本情况予以公示，公示期为2017年10月17日-2017年10月23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40万吨/年高性能树脂多联产循环经济项目配套原料堆场建设项目环境影响评价文件审批意见要求听证。</w:t>
      </w:r>
    </w:p>
    <w:tbl>
      <w:tblPr>
        <w:tblStyle w:val="11"/>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主要环境影响及预防或者减轻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40万吨/年高性能树脂多联产循环经济项目配套原料堆场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本项目位于固原盐化工循环经济扶贫示范区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宁夏金昱元广拓能源有限公司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宁夏回族自治区石油化工环境科学研究院（有限公司）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宁夏金昱元广拓能源有限公司已建设年产40万吨高性能树脂多联产循环经济项目一期工程，根据其电石子项目生产原辅材料消耗水平计算，为满足50天的生产需求，项目需储存10.2万吨兰炭和24万吨石灰石。为满足项目建设原料供应和环境保护要求，宁夏金昱元广拓能源有限公司（以下简称“建设单位”）决定于电石项目东侧厂区现有空地建设“40万吨/年高性能树脂多联产循环经济项目配套原料堆场工程”（以下简称“本项目”）。本项目占地135.78亩（90520m2），建设2座兰炭堆棚、1座兰炭堆场、1座石灰石堆场、1座事故处理区及绿化带等附属工程。项目建成后可储存石灰石109090m3、兰炭127500m3。项目总投资2500万元，建设周期1个月，计划于2017年11月投产运行。本项目占地135.78亩（90520m2），可储存石灰石109090m3、兰炭127500m3。建设内容包括2座兰炭堆棚、1座兰炭堆场、1座石灰石堆场、1座事故处理区及绿化带等附属工程。本项目总投资2500万元，其中环保投资187万元。</w:t>
            </w:r>
          </w:p>
          <w:p>
            <w:pPr>
              <w:jc w:val="left"/>
              <w:rPr>
                <w:rFonts w:hint="eastAsia"/>
                <w:sz w:val="24"/>
                <w:szCs w:val="24"/>
                <w:lang w:val="en-US" w:eastAsia="zh-CN"/>
              </w:rPr>
            </w:pP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sz w:val="24"/>
                <w:szCs w:val="24"/>
                <w:lang w:val="en-US" w:eastAsia="zh-CN"/>
              </w:rPr>
            </w:pPr>
            <w:r>
              <w:rPr>
                <w:rFonts w:hint="eastAsia"/>
                <w:sz w:val="24"/>
                <w:szCs w:val="24"/>
                <w:lang w:val="en-US" w:eastAsia="zh-CN"/>
              </w:rPr>
              <w:t>施工期</w:t>
            </w:r>
          </w:p>
          <w:p>
            <w:pPr>
              <w:numPr>
                <w:ilvl w:val="0"/>
                <w:numId w:val="1"/>
              </w:numPr>
              <w:jc w:val="left"/>
              <w:rPr>
                <w:rFonts w:hint="eastAsia"/>
                <w:sz w:val="24"/>
                <w:szCs w:val="24"/>
                <w:lang w:val="en-US" w:eastAsia="zh-CN"/>
              </w:rPr>
            </w:pPr>
            <w:r>
              <w:rPr>
                <w:rFonts w:hint="eastAsia"/>
                <w:sz w:val="24"/>
                <w:szCs w:val="24"/>
                <w:lang w:val="en-US" w:eastAsia="zh-CN"/>
              </w:rPr>
              <w:t>大气环境：⑴运输道路扬尘：限速行驶及保持路面的清洁；⑵施工现场扬尘：①严格控制施工作业范围，施工车辆必须行驶在指定道路范围内；②禁止运输车辆装载过满，汽车运输的沙石、渣土或其他粉状建筑材料要用篷布进行遮盖，杜绝粉状物料沿途抛洒，文明装卸和驾驶，在装卸点须对散落在车辆外部的物料进行清扫；③施工场地和临时堆土场非雨天时适时洒水；④风速四级及以上易产生扬尘时，施工单位暂停土石方开挖，同时采取覆盖、湿润等措施降低扬尘污染；⑶施工机械废气：施工单位应选用出厂合格的施工机械和运输工具，并确保其废气排放符合国家有关标准，加强对机械设备的养护，减少不必要的空转时间，以控制尾气排放，降低车辆尾气污染。</w:t>
            </w:r>
          </w:p>
          <w:p>
            <w:pPr>
              <w:numPr>
                <w:ilvl w:val="0"/>
                <w:numId w:val="1"/>
              </w:numPr>
              <w:jc w:val="left"/>
              <w:rPr>
                <w:rFonts w:hint="eastAsia"/>
                <w:sz w:val="24"/>
                <w:szCs w:val="24"/>
                <w:lang w:val="en-US" w:eastAsia="zh-CN"/>
              </w:rPr>
            </w:pPr>
            <w:r>
              <w:rPr>
                <w:rFonts w:hint="eastAsia"/>
                <w:sz w:val="24"/>
                <w:szCs w:val="24"/>
                <w:lang w:val="en-US" w:eastAsia="zh-CN"/>
              </w:rPr>
              <w:t>水环境：⑴生活污水：本项目不设施工营地，施工人员可依托厂区现有生活设施；⑵废水：施工废水产生量小，具有间断性，上层清夜回用于物料冲洗等用水环节。施工废水主要含有悬浮物，施工场次设施临时沉淀池，沉淀池中的泥沙每周清除一次，沉淀泥浆作为建筑原材料利用，不外排，上层清夜回用。</w:t>
            </w:r>
          </w:p>
          <w:p>
            <w:pPr>
              <w:numPr>
                <w:ilvl w:val="0"/>
                <w:numId w:val="1"/>
              </w:numPr>
              <w:jc w:val="left"/>
              <w:rPr>
                <w:rFonts w:hint="eastAsia"/>
                <w:sz w:val="24"/>
                <w:szCs w:val="24"/>
                <w:lang w:val="en-US" w:eastAsia="zh-CN"/>
              </w:rPr>
            </w:pPr>
            <w:r>
              <w:rPr>
                <w:rFonts w:hint="eastAsia"/>
                <w:sz w:val="24"/>
                <w:szCs w:val="24"/>
                <w:lang w:val="en-US" w:eastAsia="zh-CN"/>
              </w:rPr>
              <w:t>噪声：①严格规定各种有高噪声的机械设备的工作时间，将产生高噪声的机械设备作业时间安排在不敏感时段，并避免在同一地点安排大量动力机械设备，以免局部累积声级过高。②对动力机械设备进行定期的维修、养护，避免设备因松动部件的振动或消声器的损坏而增加其工作时的声压级；设备用完后或不用时应立即关闭。③加强管理，文明施工，尽量减少人为噪声。④如果确需夜间施工，须到环保部门办理夜间施工审批手续。</w:t>
            </w:r>
          </w:p>
          <w:p>
            <w:pPr>
              <w:numPr>
                <w:ilvl w:val="0"/>
                <w:numId w:val="1"/>
              </w:numPr>
              <w:jc w:val="left"/>
              <w:rPr>
                <w:rFonts w:hint="eastAsia"/>
                <w:sz w:val="24"/>
                <w:szCs w:val="24"/>
                <w:lang w:val="en-US" w:eastAsia="zh-CN"/>
              </w:rPr>
            </w:pPr>
            <w:r>
              <w:rPr>
                <w:rFonts w:hint="eastAsia"/>
                <w:sz w:val="24"/>
                <w:szCs w:val="24"/>
                <w:lang w:val="en-US" w:eastAsia="zh-CN"/>
              </w:rPr>
              <w:t>固体废物：分类收集后将可回收的废物综合利用或定期销售，不可回收的垃圾及时清运至政府指定地点处置，同时采取必要措施，加强对临时堆存点、运输过程中的管理。</w:t>
            </w:r>
          </w:p>
          <w:p>
            <w:pPr>
              <w:numPr>
                <w:numId w:val="0"/>
              </w:numPr>
              <w:ind w:firstLine="480" w:firstLineChars="200"/>
              <w:jc w:val="left"/>
              <w:rPr>
                <w:rFonts w:hint="eastAsia"/>
                <w:sz w:val="24"/>
                <w:szCs w:val="24"/>
                <w:lang w:val="en-US" w:eastAsia="zh-CN"/>
              </w:rPr>
            </w:pPr>
            <w:r>
              <w:rPr>
                <w:rFonts w:hint="eastAsia"/>
                <w:sz w:val="24"/>
                <w:szCs w:val="24"/>
                <w:lang w:val="en-US" w:eastAsia="zh-CN"/>
              </w:rPr>
              <w:t>运营期</w:t>
            </w:r>
          </w:p>
          <w:p>
            <w:pPr>
              <w:numPr>
                <w:ilvl w:val="0"/>
                <w:numId w:val="2"/>
              </w:numPr>
              <w:jc w:val="left"/>
              <w:rPr>
                <w:rFonts w:hint="eastAsia"/>
                <w:sz w:val="24"/>
                <w:szCs w:val="24"/>
                <w:lang w:val="en-US" w:eastAsia="zh-CN"/>
              </w:rPr>
            </w:pPr>
            <w:r>
              <w:rPr>
                <w:rFonts w:hint="eastAsia"/>
                <w:sz w:val="24"/>
                <w:szCs w:val="24"/>
                <w:lang w:val="en-US" w:eastAsia="zh-CN"/>
              </w:rPr>
              <w:t>大气环境：</w:t>
            </w:r>
            <w:r>
              <w:rPr>
                <w:rFonts w:hint="eastAsia"/>
                <w:sz w:val="24"/>
                <w:szCs w:val="24"/>
                <w:lang w:val="en-US" w:eastAsia="zh-CN"/>
              </w:rPr>
              <w:fldChar w:fldCharType="begin"/>
            </w:r>
            <w:r>
              <w:rPr>
                <w:rFonts w:hint="eastAsia"/>
                <w:sz w:val="24"/>
                <w:szCs w:val="24"/>
                <w:lang w:val="en-US" w:eastAsia="zh-CN"/>
              </w:rPr>
              <w:instrText xml:space="preserve"> = 1 \* GB2 </w:instrText>
            </w:r>
            <w:r>
              <w:rPr>
                <w:rFonts w:hint="eastAsia"/>
                <w:sz w:val="24"/>
                <w:szCs w:val="24"/>
                <w:lang w:val="en-US" w:eastAsia="zh-CN"/>
              </w:rPr>
              <w:fldChar w:fldCharType="separate"/>
            </w:r>
            <w:r>
              <w:rPr>
                <w:rFonts w:hint="eastAsia"/>
                <w:sz w:val="24"/>
                <w:szCs w:val="24"/>
                <w:lang w:val="en-US" w:eastAsia="zh-CN"/>
              </w:rPr>
              <w:t>⑴</w:t>
            </w:r>
            <w:r>
              <w:rPr>
                <w:rFonts w:hint="eastAsia"/>
                <w:sz w:val="24"/>
                <w:szCs w:val="24"/>
                <w:lang w:val="en-US" w:eastAsia="zh-CN"/>
              </w:rPr>
              <w:fldChar w:fldCharType="end"/>
            </w:r>
            <w:r>
              <w:rPr>
                <w:rFonts w:hint="eastAsia"/>
                <w:sz w:val="24"/>
                <w:szCs w:val="24"/>
                <w:lang w:val="en-US" w:eastAsia="zh-CN"/>
              </w:rPr>
              <w:t>卸车堆存起尘：本项目位于工业园区内，无环境敏感点，地势开阔，通风条件较好，整个堆场四周设置防风抑尘网，小颗粒石灰石物料堆场区域设置于进料口附近，并进行长期苫盖，露天堆场同时设置洒水抑尘设施，采用苫布覆盖等措施，大风天气减慢卸料堆装速度，加大洒水力度。</w:t>
            </w:r>
            <w:r>
              <w:rPr>
                <w:rFonts w:hint="eastAsia"/>
                <w:sz w:val="24"/>
                <w:szCs w:val="24"/>
                <w:lang w:val="en-US" w:eastAsia="zh-CN"/>
              </w:rPr>
              <w:fldChar w:fldCharType="begin"/>
            </w:r>
            <w:r>
              <w:rPr>
                <w:rFonts w:hint="eastAsia"/>
                <w:sz w:val="24"/>
                <w:szCs w:val="24"/>
                <w:lang w:val="en-US" w:eastAsia="zh-CN"/>
              </w:rPr>
              <w:instrText xml:space="preserve"> = 2 \* GB2 </w:instrText>
            </w:r>
            <w:r>
              <w:rPr>
                <w:rFonts w:hint="eastAsia"/>
                <w:sz w:val="24"/>
                <w:szCs w:val="24"/>
                <w:lang w:val="en-US" w:eastAsia="zh-CN"/>
              </w:rPr>
              <w:fldChar w:fldCharType="separate"/>
            </w:r>
            <w:r>
              <w:rPr>
                <w:rFonts w:hint="eastAsia"/>
                <w:sz w:val="24"/>
                <w:szCs w:val="24"/>
                <w:lang w:val="en-US" w:eastAsia="zh-CN"/>
              </w:rPr>
              <w:t>⑵</w:t>
            </w:r>
            <w:r>
              <w:rPr>
                <w:rFonts w:hint="eastAsia"/>
                <w:sz w:val="24"/>
                <w:szCs w:val="24"/>
                <w:lang w:val="en-US" w:eastAsia="zh-CN"/>
              </w:rPr>
              <w:fldChar w:fldCharType="end"/>
            </w:r>
            <w:r>
              <w:rPr>
                <w:rFonts w:hint="eastAsia"/>
                <w:sz w:val="24"/>
                <w:szCs w:val="24"/>
                <w:lang w:val="en-US" w:eastAsia="zh-CN"/>
              </w:rPr>
              <w:t>上料粉尘：由密闭上料通廊送料，在每个上料通廊进口设置集气罩收集粉尘，收集后的粉尘经除尘效率为99%的布袋除尘器处理后，由15m高排气筒排放。</w:t>
            </w:r>
            <w:r>
              <w:rPr>
                <w:rFonts w:hint="eastAsia"/>
                <w:sz w:val="24"/>
                <w:szCs w:val="24"/>
                <w:lang w:val="en-US" w:eastAsia="zh-CN"/>
              </w:rPr>
              <w:fldChar w:fldCharType="begin"/>
            </w:r>
            <w:r>
              <w:rPr>
                <w:rFonts w:hint="eastAsia"/>
                <w:sz w:val="24"/>
                <w:szCs w:val="24"/>
                <w:lang w:val="en-US" w:eastAsia="zh-CN"/>
              </w:rPr>
              <w:instrText xml:space="preserve"> = 3 \* GB2 </w:instrText>
            </w:r>
            <w:r>
              <w:rPr>
                <w:rFonts w:hint="eastAsia"/>
                <w:sz w:val="24"/>
                <w:szCs w:val="24"/>
                <w:lang w:val="en-US" w:eastAsia="zh-CN"/>
              </w:rPr>
              <w:fldChar w:fldCharType="separate"/>
            </w:r>
            <w:r>
              <w:rPr>
                <w:rFonts w:hint="eastAsia"/>
                <w:sz w:val="24"/>
                <w:szCs w:val="24"/>
                <w:lang w:val="en-US" w:eastAsia="zh-CN"/>
              </w:rPr>
              <w:t>⑶</w:t>
            </w:r>
            <w:r>
              <w:rPr>
                <w:rFonts w:hint="eastAsia"/>
                <w:sz w:val="24"/>
                <w:szCs w:val="24"/>
                <w:lang w:val="en-US" w:eastAsia="zh-CN"/>
              </w:rPr>
              <w:fldChar w:fldCharType="end"/>
            </w:r>
            <w:r>
              <w:rPr>
                <w:rFonts w:hint="eastAsia"/>
                <w:sz w:val="24"/>
                <w:szCs w:val="24"/>
                <w:lang w:val="en-US" w:eastAsia="zh-CN"/>
              </w:rPr>
              <w:t>运输扬尘：运输车辆加盖蓬布密闭，不得超载，以减少抛洒；对运输道路应及时清扫、冲洗，以减轻车辆行驶扬尘的产生。</w:t>
            </w:r>
            <w:r>
              <w:rPr>
                <w:rFonts w:hint="eastAsia"/>
                <w:sz w:val="24"/>
                <w:szCs w:val="24"/>
                <w:lang w:val="en-US" w:eastAsia="zh-CN"/>
              </w:rPr>
              <w:fldChar w:fldCharType="begin"/>
            </w:r>
            <w:r>
              <w:rPr>
                <w:rFonts w:hint="eastAsia"/>
                <w:sz w:val="24"/>
                <w:szCs w:val="24"/>
                <w:lang w:val="en-US" w:eastAsia="zh-CN"/>
              </w:rPr>
              <w:instrText xml:space="preserve"> = 4 \* GB2 </w:instrText>
            </w:r>
            <w:r>
              <w:rPr>
                <w:rFonts w:hint="eastAsia"/>
                <w:sz w:val="24"/>
                <w:szCs w:val="24"/>
                <w:lang w:val="en-US" w:eastAsia="zh-CN"/>
              </w:rPr>
              <w:fldChar w:fldCharType="separate"/>
            </w:r>
            <w:r>
              <w:rPr>
                <w:rFonts w:hint="eastAsia"/>
                <w:sz w:val="24"/>
                <w:szCs w:val="24"/>
                <w:lang w:val="en-US" w:eastAsia="zh-CN"/>
              </w:rPr>
              <w:t>⑷</w:t>
            </w:r>
            <w:r>
              <w:rPr>
                <w:rFonts w:hint="eastAsia"/>
                <w:sz w:val="24"/>
                <w:szCs w:val="24"/>
                <w:lang w:val="en-US" w:eastAsia="zh-CN"/>
              </w:rPr>
              <w:fldChar w:fldCharType="end"/>
            </w:r>
            <w:r>
              <w:rPr>
                <w:rFonts w:hint="eastAsia"/>
                <w:sz w:val="24"/>
                <w:szCs w:val="24"/>
                <w:lang w:val="en-US" w:eastAsia="zh-CN"/>
              </w:rPr>
              <w:t>卫生防护距离：本项目卫生防护距离定为50m，禁止在项目卫生防护距离范围内新建居民点、医院、学校等环境敏感点。</w:t>
            </w:r>
          </w:p>
          <w:p>
            <w:pPr>
              <w:numPr>
                <w:ilvl w:val="0"/>
                <w:numId w:val="2"/>
              </w:numPr>
              <w:jc w:val="left"/>
              <w:rPr>
                <w:rFonts w:hint="eastAsia"/>
                <w:sz w:val="24"/>
                <w:szCs w:val="24"/>
                <w:lang w:val="en-US" w:eastAsia="zh-CN"/>
              </w:rPr>
            </w:pPr>
            <w:r>
              <w:rPr>
                <w:rFonts w:hint="eastAsia"/>
                <w:sz w:val="24"/>
                <w:szCs w:val="24"/>
                <w:lang w:val="en-US" w:eastAsia="zh-CN"/>
              </w:rPr>
              <w:t>地表水环境：</w:t>
            </w:r>
            <w:r>
              <w:rPr>
                <w:rFonts w:hint="eastAsia"/>
                <w:sz w:val="24"/>
                <w:szCs w:val="24"/>
                <w:lang w:val="en-US" w:eastAsia="zh-CN"/>
              </w:rPr>
              <w:fldChar w:fldCharType="begin"/>
            </w:r>
            <w:r>
              <w:rPr>
                <w:rFonts w:hint="eastAsia"/>
                <w:sz w:val="24"/>
                <w:szCs w:val="24"/>
                <w:lang w:val="en-US" w:eastAsia="zh-CN"/>
              </w:rPr>
              <w:instrText xml:space="preserve"> = 1 \* GB2 </w:instrText>
            </w:r>
            <w:r>
              <w:rPr>
                <w:rFonts w:hint="eastAsia"/>
                <w:sz w:val="24"/>
                <w:szCs w:val="24"/>
                <w:lang w:val="en-US" w:eastAsia="zh-CN"/>
              </w:rPr>
              <w:fldChar w:fldCharType="separate"/>
            </w:r>
            <w:r>
              <w:rPr>
                <w:rFonts w:hint="eastAsia"/>
                <w:sz w:val="24"/>
                <w:szCs w:val="24"/>
                <w:lang w:val="en-US" w:eastAsia="zh-CN"/>
              </w:rPr>
              <w:t>⑴</w:t>
            </w:r>
            <w:r>
              <w:rPr>
                <w:rFonts w:hint="eastAsia"/>
                <w:sz w:val="24"/>
                <w:szCs w:val="24"/>
                <w:lang w:val="en-US" w:eastAsia="zh-CN"/>
              </w:rPr>
              <w:fldChar w:fldCharType="end"/>
            </w:r>
            <w:r>
              <w:rPr>
                <w:rFonts w:hint="eastAsia"/>
                <w:sz w:val="24"/>
                <w:szCs w:val="24"/>
                <w:lang w:val="en-US" w:eastAsia="zh-CN"/>
              </w:rPr>
              <w:t>初期雨水：在堆场区域设置雨水收集管道、切换阀和1座100m3的雨水收集池收集初期雨水，沉淀后回用于堆场洒水抑尘；后期无污染雨水通过阀门切换井切换到清净雨水系统排入园区雨水管网。</w:t>
            </w:r>
            <w:r>
              <w:rPr>
                <w:rFonts w:hint="eastAsia"/>
                <w:sz w:val="24"/>
                <w:szCs w:val="24"/>
                <w:lang w:val="en-US" w:eastAsia="zh-CN"/>
              </w:rPr>
              <w:fldChar w:fldCharType="begin"/>
            </w:r>
            <w:r>
              <w:rPr>
                <w:rFonts w:hint="eastAsia"/>
                <w:sz w:val="24"/>
                <w:szCs w:val="24"/>
                <w:lang w:val="en-US" w:eastAsia="zh-CN"/>
              </w:rPr>
              <w:instrText xml:space="preserve"> = 2 \* GB2 </w:instrText>
            </w:r>
            <w:r>
              <w:rPr>
                <w:rFonts w:hint="eastAsia"/>
                <w:sz w:val="24"/>
                <w:szCs w:val="24"/>
                <w:lang w:val="en-US" w:eastAsia="zh-CN"/>
              </w:rPr>
              <w:fldChar w:fldCharType="separate"/>
            </w:r>
            <w:r>
              <w:rPr>
                <w:rFonts w:hint="eastAsia"/>
                <w:sz w:val="24"/>
                <w:szCs w:val="24"/>
                <w:lang w:val="en-US" w:eastAsia="zh-CN"/>
              </w:rPr>
              <w:t>⑵</w:t>
            </w:r>
            <w:r>
              <w:rPr>
                <w:rFonts w:hint="eastAsia"/>
                <w:sz w:val="24"/>
                <w:szCs w:val="24"/>
                <w:lang w:val="en-US" w:eastAsia="zh-CN"/>
              </w:rPr>
              <w:fldChar w:fldCharType="end"/>
            </w:r>
            <w:r>
              <w:rPr>
                <w:rFonts w:hint="eastAsia"/>
                <w:sz w:val="24"/>
                <w:szCs w:val="24"/>
                <w:lang w:val="en-US" w:eastAsia="zh-CN"/>
              </w:rPr>
              <w:t>消防废水：在堆场设置消防废水收集管道和切换阀，发生火灾事故时，收集事故消防废水送至厂区现有事故废水收集池（总容积10000m3），然后均匀注入厂区现有污水处理厂集中处置。</w:t>
            </w:r>
          </w:p>
          <w:p>
            <w:pPr>
              <w:numPr>
                <w:ilvl w:val="0"/>
                <w:numId w:val="2"/>
              </w:numPr>
              <w:jc w:val="left"/>
              <w:rPr>
                <w:rFonts w:hint="eastAsia"/>
                <w:sz w:val="24"/>
                <w:szCs w:val="24"/>
                <w:lang w:val="en-US" w:eastAsia="zh-CN"/>
              </w:rPr>
            </w:pPr>
            <w:r>
              <w:rPr>
                <w:rFonts w:hint="eastAsia"/>
                <w:sz w:val="24"/>
                <w:szCs w:val="24"/>
                <w:lang w:val="en-US" w:eastAsia="zh-CN"/>
              </w:rPr>
              <w:t>地下水环境影响：（1）堆场全部范围进行硬化，硬化面积为90520m2（135.78亩），采用300mm厚级配碎石面层，地基层采用300mm厚砂层的方式进行防渗处理。（2）在堆场四周设置截水沟，既防止场外雨水进入堆场而增加渗滤液产生量，又防止堆场污水溢流至堆场外而污染土壤和地下水。</w:t>
            </w:r>
          </w:p>
          <w:p>
            <w:pPr>
              <w:numPr>
                <w:ilvl w:val="0"/>
                <w:numId w:val="2"/>
              </w:numPr>
              <w:jc w:val="left"/>
              <w:rPr>
                <w:rFonts w:hint="eastAsia"/>
                <w:sz w:val="24"/>
                <w:szCs w:val="24"/>
                <w:lang w:val="en-US" w:eastAsia="zh-CN"/>
              </w:rPr>
            </w:pPr>
            <w:r>
              <w:rPr>
                <w:rFonts w:hint="eastAsia"/>
                <w:sz w:val="24"/>
                <w:szCs w:val="24"/>
                <w:lang w:val="en-US" w:eastAsia="zh-CN"/>
              </w:rPr>
              <w:t>声环境：选用低噪声设备以及合理布局等措施以减轻噪声的影响。</w:t>
            </w:r>
          </w:p>
          <w:p>
            <w:pPr>
              <w:numPr>
                <w:ilvl w:val="0"/>
                <w:numId w:val="2"/>
              </w:numPr>
              <w:jc w:val="left"/>
              <w:rPr>
                <w:rFonts w:hint="eastAsia"/>
                <w:sz w:val="24"/>
                <w:szCs w:val="24"/>
                <w:lang w:val="en-US" w:eastAsia="zh-CN"/>
              </w:rPr>
            </w:pPr>
            <w:r>
              <w:rPr>
                <w:rFonts w:hint="eastAsia"/>
                <w:sz w:val="24"/>
                <w:szCs w:val="24"/>
                <w:lang w:val="en-US" w:eastAsia="zh-CN"/>
              </w:rPr>
              <w:t>固体废物：本项目不新增劳动定员，无生活垃圾产生。生产过程中固废仅为布袋收尘器的收尘灰。收尘灰为兰炭和石灰石，总计658.6t/a，均作为原料由密闭输灰管道送入进料口作为原料使用，无固体废物排放。</w:t>
            </w:r>
          </w:p>
          <w:p>
            <w:pPr>
              <w:numPr>
                <w:numId w:val="0"/>
              </w:numPr>
              <w:jc w:val="left"/>
              <w:rPr>
                <w:rFonts w:hint="eastAsia"/>
                <w:sz w:val="24"/>
                <w:szCs w:val="24"/>
                <w:lang w:val="en-US" w:eastAsia="zh-CN"/>
              </w:rPr>
            </w:pPr>
          </w:p>
          <w:p>
            <w:pPr>
              <w:jc w:val="left"/>
              <w:rPr>
                <w:rFonts w:hint="eastAsia"/>
                <w:sz w:val="24"/>
                <w:szCs w:val="24"/>
                <w:lang w:val="en-US" w:eastAsia="zh-CN"/>
              </w:rPr>
            </w:pPr>
          </w:p>
        </w:tc>
      </w:tr>
    </w:tbl>
    <w:p>
      <w:pPr>
        <w:jc w:val="both"/>
        <w:rPr>
          <w:rFonts w:hint="eastAsia"/>
          <w:sz w:val="24"/>
          <w:szCs w:val="24"/>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康简综艺">
    <w:altName w:val="宋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黑体简体">
    <w:altName w:val="黑体"/>
    <w:panose1 w:val="03000509000000000000"/>
    <w:charset w:val="86"/>
    <w:family w:val="script"/>
    <w:pitch w:val="default"/>
    <w:sig w:usb0="00000000" w:usb1="00000000" w:usb2="0000001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imes New Roman”“">
    <w:altName w:val="宋体"/>
    <w:panose1 w:val="00000000000000000000"/>
    <w:charset w:val="86"/>
    <w:family w:val="roman"/>
    <w:pitch w:val="default"/>
    <w:sig w:usb0="00000000" w:usb1="00000000" w:usb2="0000001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Technic">
    <w:panose1 w:val="00000400000000000000"/>
    <w:charset w:val="02"/>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aramond">
    <w:altName w:val="RomanS"/>
    <w:panose1 w:val="02020404030301010803"/>
    <w:charset w:val="00"/>
    <w:family w:val="roman"/>
    <w:pitch w:val="default"/>
    <w:sig w:usb0="00000000" w:usb1="00000000" w:usb2="00000000" w:usb3="00000000" w:csb0="0000009F" w:csb1="DFD70000"/>
  </w:font>
  <w:font w:name="方正仿宋简体">
    <w:altName w:val="微软雅黑"/>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Symusic">
    <w:panose1 w:val="00000400000000000000"/>
    <w:charset w:val="00"/>
    <w:family w:val="auto"/>
    <w:pitch w:val="default"/>
    <w:sig w:usb0="00000001" w:usb1="00000000" w:usb2="00000000" w:usb3="00000000" w:csb0="000001FF" w:csb1="00000000"/>
  </w:font>
  <w:font w:name="CG Times (W1)">
    <w:altName w:val="Times New Roman"/>
    <w:panose1 w:val="00000000000000000000"/>
    <w:charset w:val="00"/>
    <w:family w:val="roman"/>
    <w:pitch w:val="default"/>
    <w:sig w:usb0="00000000" w:usb1="00000000" w:usb2="00000000" w:usb3="00000000" w:csb0="00000001" w:csb1="00000000"/>
  </w:font>
  <w:font w:name="?l?r ｨC?｡ｯ?">
    <w:altName w:val="MS Mincho"/>
    <w:panose1 w:val="00000000000000000000"/>
    <w:charset w:val="80"/>
    <w:family w:val="roman"/>
    <w:pitch w:val="default"/>
    <w:sig w:usb0="00000000" w:usb1="00000000" w:usb2="00000010" w:usb3="00000000" w:csb0="00020000" w:csb1="00000000"/>
  </w:font>
  <w:font w:name="Arial Black">
    <w:panose1 w:val="020B0A04020102020204"/>
    <w:charset w:val="00"/>
    <w:family w:val="swiss"/>
    <w:pitch w:val="default"/>
    <w:sig w:usb0="00000287" w:usb1="00000000" w:usb2="00000000" w:usb3="00000000" w:csb0="2000009F" w:csb1="DFD70000"/>
  </w:font>
  <w:font w:name="汉鼎简书宋">
    <w:altName w:val="宋体"/>
    <w:panose1 w:val="0201060901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altName w:val="仿宋_GB2312"/>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仿宋体">
    <w:altName w:val="仿宋_GB2312"/>
    <w:panose1 w:val="02010600030101010101"/>
    <w:charset w:val="86"/>
    <w:family w:val="roman"/>
    <w:pitch w:val="default"/>
    <w:sig w:usb0="00000000" w:usb1="00000000" w:usb2="0000001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Century">
    <w:altName w:val="GulimChe"/>
    <w:panose1 w:val="02040603050705020303"/>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00" w:usb3="00000000" w:csb0="0004009F" w:csb1="DFD70000"/>
  </w:font>
  <w:font w:name="Bookman Old Style">
    <w:altName w:val="Georgia"/>
    <w:panose1 w:val="02050604050505020204"/>
    <w:charset w:val="00"/>
    <w:family w:val="roman"/>
    <w:pitch w:val="default"/>
    <w:sig w:usb0="00000000" w:usb1="00000000" w:usb2="00000000" w:usb3="00000000" w:csb0="2000009F" w:csb1="DFD70000"/>
  </w:font>
  <w:font w:name="ˎ̥">
    <w:altName w:val="Times New Roman"/>
    <w:panose1 w:val="00000000000000000000"/>
    <w:charset w:val="00"/>
    <w:family w:val="auto"/>
    <w:pitch w:val="default"/>
    <w:sig w:usb0="00000000" w:usb1="00000000" w:usb2="00000000" w:usb3="00000000" w:csb0="00040001" w:csb1="00000000"/>
  </w:font>
  <w:font w:name="Verdana, Arial, 宋体">
    <w:altName w:val="宋体"/>
    <w:panose1 w:val="00000000000000000000"/>
    <w:charset w:val="86"/>
    <w:family w:val="roma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MingLiU_HKSCS">
    <w:panose1 w:val="02020500000000000000"/>
    <w:charset w:val="88"/>
    <w:family w:val="roman"/>
    <w:pitch w:val="default"/>
    <w:sig w:usb0="A00002FF" w:usb1="38CFFCFA" w:usb2="00000016" w:usb3="00000000" w:csb0="00100001" w:csb1="00000000"/>
  </w:font>
  <w:font w:name="RomanS">
    <w:panose1 w:val="02000400000000000000"/>
    <w:charset w:val="00"/>
    <w:family w:val="auto"/>
    <w:pitch w:val="default"/>
    <w:sig w:usb0="00000207"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Georgia">
    <w:panose1 w:val="02040502050405020303"/>
    <w:charset w:val="00"/>
    <w:family w:val="auto"/>
    <w:pitch w:val="default"/>
    <w:sig w:usb0="00000287" w:usb1="00000000" w:usb2="00000000" w:usb3="00000000" w:csb0="2000009F" w:csb1="00000000"/>
  </w:font>
  <w:font w:name="AdobeSongStd-Light">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DFKaiShuW5SymbolU-B5">
    <w:altName w:val="Microsoft JhengHei"/>
    <w:panose1 w:val="00000000000000000000"/>
    <w:charset w:val="88"/>
    <w:family w:val="script"/>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C564"/>
    <w:multiLevelType w:val="singleLevel"/>
    <w:tmpl w:val="59E5C564"/>
    <w:lvl w:ilvl="0" w:tentative="0">
      <w:start w:val="1"/>
      <w:numFmt w:val="chineseCounting"/>
      <w:suff w:val="nothing"/>
      <w:lvlText w:val="%1、"/>
      <w:lvlJc w:val="left"/>
    </w:lvl>
  </w:abstractNum>
  <w:abstractNum w:abstractNumId="1">
    <w:nsid w:val="59E5C6F3"/>
    <w:multiLevelType w:val="singleLevel"/>
    <w:tmpl w:val="59E5C6F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9922BC2"/>
    <w:rsid w:val="1220271E"/>
    <w:rsid w:val="1BAB20EB"/>
    <w:rsid w:val="1F892C8D"/>
    <w:rsid w:val="2A386D4B"/>
    <w:rsid w:val="3E89231A"/>
    <w:rsid w:val="46E15135"/>
    <w:rsid w:val="4D3D6BCD"/>
    <w:rsid w:val="4DAB1B77"/>
    <w:rsid w:val="689C25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3">
    <w:name w:val="heading 4"/>
    <w:basedOn w:val="1"/>
    <w:next w:val="1"/>
    <w:unhideWhenUsed/>
    <w:qFormat/>
    <w:uiPriority w:val="0"/>
    <w:pPr>
      <w:keepNext/>
      <w:keepLines/>
      <w:spacing w:line="520" w:lineRule="exact"/>
      <w:outlineLvl w:val="3"/>
    </w:pPr>
    <w:rPr>
      <w:b/>
      <w:bCs/>
      <w:kern w:val="0"/>
      <w:sz w:val="24"/>
      <w:szCs w:val="28"/>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kern w:val="0"/>
      <w:sz w:val="20"/>
      <w:szCs w:val="20"/>
    </w:rPr>
  </w:style>
  <w:style w:type="paragraph" w:styleId="5">
    <w:name w:val="Body Text"/>
    <w:basedOn w:val="1"/>
    <w:uiPriority w:val="0"/>
    <w:pPr>
      <w:widowControl/>
      <w:spacing w:after="120"/>
      <w:jc w:val="left"/>
    </w:pPr>
    <w:rPr>
      <w:rFonts w:ascii="宋体" w:hAnsi="宋体" w:cs="宋体"/>
      <w:kern w:val="0"/>
      <w:sz w:val="24"/>
      <w:szCs w:val="24"/>
    </w:rPr>
  </w:style>
  <w:style w:type="paragraph" w:styleId="6">
    <w:name w:val="Body Text Indent"/>
    <w:basedOn w:val="1"/>
    <w:qFormat/>
    <w:uiPriority w:val="0"/>
    <w:pPr>
      <w:spacing w:after="120"/>
      <w:ind w:left="420"/>
    </w:pPr>
  </w:style>
  <w:style w:type="paragraph" w:styleId="7">
    <w:name w:val="Plain Text"/>
    <w:basedOn w:val="1"/>
    <w:qFormat/>
    <w:uiPriority w:val="0"/>
    <w:rPr>
      <w:rFonts w:ascii="宋体" w:hAnsi="Courier New"/>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Body Text Indent 3"/>
    <w:basedOn w:val="1"/>
    <w:qFormat/>
    <w:uiPriority w:val="0"/>
    <w:pPr>
      <w:spacing w:after="120"/>
      <w:ind w:left="420"/>
    </w:pPr>
    <w:rPr>
      <w:sz w:val="16"/>
      <w:szCs w:val="16"/>
    </w:rPr>
  </w:style>
  <w:style w:type="paragraph" w:customStyle="1" w:styleId="12">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3">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4">
    <w:name w:val="报告书：表格表头"/>
    <w:basedOn w:val="1"/>
    <w:next w:val="1"/>
    <w:uiPriority w:val="0"/>
    <w:pPr>
      <w:jc w:val="center"/>
    </w:pPr>
    <w:rPr>
      <w:rFonts w:eastAsia="仿宋_GB2312"/>
      <w:b/>
      <w:szCs w:val="24"/>
    </w:rPr>
  </w:style>
  <w:style w:type="paragraph" w:customStyle="1" w:styleId="15">
    <w:name w:val="报告书：表格正文"/>
    <w:basedOn w:val="1"/>
    <w:qFormat/>
    <w:uiPriority w:val="0"/>
    <w:pPr>
      <w:jc w:val="center"/>
    </w:pPr>
    <w:rPr>
      <w:rFonts w:eastAsia="仿宋_GB2312"/>
      <w:szCs w:val="24"/>
    </w:rPr>
  </w:style>
  <w:style w:type="paragraph" w:customStyle="1" w:styleId="16">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Administrator</cp:lastModifiedBy>
  <dcterms:modified xsi:type="dcterms:W3CDTF">2017-10-17T09:06:36Z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