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textAlignment w:val="auto"/>
        <w:rPr>
          <w:rFonts w:ascii="黑体" w:hAnsi="黑体" w:eastAsia="黑体"/>
          <w:kern w:val="0"/>
          <w:sz w:val="32"/>
          <w:szCs w:val="32"/>
          <w:u w:val="none"/>
        </w:rPr>
      </w:pPr>
      <w:r>
        <w:rPr>
          <w:rFonts w:ascii="黑体" w:hAnsi="黑体" w:eastAsia="黑体"/>
          <w:kern w:val="0"/>
          <w:sz w:val="32"/>
          <w:szCs w:val="32"/>
          <w:u w:val="none"/>
        </w:rPr>
        <w:t>附件1</w:t>
      </w: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firstLine="680" w:firstLineChars="200"/>
        <w:textAlignment w:val="auto"/>
        <w:rPr>
          <w:rFonts w:hint="eastAsia"/>
          <w:kern w:val="0"/>
          <w:sz w:val="34"/>
          <w:szCs w:val="34"/>
          <w:u w:val="none"/>
        </w:rPr>
      </w:pPr>
    </w:p>
    <w:p>
      <w:pPr>
        <w:keepNext w:val="0"/>
        <w:keepLines w:val="0"/>
        <w:pageBreakBefore w:val="0"/>
        <w:widowControl w:val="0"/>
        <w:kinsoku/>
        <w:wordWrap/>
        <w:overflowPunct/>
        <w:topLinePunct w:val="0"/>
        <w:autoSpaceDE/>
        <w:autoSpaceDN w:val="0"/>
        <w:bidi w:val="0"/>
        <w:adjustRightInd w:val="0"/>
        <w:snapToGrid w:val="0"/>
        <w:spacing w:line="580" w:lineRule="exact"/>
        <w:ind w:left="0" w:leftChars="0" w:right="0" w:rightChars="0"/>
        <w:jc w:val="center"/>
        <w:textAlignment w:val="auto"/>
        <w:rPr>
          <w:rFonts w:hint="eastAsia" w:ascii="方正小标宋_GBK" w:eastAsia="方正小标宋_GBK"/>
          <w:kern w:val="0"/>
          <w:sz w:val="44"/>
          <w:szCs w:val="44"/>
          <w:u w:val="none"/>
        </w:rPr>
      </w:pPr>
      <w:r>
        <w:rPr>
          <w:rFonts w:hint="eastAsia" w:ascii="方正小标宋_GBK" w:eastAsia="方正小标宋_GBK"/>
          <w:kern w:val="0"/>
          <w:sz w:val="44"/>
          <w:szCs w:val="44"/>
          <w:u w:val="none"/>
        </w:rPr>
        <w:t>土地扶持政策汇编</w:t>
      </w:r>
    </w:p>
    <w:p>
      <w:pPr>
        <w:pStyle w:val="4"/>
        <w:keepNext w:val="0"/>
        <w:keepLines w:val="0"/>
        <w:pageBreakBefore w:val="0"/>
        <w:widowControl w:val="0"/>
        <w:kinsoku/>
        <w:wordWrap/>
        <w:overflowPunct/>
        <w:topLinePunct w:val="0"/>
        <w:autoSpaceDE/>
        <w:bidi w:val="0"/>
        <w:adjustRightInd w:val="0"/>
        <w:snapToGrid w:val="0"/>
        <w:spacing w:before="0" w:beforeAutospacing="0" w:after="0" w:afterAutospacing="0" w:line="580" w:lineRule="exact"/>
        <w:ind w:left="0" w:leftChars="0" w:right="0" w:rightChars="0" w:firstLine="680" w:firstLineChars="200"/>
        <w:jc w:val="both"/>
        <w:textAlignment w:val="auto"/>
        <w:rPr>
          <w:rFonts w:ascii="Times New Roman" w:hAnsi="Times New Roman" w:eastAsia="仿宋_GB2312" w:cs="Times New Roman"/>
          <w:sz w:val="34"/>
          <w:szCs w:val="34"/>
          <w:u w:val="none"/>
        </w:rPr>
      </w:pPr>
    </w:p>
    <w:p>
      <w:pPr>
        <w:pStyle w:val="4"/>
        <w:keepNext w:val="0"/>
        <w:keepLines w:val="0"/>
        <w:pageBreakBefore w:val="0"/>
        <w:widowControl w:val="0"/>
        <w:kinsoku/>
        <w:wordWrap/>
        <w:overflowPunct/>
        <w:topLinePunct w:val="0"/>
        <w:autoSpaceDE/>
        <w:bidi w:val="0"/>
        <w:adjustRightInd w:val="0"/>
        <w:snapToGrid w:val="0"/>
        <w:spacing w:before="0" w:beforeAutospacing="0" w:after="0" w:afterAutospacing="0" w:line="580" w:lineRule="exact"/>
        <w:ind w:left="0" w:leftChars="0" w:right="0" w:rightChars="0" w:firstLine="680" w:firstLineChars="200"/>
        <w:jc w:val="both"/>
        <w:textAlignment w:val="auto"/>
        <w:rPr>
          <w:rFonts w:hint="eastAsia" w:ascii="仿宋" w:hAnsi="仿宋" w:eastAsia="仿宋" w:cs="仿宋"/>
          <w:kern w:val="0"/>
          <w:sz w:val="34"/>
          <w:szCs w:val="34"/>
          <w:u w:val="none"/>
        </w:rPr>
      </w:pPr>
      <w:r>
        <w:rPr>
          <w:rFonts w:hint="eastAsia" w:ascii="仿宋" w:hAnsi="仿宋" w:eastAsia="仿宋" w:cs="仿宋"/>
          <w:kern w:val="0"/>
          <w:sz w:val="34"/>
          <w:szCs w:val="34"/>
          <w:u w:val="none"/>
        </w:rPr>
        <w:t>一、凡入驻固原市域各工业园区的企业，享受工业用地出让最低价，按实际评估价格执行；使用土地利用总体规划确定的城镇建设用地范围内国有未利用土地，按最低价标准的50%执行；使用土地利用总体</w:t>
      </w:r>
      <w:r>
        <w:rPr>
          <w:rFonts w:hint="eastAsia" w:ascii="仿宋" w:hAnsi="仿宋" w:eastAsia="仿宋" w:cs="仿宋"/>
          <w:w w:val="95"/>
          <w:kern w:val="0"/>
          <w:sz w:val="34"/>
          <w:szCs w:val="34"/>
          <w:u w:val="none"/>
        </w:rPr>
        <w:t>规划确定的城镇建设用地范围外的土地，且土地前期开发由土</w:t>
      </w:r>
      <w:r>
        <w:rPr>
          <w:rFonts w:hint="eastAsia" w:ascii="仿宋" w:hAnsi="仿宋" w:eastAsia="仿宋" w:cs="仿宋"/>
          <w:kern w:val="0"/>
          <w:sz w:val="34"/>
          <w:szCs w:val="34"/>
          <w:u w:val="none"/>
        </w:rPr>
        <w:t>地使用者自行完成的，占用其他农用地按最低价标准的60%执行，占用国有未利用地的按最低价标准的30%执行，占用国有未利用地在上缴新增建设用地有偿使用费后按最低标准的10%执行。</w:t>
      </w:r>
    </w:p>
    <w:p>
      <w:pPr>
        <w:pStyle w:val="4"/>
        <w:keepNext w:val="0"/>
        <w:keepLines w:val="0"/>
        <w:pageBreakBefore w:val="0"/>
        <w:widowControl w:val="0"/>
        <w:kinsoku/>
        <w:wordWrap/>
        <w:overflowPunct/>
        <w:topLinePunct w:val="0"/>
        <w:autoSpaceDE/>
        <w:bidi w:val="0"/>
        <w:adjustRightInd w:val="0"/>
        <w:snapToGrid w:val="0"/>
        <w:spacing w:before="0" w:beforeAutospacing="0" w:after="0" w:afterAutospacing="0" w:line="580" w:lineRule="exact"/>
        <w:ind w:left="0" w:leftChars="0" w:right="0" w:rightChars="0" w:firstLine="680" w:firstLineChars="200"/>
        <w:jc w:val="both"/>
        <w:textAlignment w:val="auto"/>
        <w:rPr>
          <w:rFonts w:hint="eastAsia" w:ascii="仿宋" w:hAnsi="仿宋" w:eastAsia="仿宋" w:cs="仿宋"/>
          <w:sz w:val="34"/>
          <w:szCs w:val="34"/>
          <w:u w:val="none"/>
        </w:rPr>
      </w:pPr>
      <w:r>
        <w:rPr>
          <w:rFonts w:hint="eastAsia" w:ascii="仿宋" w:hAnsi="仿宋" w:eastAsia="仿宋" w:cs="仿宋"/>
          <w:sz w:val="34"/>
          <w:szCs w:val="34"/>
          <w:u w:val="none"/>
        </w:rPr>
        <w:t>二、特色农业项目用地政策按规定采取“点供”方式保障用地需求；农业生产设施、附属设施和配套设施用地控制在项目用地总规模5%以内（最多不超过10亩），不需办理农用地转用审批手续。</w:t>
      </w:r>
    </w:p>
    <w:p>
      <w:pPr>
        <w:pStyle w:val="4"/>
        <w:keepNext w:val="0"/>
        <w:keepLines w:val="0"/>
        <w:pageBreakBefore w:val="0"/>
        <w:widowControl w:val="0"/>
        <w:kinsoku/>
        <w:wordWrap/>
        <w:overflowPunct/>
        <w:topLinePunct w:val="0"/>
        <w:autoSpaceDE/>
        <w:bidi w:val="0"/>
        <w:adjustRightInd w:val="0"/>
        <w:snapToGrid w:val="0"/>
        <w:spacing w:before="0" w:beforeAutospacing="0" w:after="0" w:afterAutospacing="0" w:line="580" w:lineRule="exact"/>
        <w:ind w:left="0" w:leftChars="0" w:right="0" w:rightChars="0" w:firstLine="680" w:firstLineChars="200"/>
        <w:jc w:val="both"/>
        <w:textAlignment w:val="auto"/>
        <w:rPr>
          <w:rFonts w:hint="eastAsia" w:ascii="仿宋" w:hAnsi="仿宋" w:eastAsia="仿宋" w:cs="仿宋"/>
          <w:sz w:val="34"/>
          <w:szCs w:val="34"/>
          <w:u w:val="none"/>
        </w:rPr>
      </w:pPr>
      <w:r>
        <w:rPr>
          <w:rFonts w:hint="eastAsia" w:ascii="仿宋" w:hAnsi="仿宋" w:eastAsia="仿宋" w:cs="仿宋"/>
          <w:sz w:val="34"/>
          <w:szCs w:val="34"/>
          <w:u w:val="none"/>
        </w:rPr>
        <w:t>三、鼓励企业节约集约用地或占用国有未利用土地，对符合土地利用规划、不降低投资额度和建设规模的企业，在规定用地定额标准的基础上实行节约用地奖励政策，每减少1亩用地给予企业1万元奖励。</w:t>
      </w:r>
    </w:p>
    <w:p>
      <w:pPr>
        <w:pStyle w:val="4"/>
        <w:keepNext w:val="0"/>
        <w:keepLines w:val="0"/>
        <w:pageBreakBefore w:val="0"/>
        <w:widowControl w:val="0"/>
        <w:kinsoku/>
        <w:wordWrap/>
        <w:overflowPunct/>
        <w:topLinePunct w:val="0"/>
        <w:autoSpaceDE/>
        <w:bidi w:val="0"/>
        <w:adjustRightInd w:val="0"/>
        <w:snapToGrid w:val="0"/>
        <w:spacing w:before="0" w:beforeAutospacing="0" w:after="0" w:afterAutospacing="0" w:line="580" w:lineRule="exact"/>
        <w:ind w:left="0" w:leftChars="0" w:right="0" w:rightChars="0" w:firstLine="680" w:firstLineChars="200"/>
        <w:jc w:val="both"/>
        <w:textAlignment w:val="auto"/>
        <w:rPr>
          <w:rFonts w:hint="eastAsia" w:ascii="仿宋" w:hAnsi="仿宋" w:eastAsia="仿宋" w:cs="仿宋"/>
          <w:sz w:val="34"/>
          <w:szCs w:val="34"/>
          <w:u w:val="none"/>
          <w:lang w:eastAsia="zh-CN"/>
        </w:rPr>
      </w:pPr>
      <w:r>
        <w:rPr>
          <w:rFonts w:hint="eastAsia" w:ascii="仿宋" w:hAnsi="仿宋" w:eastAsia="仿宋" w:cs="仿宋"/>
          <w:sz w:val="34"/>
          <w:szCs w:val="34"/>
          <w:u w:val="none"/>
          <w:lang w:eastAsia="zh-CN"/>
        </w:rPr>
        <w:t>四、根据《中共中央办公厅、国务院办公厅印发</w:t>
      </w:r>
      <w:r>
        <w:rPr>
          <w:rFonts w:hint="eastAsia" w:ascii="仿宋" w:hAnsi="仿宋" w:eastAsia="仿宋" w:cs="仿宋"/>
          <w:sz w:val="34"/>
          <w:szCs w:val="34"/>
          <w:u w:val="none"/>
          <w:lang w:val="en-US" w:eastAsia="zh-CN"/>
        </w:rPr>
        <w:t>&lt;</w:t>
      </w:r>
      <w:r>
        <w:rPr>
          <w:rFonts w:hint="eastAsia" w:ascii="仿宋" w:hAnsi="仿宋" w:eastAsia="仿宋" w:cs="仿宋"/>
          <w:sz w:val="34"/>
          <w:szCs w:val="34"/>
          <w:u w:val="none"/>
          <w:lang w:eastAsia="zh-CN"/>
        </w:rPr>
        <w:t>关于支持深度贫困地区脱贫攻坚的实施意见</w:t>
      </w:r>
      <w:r>
        <w:rPr>
          <w:rFonts w:hint="eastAsia" w:ascii="仿宋" w:hAnsi="仿宋" w:eastAsia="仿宋" w:cs="仿宋"/>
          <w:sz w:val="34"/>
          <w:szCs w:val="34"/>
          <w:u w:val="none"/>
          <w:lang w:val="en-US" w:eastAsia="zh-CN"/>
        </w:rPr>
        <w:t>&gt;</w:t>
      </w:r>
      <w:r>
        <w:rPr>
          <w:rFonts w:hint="eastAsia" w:ascii="仿宋" w:hAnsi="仿宋" w:eastAsia="仿宋" w:cs="仿宋"/>
          <w:sz w:val="34"/>
          <w:szCs w:val="34"/>
          <w:u w:val="none"/>
          <w:lang w:eastAsia="zh-CN"/>
        </w:rPr>
        <w:t>的通知》（厅字〔</w:t>
      </w:r>
      <w:r>
        <w:rPr>
          <w:rFonts w:hint="eastAsia" w:ascii="仿宋" w:hAnsi="仿宋" w:eastAsia="仿宋" w:cs="仿宋"/>
          <w:sz w:val="34"/>
          <w:szCs w:val="34"/>
          <w:u w:val="none"/>
          <w:lang w:val="en-US" w:eastAsia="zh-CN"/>
        </w:rPr>
        <w:t>2017</w:t>
      </w:r>
      <w:r>
        <w:rPr>
          <w:rFonts w:hint="eastAsia" w:ascii="仿宋" w:hAnsi="仿宋" w:eastAsia="仿宋" w:cs="仿宋"/>
          <w:sz w:val="34"/>
          <w:szCs w:val="34"/>
          <w:u w:val="none"/>
          <w:lang w:eastAsia="zh-CN"/>
        </w:rPr>
        <w:t>〕</w:t>
      </w:r>
      <w:r>
        <w:rPr>
          <w:rFonts w:hint="eastAsia" w:ascii="仿宋" w:hAnsi="仿宋" w:eastAsia="仿宋" w:cs="仿宋"/>
          <w:sz w:val="34"/>
          <w:szCs w:val="34"/>
          <w:u w:val="none"/>
          <w:lang w:val="en-US" w:eastAsia="zh-CN"/>
        </w:rPr>
        <w:t>41号：“新增建设用地指标优先保障深度贫困地区发展用地需要。深度贫困地区开展城乡建设用地增减挂钩，可不受指标规模限制。深度贫困县增减挂钩节余指标在东西部扶贫协作和对口支援框架内开展交易，收益主要用于深度贫困地区脱贫攻坚，按照土地出让收入的有关管理规定，加强资金使用管理。支持深度贫困地区农村集体经济组织依法使用农村集体建设用地或以土地使用权入股、联营等方式与其他单位或个人共同兴办企业，发展农村新产业新业态。旅游项目中的自然景观及为观景提供便利的观光台、栈道等非永久性附属设施用地，在不破坏生态、景观环境和不影响地质安全的前提下，可不征收（收回）、不转用，按现用途管理。光伏方阵使用永久基本农田以外的农田地或未利用地的，在不影响种植、养殖等生产条件的前提下，可按原地类认定，按现用途管理。深度贫困地区建设用地，涉及农用地转用和土地征收的，在做好依法补偿安置前提下，可以边建设边报批；涉及占用耕地的，允许边占边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232B8"/>
    <w:rsid w:val="53F2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color w:val="222222"/>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qFormat/>
    <w:uiPriority w:val="0"/>
    <w:pPr>
      <w:widowControl/>
      <w:spacing w:before="100" w:beforeAutospacing="1" w:after="100" w:afterAutospacing="1"/>
      <w:jc w:val="left"/>
    </w:pPr>
    <w:rPr>
      <w:rFonts w:ascii="宋体" w:hAnsi="宋体" w:eastAsia="方正仿宋_GBK"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2017-12-07T04:54:00Z</dcterms:created>
  <dc:creator>人生百态各种无奈1416126671</dc:creator>
  <cp:lastModifiedBy>人生百态各种无奈1416126671</cp:lastModifiedBy>
  <dcterms:modified xsi:type="dcterms:W3CDTF">2017-12-07T04:54:19Z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