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固原市人民防空办公室</w:t>
      </w:r>
      <w:r>
        <w:rPr>
          <w:rFonts w:hint="eastAsia" w:asciiTheme="majorEastAsia" w:hAnsiTheme="majorEastAsia" w:eastAsiaTheme="majorEastAsia" w:cstheme="majorEastAsia"/>
          <w:b/>
          <w:bCs/>
          <w:sz w:val="44"/>
          <w:szCs w:val="44"/>
        </w:rPr>
        <w:t>行政权力和责任清单</w:t>
      </w:r>
    </w:p>
    <w:tbl>
      <w:tblPr>
        <w:tblStyle w:val="3"/>
        <w:tblW w:w="14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
        <w:gridCol w:w="452"/>
        <w:gridCol w:w="851"/>
        <w:gridCol w:w="371"/>
        <w:gridCol w:w="2846"/>
        <w:gridCol w:w="3430"/>
        <w:gridCol w:w="2290"/>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0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楷体"/>
                <w:b/>
                <w:bCs/>
                <w:color w:val="000000"/>
                <w:sz w:val="18"/>
                <w:szCs w:val="18"/>
              </w:rPr>
            </w:pPr>
            <w:r>
              <w:rPr>
                <w:rFonts w:ascii="仿宋_GB2312" w:hAnsi="楷体"/>
                <w:b/>
                <w:bCs/>
                <w:color w:val="000000"/>
                <w:sz w:val="18"/>
                <w:szCs w:val="18"/>
              </w:rPr>
              <w:t>序号</w:t>
            </w:r>
          </w:p>
        </w:tc>
        <w:tc>
          <w:tcPr>
            <w:tcW w:w="452" w:type="dxa"/>
            <w:vMerge w:val="restart"/>
            <w:tcBorders>
              <w:top w:val="single" w:color="auto" w:sz="4" w:space="0"/>
              <w:left w:val="nil"/>
              <w:bottom w:val="single" w:color="auto" w:sz="4" w:space="0"/>
              <w:right w:val="single" w:color="auto" w:sz="4" w:space="0"/>
            </w:tcBorders>
            <w:vAlign w:val="center"/>
          </w:tcPr>
          <w:p>
            <w:pPr>
              <w:adjustRightInd w:val="0"/>
              <w:snapToGrid w:val="0"/>
              <w:rPr>
                <w:rFonts w:ascii="仿宋_GB2312" w:hAnsi="楷体"/>
                <w:b/>
                <w:bCs/>
                <w:color w:val="000000"/>
                <w:sz w:val="18"/>
                <w:szCs w:val="18"/>
              </w:rPr>
            </w:pPr>
            <w:r>
              <w:rPr>
                <w:rFonts w:ascii="仿宋_GB2312" w:hAnsi="楷体"/>
                <w:b/>
                <w:bCs/>
                <w:color w:val="000000"/>
                <w:sz w:val="18"/>
                <w:szCs w:val="18"/>
              </w:rPr>
              <w:t>职权</w:t>
            </w:r>
          </w:p>
          <w:p>
            <w:pPr>
              <w:adjustRightInd w:val="0"/>
              <w:snapToGrid w:val="0"/>
              <w:rPr>
                <w:rFonts w:ascii="仿宋_GB2312" w:hAnsi="楷体"/>
                <w:b/>
                <w:bCs/>
                <w:color w:val="000000"/>
                <w:sz w:val="18"/>
                <w:szCs w:val="18"/>
              </w:rPr>
            </w:pPr>
            <w:r>
              <w:rPr>
                <w:rFonts w:ascii="仿宋_GB2312" w:hAnsi="楷体"/>
                <w:b/>
                <w:bCs/>
                <w:color w:val="000000"/>
                <w:sz w:val="18"/>
                <w:szCs w:val="18"/>
              </w:rPr>
              <w:t>类型</w:t>
            </w:r>
          </w:p>
        </w:tc>
        <w:tc>
          <w:tcPr>
            <w:tcW w:w="122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楷体"/>
                <w:b/>
                <w:bCs/>
                <w:color w:val="000000"/>
                <w:sz w:val="18"/>
                <w:szCs w:val="18"/>
              </w:rPr>
            </w:pPr>
            <w:r>
              <w:rPr>
                <w:rFonts w:ascii="仿宋_GB2312" w:hAnsi="楷体"/>
                <w:b/>
                <w:bCs/>
                <w:color w:val="000000"/>
                <w:sz w:val="18"/>
                <w:szCs w:val="18"/>
              </w:rPr>
              <w:t>职权名称</w:t>
            </w:r>
          </w:p>
        </w:tc>
        <w:tc>
          <w:tcPr>
            <w:tcW w:w="2846" w:type="dxa"/>
            <w:vMerge w:val="restart"/>
            <w:tcBorders>
              <w:top w:val="single" w:color="auto" w:sz="4" w:space="0"/>
              <w:left w:val="nil"/>
              <w:bottom w:val="single" w:color="auto" w:sz="4" w:space="0"/>
              <w:right w:val="single" w:color="auto" w:sz="4" w:space="0"/>
            </w:tcBorders>
            <w:vAlign w:val="center"/>
          </w:tcPr>
          <w:p>
            <w:pPr>
              <w:adjustRightInd w:val="0"/>
              <w:snapToGrid w:val="0"/>
              <w:spacing w:line="240" w:lineRule="auto"/>
              <w:jc w:val="center"/>
              <w:rPr>
                <w:rFonts w:ascii="仿宋_GB2312" w:hAnsi="楷体"/>
                <w:b/>
                <w:bCs/>
                <w:color w:val="000000"/>
                <w:sz w:val="18"/>
                <w:szCs w:val="18"/>
              </w:rPr>
            </w:pPr>
            <w:r>
              <w:rPr>
                <w:rFonts w:ascii="仿宋_GB2312" w:hAnsi="楷体"/>
                <w:b/>
                <w:bCs/>
                <w:color w:val="000000"/>
                <w:sz w:val="18"/>
                <w:szCs w:val="18"/>
              </w:rPr>
              <w:t>职权依据</w:t>
            </w:r>
          </w:p>
        </w:tc>
        <w:tc>
          <w:tcPr>
            <w:tcW w:w="3430" w:type="dxa"/>
            <w:vMerge w:val="restart"/>
            <w:tcBorders>
              <w:top w:val="single" w:color="auto" w:sz="4" w:space="0"/>
              <w:left w:val="nil"/>
              <w:bottom w:val="single" w:color="auto" w:sz="4" w:space="0"/>
              <w:right w:val="single" w:color="auto" w:sz="4" w:space="0"/>
            </w:tcBorders>
            <w:vAlign w:val="center"/>
          </w:tcPr>
          <w:p>
            <w:pPr>
              <w:adjustRightInd w:val="0"/>
              <w:snapToGrid w:val="0"/>
              <w:spacing w:line="240" w:lineRule="auto"/>
              <w:jc w:val="center"/>
              <w:rPr>
                <w:rFonts w:ascii="仿宋_GB2312" w:hAnsi="楷体"/>
                <w:b/>
                <w:bCs/>
                <w:color w:val="000000"/>
                <w:sz w:val="18"/>
                <w:szCs w:val="18"/>
              </w:rPr>
            </w:pPr>
            <w:r>
              <w:rPr>
                <w:rFonts w:ascii="仿宋_GB2312" w:hAnsi="楷体"/>
                <w:b/>
                <w:bCs/>
                <w:color w:val="000000"/>
                <w:sz w:val="18"/>
                <w:szCs w:val="18"/>
              </w:rPr>
              <w:t>责任事项</w:t>
            </w:r>
          </w:p>
        </w:tc>
        <w:tc>
          <w:tcPr>
            <w:tcW w:w="2290" w:type="dxa"/>
            <w:vMerge w:val="restart"/>
            <w:tcBorders>
              <w:top w:val="single" w:color="auto" w:sz="4" w:space="0"/>
              <w:left w:val="nil"/>
              <w:bottom w:val="single" w:color="auto" w:sz="4" w:space="0"/>
              <w:right w:val="single" w:color="auto" w:sz="4" w:space="0"/>
            </w:tcBorders>
            <w:vAlign w:val="center"/>
          </w:tcPr>
          <w:p>
            <w:pPr>
              <w:adjustRightInd w:val="0"/>
              <w:snapToGrid w:val="0"/>
              <w:spacing w:line="240" w:lineRule="auto"/>
              <w:jc w:val="center"/>
              <w:rPr>
                <w:rFonts w:ascii="仿宋_GB2312" w:hAnsi="楷体"/>
                <w:b/>
                <w:bCs/>
                <w:color w:val="000000"/>
                <w:sz w:val="18"/>
                <w:szCs w:val="18"/>
              </w:rPr>
            </w:pPr>
            <w:r>
              <w:rPr>
                <w:rFonts w:ascii="仿宋_GB2312" w:hAnsi="楷体"/>
                <w:b/>
                <w:bCs/>
                <w:color w:val="000000"/>
                <w:sz w:val="18"/>
                <w:szCs w:val="18"/>
              </w:rPr>
              <w:t>追责情形</w:t>
            </w:r>
          </w:p>
        </w:tc>
        <w:tc>
          <w:tcPr>
            <w:tcW w:w="3367" w:type="dxa"/>
            <w:vMerge w:val="restart"/>
            <w:tcBorders>
              <w:top w:val="single" w:color="auto" w:sz="4" w:space="0"/>
              <w:left w:val="nil"/>
              <w:bottom w:val="single" w:color="auto" w:sz="4" w:space="0"/>
              <w:right w:val="single" w:color="auto" w:sz="4" w:space="0"/>
            </w:tcBorders>
            <w:vAlign w:val="center"/>
          </w:tcPr>
          <w:p>
            <w:pPr>
              <w:adjustRightInd w:val="0"/>
              <w:snapToGrid w:val="0"/>
              <w:spacing w:line="240" w:lineRule="auto"/>
              <w:jc w:val="center"/>
              <w:rPr>
                <w:rFonts w:ascii="仿宋_GB2312" w:hAnsi="楷体"/>
                <w:b/>
                <w:bCs/>
                <w:color w:val="000000"/>
                <w:sz w:val="18"/>
                <w:szCs w:val="18"/>
              </w:rPr>
            </w:pPr>
            <w:r>
              <w:rPr>
                <w:rFonts w:ascii="仿宋_GB2312" w:hAnsi="楷体"/>
                <w:b/>
                <w:bCs/>
                <w:color w:val="000000"/>
                <w:sz w:val="18"/>
                <w:szCs w:val="18"/>
              </w:rPr>
              <w:t>担责方式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4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b/>
                <w:bCs/>
                <w:color w:val="000000"/>
                <w:sz w:val="18"/>
                <w:szCs w:val="18"/>
              </w:rPr>
            </w:pPr>
          </w:p>
        </w:tc>
        <w:tc>
          <w:tcPr>
            <w:tcW w:w="452"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楷体"/>
                <w:b/>
                <w:bCs/>
                <w:color w:val="000000"/>
                <w:sz w:val="18"/>
                <w:szCs w:val="18"/>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楷体"/>
                <w:b/>
                <w:bCs/>
                <w:color w:val="000000"/>
                <w:sz w:val="15"/>
                <w:szCs w:val="15"/>
              </w:rPr>
            </w:pPr>
            <w:r>
              <w:rPr>
                <w:rFonts w:ascii="仿宋_GB2312" w:hAnsi="楷体"/>
                <w:b/>
                <w:bCs/>
                <w:color w:val="000000"/>
                <w:sz w:val="15"/>
                <w:szCs w:val="15"/>
              </w:rPr>
              <w:t>项目</w:t>
            </w:r>
          </w:p>
        </w:tc>
        <w:tc>
          <w:tcPr>
            <w:tcW w:w="371"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楷体"/>
                <w:b/>
                <w:bCs/>
                <w:color w:val="000000"/>
                <w:sz w:val="15"/>
                <w:szCs w:val="15"/>
              </w:rPr>
            </w:pPr>
            <w:r>
              <w:rPr>
                <w:rFonts w:ascii="仿宋_GB2312" w:hAnsi="楷体"/>
                <w:b/>
                <w:bCs/>
                <w:color w:val="000000"/>
                <w:sz w:val="15"/>
                <w:szCs w:val="15"/>
              </w:rPr>
              <w:t>子项</w:t>
            </w:r>
          </w:p>
        </w:tc>
        <w:tc>
          <w:tcPr>
            <w:tcW w:w="2846" w:type="dxa"/>
            <w:vMerge w:val="continue"/>
            <w:tcBorders>
              <w:top w:val="single" w:color="auto" w:sz="4" w:space="0"/>
              <w:left w:val="nil"/>
              <w:bottom w:val="single" w:color="auto" w:sz="4" w:space="0"/>
              <w:right w:val="single" w:color="auto" w:sz="4" w:space="0"/>
            </w:tcBorders>
            <w:vAlign w:val="center"/>
          </w:tcPr>
          <w:p>
            <w:pPr>
              <w:widowControl/>
              <w:spacing w:line="240" w:lineRule="auto"/>
              <w:jc w:val="left"/>
              <w:rPr>
                <w:rFonts w:ascii="仿宋_GB2312" w:hAnsi="楷体"/>
                <w:b/>
                <w:bCs/>
                <w:color w:val="000000"/>
                <w:sz w:val="18"/>
                <w:szCs w:val="18"/>
              </w:rPr>
            </w:pPr>
          </w:p>
        </w:tc>
        <w:tc>
          <w:tcPr>
            <w:tcW w:w="3430" w:type="dxa"/>
            <w:vMerge w:val="continue"/>
            <w:tcBorders>
              <w:top w:val="single" w:color="auto" w:sz="4" w:space="0"/>
              <w:left w:val="nil"/>
              <w:bottom w:val="single" w:color="auto" w:sz="4" w:space="0"/>
              <w:right w:val="single" w:color="auto" w:sz="4" w:space="0"/>
            </w:tcBorders>
            <w:vAlign w:val="center"/>
          </w:tcPr>
          <w:p>
            <w:pPr>
              <w:widowControl/>
              <w:spacing w:line="240" w:lineRule="auto"/>
              <w:jc w:val="left"/>
              <w:rPr>
                <w:rFonts w:ascii="仿宋_GB2312" w:hAnsi="楷体"/>
                <w:b/>
                <w:bCs/>
                <w:color w:val="000000"/>
                <w:sz w:val="18"/>
                <w:szCs w:val="18"/>
              </w:rPr>
            </w:pPr>
          </w:p>
        </w:tc>
        <w:tc>
          <w:tcPr>
            <w:tcW w:w="2290" w:type="dxa"/>
            <w:vMerge w:val="continue"/>
            <w:tcBorders>
              <w:top w:val="single" w:color="auto" w:sz="4" w:space="0"/>
              <w:left w:val="nil"/>
              <w:bottom w:val="single" w:color="auto" w:sz="4" w:space="0"/>
              <w:right w:val="single" w:color="auto" w:sz="4" w:space="0"/>
            </w:tcBorders>
            <w:vAlign w:val="center"/>
          </w:tcPr>
          <w:p>
            <w:pPr>
              <w:widowControl/>
              <w:spacing w:line="240" w:lineRule="auto"/>
              <w:jc w:val="left"/>
              <w:rPr>
                <w:rFonts w:ascii="仿宋_GB2312" w:hAnsi="楷体"/>
                <w:b/>
                <w:bCs/>
                <w:color w:val="000000"/>
                <w:sz w:val="18"/>
                <w:szCs w:val="18"/>
              </w:rPr>
            </w:pPr>
          </w:p>
        </w:tc>
        <w:tc>
          <w:tcPr>
            <w:tcW w:w="3367" w:type="dxa"/>
            <w:vMerge w:val="continue"/>
            <w:tcBorders>
              <w:top w:val="single" w:color="auto" w:sz="4" w:space="0"/>
              <w:left w:val="nil"/>
              <w:bottom w:val="single" w:color="auto" w:sz="4" w:space="0"/>
              <w:right w:val="single" w:color="auto" w:sz="4" w:space="0"/>
            </w:tcBorders>
            <w:vAlign w:val="center"/>
          </w:tcPr>
          <w:p>
            <w:pPr>
              <w:widowControl/>
              <w:spacing w:line="240" w:lineRule="auto"/>
              <w:jc w:val="left"/>
              <w:rPr>
                <w:rFonts w:ascii="仿宋_GB2312" w:hAnsi="楷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0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lang w:val="en-US" w:eastAsia="zh-CN"/>
              </w:rPr>
              <w:t>1</w:t>
            </w:r>
          </w:p>
        </w:tc>
        <w:tc>
          <w:tcPr>
            <w:tcW w:w="452" w:type="dxa"/>
            <w:tcBorders>
              <w:top w:val="single" w:color="auto" w:sz="4" w:space="0"/>
              <w:left w:val="nil"/>
              <w:bottom w:val="single" w:color="auto" w:sz="4" w:space="0"/>
              <w:right w:val="single" w:color="auto" w:sz="4" w:space="0"/>
            </w:tcBorders>
            <w:vAlign w:val="center"/>
          </w:tcPr>
          <w:p>
            <w:pPr>
              <w:adjustRightInd w:val="0"/>
              <w:snapToGrid w:val="0"/>
              <w:rPr>
                <w:rFonts w:hint="eastAsia" w:ascii="仿宋" w:hAnsi="仿宋" w:eastAsia="仿宋" w:cs="仿宋"/>
                <w:b w:val="0"/>
                <w:bCs w:val="0"/>
                <w:color w:val="000000" w:themeColor="text1"/>
                <w:sz w:val="18"/>
                <w:szCs w:val="18"/>
                <w:lang w:val="en-US" w:eastAsia="zh-CN"/>
              </w:rPr>
            </w:pPr>
            <w:r>
              <w:rPr>
                <w:rFonts w:hint="eastAsia" w:ascii="仿宋" w:hAnsi="仿宋" w:eastAsia="仿宋" w:cs="仿宋"/>
                <w:b w:val="0"/>
                <w:bCs w:val="0"/>
                <w:color w:val="000000" w:themeColor="text1"/>
                <w:sz w:val="18"/>
                <w:szCs w:val="18"/>
                <w:lang w:val="en-US" w:eastAsia="zh-CN"/>
              </w:rPr>
              <w:t>行政处罚</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对城市新建民用建筑，违反国家有关规定不修建战时可用于防空的地下室等行为的处罚</w:t>
            </w:r>
          </w:p>
        </w:tc>
        <w:tc>
          <w:tcPr>
            <w:tcW w:w="371"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仿宋" w:hAnsi="仿宋" w:eastAsia="仿宋" w:cs="仿宋"/>
                <w:b w:val="0"/>
                <w:bCs w:val="0"/>
                <w:color w:val="000000" w:themeColor="text1"/>
                <w:sz w:val="18"/>
                <w:szCs w:val="18"/>
              </w:rPr>
            </w:pPr>
          </w:p>
        </w:tc>
        <w:tc>
          <w:tcPr>
            <w:tcW w:w="2846" w:type="dxa"/>
            <w:tcBorders>
              <w:top w:val="single" w:color="auto" w:sz="4" w:space="0"/>
              <w:left w:val="nil"/>
              <w:bottom w:val="single" w:color="auto" w:sz="4" w:space="0"/>
              <w:right w:val="single" w:color="auto" w:sz="4" w:space="0"/>
            </w:tcBorders>
          </w:tcPr>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【法律】《中华人民共和国人民防空法》(2009年修正)</w:t>
            </w:r>
          </w:p>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第四十八条　城市新建民用建筑，违反国家有关规定不修建战时可用于防空的地下室的，由县级以上人民政府人民防空主管部门对当事人给予警告，并责令限期修建，可以并处十万元以下的罚款。</w:t>
            </w:r>
          </w:p>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第四十九条  有下列行为之一的，由县级以上人民政府人民防空主管部门对当事人给予警告，并责令限期改正违法行为，可以对个人并处五千元以下的罚款、对单位并处一万元至五万元的罚款；造成损失的，应当依法赔偿损失： （一）侵占人民防空工程的； （二）不按照国家规定的防护标准和质量标准修建人民防空工程的； （三）违反国家有关规定，改变人民防空工程主体结构、拆除人民防空工程设备设施或者采用其他方法危害人民防空工程的安全和使用效能的； （四）拆除人民防空工程后拒不补建的；……（七）向人民防空工程内排入废水、废气或者倾倒废弃物的。</w:t>
            </w:r>
          </w:p>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【地方政府规章】《宁夏回族自治区人民防空工程建设管理规定》（2017年宁夏回族自治区人民政府令第94号）</w:t>
            </w:r>
          </w:p>
          <w:p>
            <w:pPr>
              <w:adjustRightInd w:val="0"/>
              <w:snapToGrid w:val="0"/>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第三十五条　违反本规定，有下列行为之一的，依照有关法律、法规规定予以处罚：</w:t>
            </w:r>
          </w:p>
          <w:p>
            <w:pPr>
              <w:adjustRightInd w:val="0"/>
              <w:snapToGrid w:val="0"/>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（一）城市新建民用建筑，不建设防空地下室的；</w:t>
            </w:r>
          </w:p>
          <w:p>
            <w:pPr>
              <w:adjustRightInd w:val="0"/>
              <w:snapToGrid w:val="0"/>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（二）不按照国家规定的防护标准或者质量标准建设人防工程的；</w:t>
            </w:r>
          </w:p>
          <w:p>
            <w:pPr>
              <w:adjustRightInd w:val="0"/>
              <w:snapToGrid w:val="0"/>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（三）未按照国家规定将人防工程竣工验收报告、有关认可文件或者准许使用文件报送备案的；</w:t>
            </w:r>
          </w:p>
          <w:p>
            <w:pPr>
              <w:adjustRightInd w:val="0"/>
              <w:snapToGrid w:val="0"/>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（四）人防工程未组织竣工验收，擅自交付使用的；</w:t>
            </w:r>
          </w:p>
          <w:p>
            <w:pPr>
              <w:adjustRightInd w:val="0"/>
              <w:snapToGrid w:val="0"/>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（五）侵占人防工程的；</w:t>
            </w:r>
          </w:p>
          <w:p>
            <w:pPr>
              <w:adjustRightInd w:val="0"/>
              <w:snapToGrid w:val="0"/>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（六）违反国家有关规定，改变人防工程主体结构、拆除人防工程设备设施或者采用其他方法危害人防工程的安全和使用效能的；</w:t>
            </w:r>
          </w:p>
          <w:p>
            <w:pPr>
              <w:adjustRightInd w:val="0"/>
              <w:snapToGrid w:val="0"/>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（七）拆除人防工程后拒不补建的；</w:t>
            </w:r>
          </w:p>
          <w:p>
            <w:pPr>
              <w:adjustRightInd w:val="0"/>
              <w:snapToGrid w:val="0"/>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（八）向人防工程内排入废水、废气或者倾倒废弃物的；</w:t>
            </w:r>
          </w:p>
          <w:p>
            <w:pPr>
              <w:adjustRightInd w:val="0"/>
              <w:snapToGrid w:val="0"/>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（九）故意损坏人民防空设施或者在人防工程内生产、储存爆炸、剧毒、易燃、放射性等危险品，尚不构成犯罪的；</w:t>
            </w:r>
          </w:p>
          <w:p>
            <w:pPr>
              <w:adjustRightInd w:val="0"/>
              <w:snapToGrid w:val="0"/>
              <w:spacing w:line="240" w:lineRule="auto"/>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（十）其他危害人防工程依法应当予以处罚的行为。</w:t>
            </w:r>
          </w:p>
        </w:tc>
        <w:tc>
          <w:tcPr>
            <w:tcW w:w="3430"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kern w:val="0"/>
                <w:sz w:val="18"/>
                <w:szCs w:val="18"/>
              </w:rPr>
              <w:t>1.立案责任：对发现的违法行为，予以审查，决定是否立案。</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2.调查责任：对立案的案件，指定专人负责，及时组织调查取证。执法人员在行政执法过程中，遇有法定回避情形的，应当回避。执法人员不得少于两人，应当按照规定佩戴中国人民防空标志，并出示行政执法身份证件，允许当事人辩解陈述。执法人员应保守有关秘密。</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3.审查责任：对案件违法事实、证据、调查取证程序、法律适用、处罚种类和幅度、当事人陈述和申辩理由等方面进行审查，提出处理意见。当事人提出的事实、理由和证据，应当进行复核。</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4.告知责任：作出行政处罚决定之前，应当告知当事人作出行政处罚决定的事实、理由及依据和依法享有的权利。符合听证规定的，告知当事人听证的权利。</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5.决定责任：依法予以处罚的，制作行政处罚决定书，载明违法事实和证据、行政处罚依据和内容、救济途径等内容。</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6.送达责任：行政处罚决定书按照法律规定的方式送达当事人。</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7.执行责任：监督当事人履行已经生效的行政处罚决定，当事人拒不履行的，申请人民法院强制执行。</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8.其他法律法规规章文件规定应履行的责任。</w:t>
            </w:r>
          </w:p>
        </w:tc>
        <w:tc>
          <w:tcPr>
            <w:tcW w:w="2290"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kern w:val="0"/>
                <w:sz w:val="18"/>
                <w:szCs w:val="18"/>
              </w:rPr>
              <w:t>因不履行或不正确履行行政职责，有下列情形的，行政机关及相关工作人员应承担相应责任：</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1.没有法律和事实依据实施行政处罚的；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2.执法人员玩忽职守，对应当予以制止和处罚的违法行为不予制止、处罚；</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3.不具备行政执法资格实施行政处罚的；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4.应当依法移送追究刑事责任，而未依法移送有关机关的；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5.未按裁量权规定，滥用裁量权的，行政处罚显失公正的；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6.违反法定的行政处罚程序的；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7.符合听证条件、行政管理相对人要求听证，应予组织听证而不组织听证；</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8.在行政处罚过程中发生腐败行为的；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9.侵害公民、法人或者其他组织合法权益造成损失并依法承担行政赔偿责任的；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10.其他违反法律法规规章文件规定的行为。</w:t>
            </w:r>
          </w:p>
        </w:tc>
        <w:tc>
          <w:tcPr>
            <w:tcW w:w="3367"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kern w:val="0"/>
                <w:sz w:val="18"/>
                <w:szCs w:val="18"/>
              </w:rPr>
              <w:t>对不履行或不正确履行行政职责的行政机关及相关工作人员由上级行政机关或者本级人民政府、监察机关、任免机关、政府法制机构等，依据过错与责任相适应的原则，按照各自权限以下列方式追究其责任：</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1.给予具体承办人责令作出书面检查、批评教育、取消年度评比先进资格、暂扣行政执法证件、离岗培训、调离工作岗位、取消行政执法资格以及处分等责任追究；</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2.给予审核人和批准人诫勉谈话、责令限期整改、责令作出书面检查、责令公开道歉、取消年度评比先进资格、通报批评、责令停职反省或者责令辞职、建议免职以及处分等责任追究；</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3.给予行政机关责令限期整改、通报批评、取消评比先进资格等责任追究；</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4.行政机关依法承担行政赔偿责任，在履行赔偿义务后，应当责令有故意或者重大过失的工作人员，承担部分或者全部赔偿费用；</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5.对违反党纪的工作人员（中共党员）给予党纪处分，对构成犯罪的工作人员，移交司法机关，依法追究刑事责任；</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0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b w:val="0"/>
                <w:bCs w:val="0"/>
                <w:color w:val="000000" w:themeColor="text1"/>
                <w:sz w:val="18"/>
                <w:szCs w:val="18"/>
                <w:lang w:val="en-US" w:eastAsia="zh-CN"/>
              </w:rPr>
            </w:pPr>
            <w:r>
              <w:rPr>
                <w:rFonts w:hint="eastAsia" w:ascii="仿宋" w:hAnsi="仿宋" w:eastAsia="仿宋" w:cs="仿宋"/>
                <w:b w:val="0"/>
                <w:bCs w:val="0"/>
                <w:color w:val="000000" w:themeColor="text1"/>
                <w:sz w:val="18"/>
                <w:szCs w:val="18"/>
                <w:lang w:val="en-US" w:eastAsia="zh-CN"/>
              </w:rPr>
              <w:t>2</w:t>
            </w:r>
          </w:p>
        </w:tc>
        <w:tc>
          <w:tcPr>
            <w:tcW w:w="452" w:type="dxa"/>
            <w:tcBorders>
              <w:top w:val="single" w:color="auto" w:sz="4" w:space="0"/>
              <w:left w:val="nil"/>
              <w:bottom w:val="single" w:color="auto" w:sz="4" w:space="0"/>
              <w:right w:val="single" w:color="auto" w:sz="4" w:space="0"/>
            </w:tcBorders>
            <w:vAlign w:val="center"/>
          </w:tcPr>
          <w:p>
            <w:pPr>
              <w:adjustRightInd w:val="0"/>
              <w:snapToGrid w:val="0"/>
              <w:rPr>
                <w:rFonts w:hint="eastAsia" w:ascii="仿宋" w:hAnsi="仿宋" w:eastAsia="仿宋" w:cs="仿宋"/>
                <w:b w:val="0"/>
                <w:bCs w:val="0"/>
                <w:color w:val="000000" w:themeColor="text1"/>
                <w:sz w:val="18"/>
                <w:szCs w:val="18"/>
                <w:lang w:eastAsia="zh-CN"/>
              </w:rPr>
            </w:pPr>
            <w:r>
              <w:rPr>
                <w:rFonts w:hint="eastAsia" w:ascii="仿宋" w:hAnsi="仿宋" w:eastAsia="仿宋" w:cs="仿宋"/>
                <w:b w:val="0"/>
                <w:bCs w:val="0"/>
                <w:color w:val="000000" w:themeColor="text1"/>
                <w:sz w:val="18"/>
                <w:szCs w:val="18"/>
                <w:lang w:eastAsia="zh-CN"/>
              </w:rPr>
              <w:t>行政处罚</w:t>
            </w:r>
          </w:p>
        </w:tc>
        <w:tc>
          <w:tcPr>
            <w:tcW w:w="851" w:type="dxa"/>
            <w:tcBorders>
              <w:top w:val="single" w:color="auto" w:sz="4" w:space="0"/>
              <w:left w:val="nil"/>
              <w:bottom w:val="single" w:color="auto" w:sz="4" w:space="0"/>
              <w:right w:val="single" w:color="auto" w:sz="4" w:space="0"/>
            </w:tcBorders>
            <w:vAlign w:val="center"/>
          </w:tcPr>
          <w:p>
            <w:pPr>
              <w:widowControl/>
              <w:wordWrap w:val="0"/>
              <w:spacing w:line="360" w:lineRule="atLeast"/>
              <w:jc w:val="left"/>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对阻挠安装人防警报设施等行为的处罚</w:t>
            </w:r>
          </w:p>
        </w:tc>
        <w:tc>
          <w:tcPr>
            <w:tcW w:w="371"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仿宋" w:hAnsi="仿宋" w:eastAsia="仿宋" w:cs="仿宋"/>
                <w:b w:val="0"/>
                <w:bCs w:val="0"/>
                <w:color w:val="000000" w:themeColor="text1"/>
                <w:sz w:val="18"/>
                <w:szCs w:val="18"/>
              </w:rPr>
            </w:pPr>
          </w:p>
        </w:tc>
        <w:tc>
          <w:tcPr>
            <w:tcW w:w="2846" w:type="dxa"/>
            <w:tcBorders>
              <w:top w:val="single" w:color="auto" w:sz="4" w:space="0"/>
              <w:left w:val="nil"/>
              <w:bottom w:val="single" w:color="auto" w:sz="4" w:space="0"/>
              <w:right w:val="single" w:color="auto" w:sz="4" w:space="0"/>
            </w:tcBorders>
          </w:tcPr>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【法律】《中华人民共和国人民防空法》(2009年修正)</w:t>
            </w:r>
          </w:p>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第三十二条  人民防空主管部门建设通信、警报网所需的电路、频率，邮电部门、军队通信部门、无线电管理机构应当予以保障；安装人民防空通信、警报设施，有关单位或者个人应当提供方便条件，不得阻挠。</w:t>
            </w:r>
          </w:p>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第四十九条  有下列行为之一的，由县级以上人民政府人民防空主管部门对当事人给予警告，并责令限期改正违法行为，可以对个人并处五千元以下的罚款、对单位并处一万元至五万元的罚款；造成损失的，应当依法赔偿损失：</w:t>
            </w:r>
          </w:p>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（五）占用人民防空通信专用频率、使用与防空警报相同的音响信号或者擅自拆除人民防空通信、警报设备设施的；</w:t>
            </w:r>
          </w:p>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（六)阻挠安装人民防空通信、警报设施，拒不改正的；</w:t>
            </w:r>
          </w:p>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【地方政府规章】《宁夏回族自治区人民防空警报通信设施管理办法》（2007年宁夏回族自治区人民政府令第96号）</w:t>
            </w:r>
          </w:p>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第四条 县级以上人民政府人民防空主管部门，负责警报通信设施的规划、建设、维护、管理以及警报信号的发放等监督管理工作。</w:t>
            </w:r>
          </w:p>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第九条 人民防空主管部门按照警报通信设施建设规划安装警报通信设施，有关单位和个人应当提供方便条件，不得阻挠。</w:t>
            </w:r>
          </w:p>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第十六条 任何单位和个人不得在人民防空警报通信设施安全距离内存放易燃、易爆、剧毒、腐蚀性物品，不得占用、堵塞通向警报通信设施的通道。</w:t>
            </w:r>
          </w:p>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第十八条 任何单位和个人不得擅自拆除、迁移警报通信设施。因警报通信设施所在的建筑物拆除、改建确需拆除、迁移警报通信设施的，建设单位应当在施工前的20日，向县（市、区）人民防空主管部门提出书面报告，县（市、区）人民防空主管部门应当自收到报告之日起7日内予以书面答复。</w:t>
            </w:r>
          </w:p>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第二十四条 单位和个人有下列情形之一的，由县级以上人民防空主管部门给予警告，责令限期改正；逾期不改正的，对个人处以5000元以下的罚款，对单位处以10000元至50000元罚款；造成损失的，责令赔偿：</w:t>
            </w:r>
          </w:p>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（一）阻挠安装警报通信设施的；</w:t>
            </w:r>
          </w:p>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（二）擅自拆除警报通信设施的；</w:t>
            </w:r>
          </w:p>
          <w:p>
            <w:pPr>
              <w:adjustRightInd w:val="0"/>
              <w:snapToGrid w:val="0"/>
              <w:spacing w:line="240" w:lineRule="auto"/>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（三）占用人民防空警报通信专用频率、使用与人民防空警报相同的音响信号的。</w:t>
            </w:r>
          </w:p>
        </w:tc>
        <w:tc>
          <w:tcPr>
            <w:tcW w:w="3430"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kern w:val="0"/>
                <w:sz w:val="18"/>
                <w:szCs w:val="18"/>
              </w:rPr>
              <w:t>1.立案责任：对发现的违法行为，予以审查，决定是否立案。</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2.调查责任：对立案的案件，指定专人负责，及时组织调查取证。执法人员在行政执法过程中，遇有法定回避情形的，应当回避。执法人员不得少于两人，应当按照规定佩戴中国人民防空标志，并出示行政执法身份证件，允许当事人辩解陈述。执法人员应保守有关秘密。</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3.审查责任：对案件违法事实、证据、调查取证程序、法律适用、处罚种类和幅度、当事人陈述和申辩理由等方面进行审查，提出处理意见。当事人提出的事实、理由和证据，应当进行复核。</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4.告知责任：作出行政处罚决定之前，应当告知当事人作出行政处罚决定的事实、理由及依据和依法享有的权利。符合听证规定的，告知当事人听证的权利。</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5.决定责任：依法予以处罚的，制作行政处罚决定书，载明违法事实和证据、行政处罚依据和内容、救济途径等内容。</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6.送达责任：行政处罚决定书按照法律规定的方式送达当事人。</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7.执行责任：监督当事人履行已经生效的行政处罚决定，当事人拒不履行的，申请人民法院强制执行。</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8.其他法律法规规章文件规定应履行的责任。</w:t>
            </w:r>
          </w:p>
        </w:tc>
        <w:tc>
          <w:tcPr>
            <w:tcW w:w="2290"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kern w:val="0"/>
                <w:sz w:val="18"/>
                <w:szCs w:val="18"/>
              </w:rPr>
              <w:t>因不履行或不正确履行行政职责，有下列情形的，行政机关及相关工作人员应承担相应责任：</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1.没有法律和事实依据实施行政处罚的；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2.执法人员玩忽职守，对应当予以制止和处罚的违法行为不予制止、处罚；</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3.不具备行政执法资格实施行政处罚的；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4.应当依法移送追究刑事责任，而未依法移送有关机关的；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5.未按裁量权规定，滥用裁量权的，行政处罚显失公正的；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6.违反法定的行政处罚程序的；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7.符合听证条件、行政管理相对人要求听证，应予组织听证而不组织听证；</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8.在行政处罚过程中发生腐败行为的；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9.侵害公民、法人或者其他组织合法权益造成损失并依法承担行政赔偿责任的；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10.其他违反法律法规规章文件规定的行为。</w:t>
            </w:r>
          </w:p>
        </w:tc>
        <w:tc>
          <w:tcPr>
            <w:tcW w:w="3367"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kern w:val="0"/>
                <w:sz w:val="18"/>
                <w:szCs w:val="18"/>
              </w:rPr>
              <w:t>对不履行或不正确履行行政职责的行政机关及相关工作人员由上级行政机关或者本级人民政府、监察机关、任免机关、政府法制机构等，依据过错与责任相适应的原则，按照各自权限以下列方式追究其责任：</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1.给予具体承办人责令作出书面检查、批评教育、取消年度评比先进资格、暂扣行政执法证件、离岗培训、调离工作岗位、取消行政执法资格以及处分等责任追究；</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2.给予审核人和批准人诫勉谈话、责令限期整改、责令作出书面检查、责令公开道歉、取消年度评比先进资格、通报批评、责令停职反省或者责令辞职、建议免职以及处分等责任追究；</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3.给予行政机关责令限期整改、通报批评、取消评比先进资格等责任追究；</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4.行政机关依法承担行政赔偿责任，在履行赔偿义务后，应当责令有故意或者重大过失的工作人员，承担部分或者全部赔偿费用；</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5.对违反党纪的工作人员（中共党员）给予党纪处分，对构成犯罪的工作人员，移交司法机关，依法追究刑事责任；</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6.其他法律法规规章文件规定的责任承担方式。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0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b w:val="0"/>
                <w:bCs w:val="0"/>
                <w:color w:val="000000" w:themeColor="text1"/>
                <w:sz w:val="18"/>
                <w:szCs w:val="18"/>
                <w:lang w:val="en-US" w:eastAsia="zh-CN"/>
              </w:rPr>
            </w:pPr>
            <w:r>
              <w:rPr>
                <w:rFonts w:hint="eastAsia" w:ascii="仿宋" w:hAnsi="仿宋" w:eastAsia="仿宋" w:cs="仿宋"/>
                <w:b w:val="0"/>
                <w:bCs w:val="0"/>
                <w:color w:val="000000" w:themeColor="text1"/>
                <w:sz w:val="18"/>
                <w:szCs w:val="18"/>
                <w:lang w:val="en-US" w:eastAsia="zh-CN"/>
              </w:rPr>
              <w:t>3</w:t>
            </w:r>
          </w:p>
        </w:tc>
        <w:tc>
          <w:tcPr>
            <w:tcW w:w="452" w:type="dxa"/>
            <w:tcBorders>
              <w:top w:val="single" w:color="auto" w:sz="4" w:space="0"/>
              <w:left w:val="nil"/>
              <w:bottom w:val="single" w:color="auto" w:sz="4" w:space="0"/>
              <w:right w:val="single" w:color="auto" w:sz="4" w:space="0"/>
            </w:tcBorders>
            <w:vAlign w:val="center"/>
          </w:tcPr>
          <w:p>
            <w:pPr>
              <w:adjustRightInd w:val="0"/>
              <w:snapToGrid w:val="0"/>
              <w:rPr>
                <w:rFonts w:hint="eastAsia" w:ascii="仿宋" w:hAnsi="仿宋" w:eastAsia="仿宋" w:cs="仿宋"/>
                <w:b w:val="0"/>
                <w:bCs w:val="0"/>
                <w:color w:val="000000" w:themeColor="text1"/>
                <w:sz w:val="18"/>
                <w:szCs w:val="18"/>
                <w:lang w:eastAsia="zh-CN"/>
              </w:rPr>
            </w:pPr>
            <w:r>
              <w:rPr>
                <w:rFonts w:hint="eastAsia" w:ascii="仿宋" w:hAnsi="仿宋" w:eastAsia="仿宋" w:cs="仿宋"/>
                <w:b w:val="0"/>
                <w:bCs w:val="0"/>
                <w:color w:val="000000" w:themeColor="text1"/>
                <w:sz w:val="18"/>
                <w:szCs w:val="18"/>
                <w:lang w:eastAsia="zh-CN"/>
              </w:rPr>
              <w:t>行政征收</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防空地下室易地建设费征收</w:t>
            </w:r>
          </w:p>
        </w:tc>
        <w:tc>
          <w:tcPr>
            <w:tcW w:w="371"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仿宋" w:hAnsi="仿宋" w:eastAsia="仿宋" w:cs="仿宋"/>
                <w:b w:val="0"/>
                <w:bCs w:val="0"/>
                <w:color w:val="000000" w:themeColor="text1"/>
                <w:sz w:val="18"/>
                <w:szCs w:val="18"/>
              </w:rPr>
            </w:pPr>
          </w:p>
        </w:tc>
        <w:tc>
          <w:tcPr>
            <w:tcW w:w="2846" w:type="dxa"/>
            <w:tcBorders>
              <w:top w:val="single" w:color="auto" w:sz="4" w:space="0"/>
              <w:left w:val="nil"/>
              <w:bottom w:val="single" w:color="auto" w:sz="4" w:space="0"/>
              <w:right w:val="single" w:color="auto" w:sz="4" w:space="0"/>
            </w:tcBorders>
          </w:tcPr>
          <w:p>
            <w:pPr>
              <w:adjustRightInd w:val="0"/>
              <w:snapToGrid w:val="0"/>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【地方性法规】《宁夏回族自治区实施〈中华人民共和国人民防空法〉办法》（2005年修正）</w:t>
            </w:r>
          </w:p>
          <w:p>
            <w:pPr>
              <w:adjustRightInd w:val="0"/>
              <w:snapToGrid w:val="0"/>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第十二条 应当修建防空地下室的民用建筑，因地质、施工等客观条件限制不能修建的，建设单位必须报同级“结建”、人民防空主管部门批准，并按照国家和自治区的规定，向有关部门缴纳防空地下室易地建设费，由人民防空主管部门按照城市规划统一修建。</w:t>
            </w:r>
          </w:p>
          <w:p>
            <w:pPr>
              <w:adjustRightInd w:val="0"/>
              <w:snapToGrid w:val="0"/>
              <w:spacing w:line="240" w:lineRule="auto"/>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收取易地人民防空工程建设费，必须使用自治区财政部门统一印制的收费票据，资金全部上缴财政专户，专项用于人民防空工程建设。</w:t>
            </w:r>
          </w:p>
        </w:tc>
        <w:tc>
          <w:tcPr>
            <w:tcW w:w="34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仿宋" w:hAnsi="仿宋" w:eastAsia="仿宋" w:cs="仿宋"/>
                <w:b w:val="0"/>
                <w:bCs w:val="0"/>
                <w:color w:val="000000" w:themeColor="text1"/>
                <w:kern w:val="0"/>
                <w:sz w:val="18"/>
                <w:szCs w:val="18"/>
              </w:rPr>
            </w:pPr>
            <w:r>
              <w:rPr>
                <w:rFonts w:hint="eastAsia" w:ascii="仿宋" w:hAnsi="仿宋" w:eastAsia="仿宋" w:cs="仿宋"/>
                <w:b w:val="0"/>
                <w:bCs w:val="0"/>
                <w:i w:val="0"/>
                <w:color w:val="000000" w:themeColor="text1"/>
                <w:kern w:val="0"/>
                <w:sz w:val="18"/>
                <w:szCs w:val="18"/>
                <w:u w:val="none"/>
                <w:lang w:val="en-US" w:eastAsia="zh-CN" w:bidi="ar"/>
              </w:rPr>
              <w:t>l_起始责任：公告征收的对象、方式、范围、标准等应当公示的内容，并予以解释。</w:t>
            </w:r>
            <w:r>
              <w:rPr>
                <w:rFonts w:hint="eastAsia" w:ascii="仿宋" w:hAnsi="仿宋" w:eastAsia="仿宋" w:cs="仿宋"/>
                <w:b w:val="0"/>
                <w:bCs w:val="0"/>
                <w:i w:val="0"/>
                <w:color w:val="000000" w:themeColor="text1"/>
                <w:kern w:val="0"/>
                <w:sz w:val="18"/>
                <w:szCs w:val="18"/>
                <w:u w:val="none"/>
                <w:lang w:val="en-US" w:eastAsia="zh-CN" w:bidi="ar"/>
              </w:rPr>
              <w:br w:type="textWrapping"/>
            </w:r>
            <w:r>
              <w:rPr>
                <w:rFonts w:hint="eastAsia" w:ascii="仿宋" w:hAnsi="仿宋" w:eastAsia="仿宋" w:cs="仿宋"/>
                <w:b w:val="0"/>
                <w:bCs w:val="0"/>
                <w:i w:val="0"/>
                <w:color w:val="000000" w:themeColor="text1"/>
                <w:kern w:val="0"/>
                <w:sz w:val="18"/>
                <w:szCs w:val="18"/>
                <w:u w:val="none"/>
                <w:lang w:val="en-US" w:eastAsia="zh-CN" w:bidi="ar"/>
              </w:rPr>
              <w:t>2．审核责任：对有关材料进行审核，提出易地建设费征收数额的审核意见。</w:t>
            </w:r>
            <w:r>
              <w:rPr>
                <w:rFonts w:hint="eastAsia" w:ascii="仿宋" w:hAnsi="仿宋" w:eastAsia="仿宋" w:cs="仿宋"/>
                <w:b w:val="0"/>
                <w:bCs w:val="0"/>
                <w:i w:val="0"/>
                <w:color w:val="000000" w:themeColor="text1"/>
                <w:kern w:val="0"/>
                <w:sz w:val="18"/>
                <w:szCs w:val="18"/>
                <w:u w:val="none"/>
                <w:lang w:val="en-US" w:eastAsia="zh-CN" w:bidi="ar"/>
              </w:rPr>
              <w:br w:type="textWrapping"/>
            </w:r>
            <w:r>
              <w:rPr>
                <w:rFonts w:hint="eastAsia" w:ascii="仿宋" w:hAnsi="仿宋" w:eastAsia="仿宋" w:cs="仿宋"/>
                <w:b w:val="0"/>
                <w:bCs w:val="0"/>
                <w:i w:val="0"/>
                <w:color w:val="000000" w:themeColor="text1"/>
                <w:kern w:val="0"/>
                <w:sz w:val="18"/>
                <w:szCs w:val="18"/>
                <w:u w:val="none"/>
                <w:lang w:val="en-US" w:eastAsia="zh-CN" w:bidi="ar"/>
              </w:rPr>
              <w:t>3.决定责任：在规定期限内作出征收决定。</w:t>
            </w:r>
            <w:r>
              <w:rPr>
                <w:rFonts w:hint="eastAsia" w:ascii="仿宋" w:hAnsi="仿宋" w:eastAsia="仿宋" w:cs="仿宋"/>
                <w:b w:val="0"/>
                <w:bCs w:val="0"/>
                <w:i w:val="0"/>
                <w:color w:val="000000" w:themeColor="text1"/>
                <w:kern w:val="0"/>
                <w:sz w:val="18"/>
                <w:szCs w:val="18"/>
                <w:u w:val="none"/>
                <w:lang w:val="en-US" w:eastAsia="zh-CN" w:bidi="ar"/>
              </w:rPr>
              <w:br w:type="textWrapping"/>
            </w:r>
            <w:r>
              <w:rPr>
                <w:rFonts w:hint="eastAsia" w:ascii="仿宋" w:hAnsi="仿宋" w:eastAsia="仿宋" w:cs="仿宋"/>
                <w:b w:val="0"/>
                <w:bCs w:val="0"/>
                <w:i w:val="0"/>
                <w:color w:val="000000" w:themeColor="text1"/>
                <w:kern w:val="0"/>
                <w:sz w:val="18"/>
                <w:szCs w:val="18"/>
                <w:u w:val="none"/>
                <w:lang w:val="en-US" w:eastAsia="zh-CN" w:bidi="ar"/>
              </w:rPr>
              <w:t>4．征收责任：行政许可部门在行政许可做出前一次性征收该项目易地建设费。</w:t>
            </w:r>
            <w:r>
              <w:rPr>
                <w:rFonts w:hint="eastAsia" w:ascii="仿宋" w:hAnsi="仿宋" w:eastAsia="仿宋" w:cs="仿宋"/>
                <w:b w:val="0"/>
                <w:bCs w:val="0"/>
                <w:i w:val="0"/>
                <w:color w:val="000000" w:themeColor="text1"/>
                <w:kern w:val="0"/>
                <w:sz w:val="18"/>
                <w:szCs w:val="18"/>
                <w:u w:val="none"/>
                <w:lang w:val="en-US" w:eastAsia="zh-CN" w:bidi="ar"/>
              </w:rPr>
              <w:br w:type="textWrapping"/>
            </w:r>
            <w:r>
              <w:rPr>
                <w:rFonts w:hint="eastAsia" w:ascii="仿宋" w:hAnsi="仿宋" w:eastAsia="仿宋" w:cs="仿宋"/>
                <w:b w:val="0"/>
                <w:bCs w:val="0"/>
                <w:i w:val="0"/>
                <w:color w:val="000000" w:themeColor="text1"/>
                <w:kern w:val="0"/>
                <w:sz w:val="18"/>
                <w:szCs w:val="18"/>
                <w:u w:val="none"/>
                <w:lang w:val="en-US" w:eastAsia="zh-CN" w:bidi="ar"/>
              </w:rPr>
              <w:t>5法律法规规章文件规定应履行的其他责任。</w:t>
            </w:r>
          </w:p>
        </w:tc>
        <w:tc>
          <w:tcPr>
            <w:tcW w:w="2290"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b w:val="0"/>
                <w:bCs w:val="0"/>
                <w:color w:val="000000" w:themeColor="text1"/>
                <w:kern w:val="0"/>
                <w:sz w:val="18"/>
                <w:szCs w:val="18"/>
                <w:lang w:eastAsia="zh-CN"/>
              </w:rPr>
            </w:pPr>
            <w:r>
              <w:rPr>
                <w:rFonts w:hint="eastAsia" w:ascii="仿宋" w:hAnsi="仿宋" w:eastAsia="仿宋" w:cs="仿宋"/>
                <w:b w:val="0"/>
                <w:bCs w:val="0"/>
                <w:color w:val="000000" w:themeColor="text1"/>
                <w:kern w:val="0"/>
                <w:sz w:val="18"/>
                <w:szCs w:val="18"/>
              </w:rPr>
              <w:t>因不履行或不正确履行行政职责，有下列情形的，行政机关及相关工作人员应承担相应责任：</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1．未按规定</w:t>
            </w:r>
            <w:r>
              <w:rPr>
                <w:rFonts w:hint="eastAsia" w:ascii="仿宋" w:hAnsi="仿宋" w:eastAsia="仿宋" w:cs="仿宋"/>
                <w:b w:val="0"/>
                <w:bCs w:val="0"/>
                <w:color w:val="000000" w:themeColor="text1"/>
                <w:kern w:val="0"/>
                <w:sz w:val="18"/>
                <w:szCs w:val="18"/>
                <w:lang w:eastAsia="zh-CN"/>
              </w:rPr>
              <w:t>公布收费对象、方式、范围、依据、标准</w:t>
            </w:r>
            <w:r>
              <w:rPr>
                <w:rFonts w:hint="eastAsia" w:ascii="仿宋" w:hAnsi="仿宋" w:eastAsia="仿宋" w:cs="仿宋"/>
                <w:b w:val="0"/>
                <w:bCs w:val="0"/>
                <w:color w:val="000000" w:themeColor="text1"/>
                <w:kern w:val="0"/>
                <w:sz w:val="18"/>
                <w:szCs w:val="18"/>
              </w:rPr>
              <w:t>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2．</w:t>
            </w:r>
            <w:r>
              <w:rPr>
                <w:rFonts w:hint="eastAsia" w:ascii="仿宋" w:hAnsi="仿宋" w:eastAsia="仿宋" w:cs="仿宋"/>
                <w:b w:val="0"/>
                <w:bCs w:val="0"/>
                <w:color w:val="000000" w:themeColor="text1"/>
                <w:kern w:val="0"/>
                <w:sz w:val="18"/>
                <w:szCs w:val="18"/>
                <w:lang w:eastAsia="zh-CN"/>
              </w:rPr>
              <w:t>未严格对有关材料审核，</w:t>
            </w:r>
            <w:r>
              <w:rPr>
                <w:rFonts w:hint="eastAsia" w:ascii="仿宋" w:hAnsi="仿宋" w:eastAsia="仿宋" w:cs="仿宋"/>
                <w:b w:val="0"/>
                <w:bCs w:val="0"/>
                <w:i w:val="0"/>
                <w:color w:val="000000" w:themeColor="text1"/>
                <w:kern w:val="0"/>
                <w:sz w:val="18"/>
                <w:szCs w:val="18"/>
                <w:u w:val="none"/>
                <w:lang w:val="en-US" w:eastAsia="zh-CN" w:bidi="ar"/>
              </w:rPr>
              <w:t>提出易地建设费征收数额的审核意见的</w:t>
            </w:r>
            <w:r>
              <w:rPr>
                <w:rFonts w:hint="eastAsia" w:ascii="仿宋" w:hAnsi="仿宋" w:eastAsia="仿宋" w:cs="仿宋"/>
                <w:b w:val="0"/>
                <w:bCs w:val="0"/>
                <w:color w:val="000000" w:themeColor="text1"/>
                <w:kern w:val="0"/>
                <w:sz w:val="18"/>
                <w:szCs w:val="18"/>
              </w:rPr>
              <w:t>；</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3．</w:t>
            </w:r>
            <w:r>
              <w:rPr>
                <w:rFonts w:hint="eastAsia" w:ascii="仿宋" w:hAnsi="仿宋" w:eastAsia="仿宋" w:cs="仿宋"/>
                <w:b w:val="0"/>
                <w:bCs w:val="0"/>
                <w:i w:val="0"/>
                <w:color w:val="000000" w:themeColor="text1"/>
                <w:kern w:val="0"/>
                <w:sz w:val="18"/>
                <w:szCs w:val="18"/>
                <w:u w:val="none"/>
                <w:lang w:val="en-US" w:eastAsia="zh-CN" w:bidi="ar"/>
              </w:rPr>
              <w:t>在规定期限内未作出征收决定。</w:t>
            </w:r>
          </w:p>
          <w:p>
            <w:pPr>
              <w:adjustRightInd w:val="0"/>
              <w:snapToGrid w:val="0"/>
              <w:spacing w:line="240" w:lineRule="auto"/>
              <w:rPr>
                <w:rFonts w:hint="eastAsia" w:ascii="仿宋" w:hAnsi="仿宋" w:eastAsia="仿宋" w:cs="仿宋"/>
                <w:b w:val="0"/>
                <w:bCs w:val="0"/>
                <w:color w:val="000000" w:themeColor="text1"/>
                <w:kern w:val="0"/>
                <w:sz w:val="18"/>
                <w:szCs w:val="18"/>
              </w:rPr>
            </w:pPr>
            <w:r>
              <w:rPr>
                <w:rFonts w:hint="eastAsia" w:ascii="仿宋" w:hAnsi="仿宋" w:eastAsia="仿宋" w:cs="仿宋"/>
                <w:b w:val="0"/>
                <w:bCs w:val="0"/>
                <w:color w:val="000000" w:themeColor="text1"/>
                <w:kern w:val="0"/>
                <w:sz w:val="18"/>
                <w:szCs w:val="18"/>
                <w:lang w:val="en-US" w:eastAsia="zh-CN"/>
              </w:rPr>
              <w:t>4、</w:t>
            </w:r>
            <w:r>
              <w:rPr>
                <w:rFonts w:hint="eastAsia" w:ascii="仿宋" w:hAnsi="仿宋" w:eastAsia="仿宋" w:cs="仿宋"/>
                <w:b w:val="0"/>
                <w:bCs w:val="0"/>
                <w:color w:val="000000" w:themeColor="text1"/>
                <w:kern w:val="0"/>
                <w:sz w:val="18"/>
                <w:szCs w:val="18"/>
                <w:lang w:eastAsia="zh-CN"/>
              </w:rPr>
              <w:t>收费</w:t>
            </w:r>
            <w:r>
              <w:rPr>
                <w:rFonts w:hint="eastAsia" w:ascii="仿宋" w:hAnsi="仿宋" w:eastAsia="仿宋" w:cs="仿宋"/>
                <w:b w:val="0"/>
                <w:bCs w:val="0"/>
                <w:color w:val="000000" w:themeColor="text1"/>
                <w:kern w:val="0"/>
                <w:sz w:val="18"/>
                <w:szCs w:val="18"/>
              </w:rPr>
              <w:t>过程中滥用职权、玩忽职守、徇私舞弊行为，发生腐败行为的；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lang w:val="en-US" w:eastAsia="zh-CN"/>
              </w:rPr>
              <w:t>5</w:t>
            </w:r>
            <w:r>
              <w:rPr>
                <w:rFonts w:hint="eastAsia" w:ascii="仿宋" w:hAnsi="仿宋" w:eastAsia="仿宋" w:cs="仿宋"/>
                <w:b w:val="0"/>
                <w:bCs w:val="0"/>
                <w:color w:val="000000" w:themeColor="text1"/>
                <w:kern w:val="0"/>
                <w:sz w:val="18"/>
                <w:szCs w:val="18"/>
              </w:rPr>
              <w:t>．未按规定，</w:t>
            </w:r>
            <w:r>
              <w:rPr>
                <w:rFonts w:hint="eastAsia" w:ascii="仿宋" w:hAnsi="仿宋" w:eastAsia="仿宋" w:cs="仿宋"/>
                <w:b w:val="0"/>
                <w:bCs w:val="0"/>
                <w:color w:val="000000" w:themeColor="text1"/>
                <w:kern w:val="0"/>
                <w:sz w:val="18"/>
                <w:szCs w:val="18"/>
                <w:lang w:eastAsia="zh-CN"/>
              </w:rPr>
              <w:t>收取易地建设费</w:t>
            </w:r>
            <w:r>
              <w:rPr>
                <w:rFonts w:hint="eastAsia" w:ascii="仿宋" w:hAnsi="仿宋" w:eastAsia="仿宋" w:cs="仿宋"/>
                <w:b w:val="0"/>
                <w:bCs w:val="0"/>
                <w:color w:val="000000" w:themeColor="text1"/>
                <w:kern w:val="0"/>
                <w:sz w:val="18"/>
                <w:szCs w:val="18"/>
              </w:rPr>
              <w:t>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lang w:val="en-US" w:eastAsia="zh-CN"/>
              </w:rPr>
              <w:t>6</w:t>
            </w:r>
            <w:r>
              <w:rPr>
                <w:rFonts w:hint="eastAsia" w:ascii="仿宋" w:hAnsi="仿宋" w:eastAsia="仿宋" w:cs="仿宋"/>
                <w:b w:val="0"/>
                <w:bCs w:val="0"/>
                <w:color w:val="000000" w:themeColor="text1"/>
                <w:kern w:val="0"/>
                <w:sz w:val="18"/>
                <w:szCs w:val="18"/>
              </w:rPr>
              <w:t>．其他违反法律法规规章文件规定的行为。</w:t>
            </w:r>
          </w:p>
        </w:tc>
        <w:tc>
          <w:tcPr>
            <w:tcW w:w="3367"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b w:val="0"/>
                <w:bCs w:val="0"/>
                <w:color w:val="000000" w:themeColor="text1"/>
                <w:kern w:val="0"/>
                <w:sz w:val="18"/>
                <w:szCs w:val="18"/>
              </w:rPr>
            </w:pPr>
            <w:r>
              <w:rPr>
                <w:rFonts w:hint="eastAsia" w:ascii="仿宋" w:hAnsi="仿宋" w:eastAsia="仿宋" w:cs="仿宋"/>
                <w:b w:val="0"/>
                <w:bCs w:val="0"/>
                <w:color w:val="000000" w:themeColor="text1"/>
                <w:kern w:val="0"/>
                <w:sz w:val="18"/>
                <w:szCs w:val="18"/>
              </w:rPr>
              <w:t>对不履行或不正确履行行政职责的行政机关及相关工作人员由上级行政机关或者本级人民政府、监察机关、任免机关、政府法制机构，以下列方式追究其责任：</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1.给予具体承办人责令作出书面检查、批评教育、取消年度评比先进资格、暂扣行政执法证件、离岗培训、调离工作岗位、取消行政执法资格以及处分等责任追究；</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2. 给予批准人诫勉谈话、责令限期整改、责令作出书面检查、责令公开道歉、取消年度评比先进资格、通报批评、责令停职反省或者责令辞职、建议免职以及处分等责任追究；</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3.给予行政机关责令限期整改、通报批评、取消评比先进资格等责任追究；</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4. 对违反党纪的工作人员（中共党员）给予党纪处分，对构成犯罪的工作人员，移交司法机关，依法追究刑事责任；</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5.其他法律法规规章文件规定的责任承担方式。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0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b w:val="0"/>
                <w:bCs w:val="0"/>
                <w:color w:val="000000" w:themeColor="text1"/>
                <w:sz w:val="18"/>
                <w:szCs w:val="18"/>
                <w:lang w:val="en-US" w:eastAsia="zh-CN"/>
              </w:rPr>
            </w:pPr>
            <w:r>
              <w:rPr>
                <w:rFonts w:hint="eastAsia" w:ascii="仿宋" w:hAnsi="仿宋" w:eastAsia="仿宋" w:cs="仿宋"/>
                <w:b w:val="0"/>
                <w:bCs w:val="0"/>
                <w:color w:val="000000" w:themeColor="text1"/>
                <w:sz w:val="18"/>
                <w:szCs w:val="18"/>
                <w:lang w:val="en-US" w:eastAsia="zh-CN"/>
              </w:rPr>
              <w:t>4</w:t>
            </w:r>
          </w:p>
        </w:tc>
        <w:tc>
          <w:tcPr>
            <w:tcW w:w="452" w:type="dxa"/>
            <w:tcBorders>
              <w:top w:val="single" w:color="auto" w:sz="4" w:space="0"/>
              <w:left w:val="nil"/>
              <w:bottom w:val="single" w:color="auto" w:sz="4" w:space="0"/>
              <w:right w:val="single" w:color="auto" w:sz="4" w:space="0"/>
            </w:tcBorders>
            <w:vAlign w:val="center"/>
          </w:tcPr>
          <w:p>
            <w:pPr>
              <w:adjustRightInd w:val="0"/>
              <w:snapToGrid w:val="0"/>
              <w:rPr>
                <w:rFonts w:hint="eastAsia" w:ascii="仿宋" w:hAnsi="仿宋" w:eastAsia="仿宋" w:cs="仿宋"/>
                <w:b w:val="0"/>
                <w:bCs w:val="0"/>
                <w:color w:val="000000" w:themeColor="text1"/>
                <w:sz w:val="18"/>
                <w:szCs w:val="18"/>
                <w:lang w:eastAsia="zh-CN"/>
              </w:rPr>
            </w:pPr>
            <w:r>
              <w:rPr>
                <w:rFonts w:hint="eastAsia" w:ascii="仿宋" w:hAnsi="仿宋" w:eastAsia="仿宋" w:cs="仿宋"/>
                <w:b w:val="0"/>
                <w:bCs w:val="0"/>
                <w:color w:val="000000" w:themeColor="text1"/>
                <w:sz w:val="18"/>
                <w:szCs w:val="18"/>
                <w:lang w:eastAsia="zh-CN"/>
              </w:rPr>
              <w:t>行政征收</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人防工程拆除补偿费征收</w:t>
            </w:r>
          </w:p>
        </w:tc>
        <w:tc>
          <w:tcPr>
            <w:tcW w:w="371"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仿宋" w:hAnsi="仿宋" w:eastAsia="仿宋" w:cs="仿宋"/>
                <w:b w:val="0"/>
                <w:bCs w:val="0"/>
                <w:color w:val="000000" w:themeColor="text1"/>
                <w:sz w:val="18"/>
                <w:szCs w:val="18"/>
              </w:rPr>
            </w:pPr>
          </w:p>
        </w:tc>
        <w:tc>
          <w:tcPr>
            <w:tcW w:w="2846" w:type="dxa"/>
            <w:tcBorders>
              <w:top w:val="single" w:color="auto" w:sz="4" w:space="0"/>
              <w:left w:val="nil"/>
              <w:bottom w:val="single" w:color="auto" w:sz="4" w:space="0"/>
              <w:right w:val="single" w:color="auto" w:sz="4" w:space="0"/>
            </w:tcBorders>
          </w:tcPr>
          <w:p>
            <w:pPr>
              <w:adjustRightInd w:val="0"/>
              <w:snapToGrid w:val="0"/>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【地方性法规】《宁夏回族自治区实施〈中华人民共和国人民防空法〉办法》（2005年修正）</w:t>
            </w:r>
          </w:p>
          <w:p>
            <w:pPr>
              <w:adjustRightInd w:val="0"/>
              <w:snapToGrid w:val="0"/>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第二十一条 任何组织和个人不得擅自拆除人民防空工程，确需拆除的，必须报经人民防空主管部门批准，并由拆除单位补建或补偿。</w:t>
            </w:r>
          </w:p>
          <w:p>
            <w:pPr>
              <w:adjustRightInd w:val="0"/>
              <w:snapToGrid w:val="0"/>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拆除六级以上（含六级）人民防空工程，按同等级、同面积补建；拆除简易人民防空工程，补建同面积六级人民防空工程。</w:t>
            </w:r>
          </w:p>
          <w:p>
            <w:pPr>
              <w:adjustRightInd w:val="0"/>
              <w:snapToGrid w:val="0"/>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拆除人民防空工程的补建期限，自人民防空主管部门批准拆除之日起一年内。</w:t>
            </w:r>
          </w:p>
          <w:p>
            <w:pPr>
              <w:adjustRightInd w:val="0"/>
              <w:snapToGrid w:val="0"/>
              <w:spacing w:line="240" w:lineRule="auto"/>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无法补建的，拆除单位应按国家和自治区有关规定向人民防空主管部门进行一次性补偿，由人民防空主管部门统一建设。</w:t>
            </w:r>
          </w:p>
        </w:tc>
        <w:tc>
          <w:tcPr>
            <w:tcW w:w="3430"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b w:val="0"/>
                <w:bCs w:val="0"/>
                <w:color w:val="000000" w:themeColor="text1"/>
                <w:kern w:val="0"/>
                <w:sz w:val="18"/>
                <w:szCs w:val="18"/>
              </w:rPr>
            </w:pPr>
            <w:r>
              <w:rPr>
                <w:rFonts w:hint="eastAsia" w:ascii="仿宋" w:hAnsi="仿宋" w:eastAsia="仿宋" w:cs="仿宋"/>
                <w:b w:val="0"/>
                <w:bCs w:val="0"/>
                <w:i w:val="0"/>
                <w:color w:val="000000" w:themeColor="text1"/>
                <w:kern w:val="0"/>
                <w:sz w:val="18"/>
                <w:szCs w:val="18"/>
                <w:u w:val="none"/>
                <w:lang w:val="en-US" w:eastAsia="zh-CN" w:bidi="ar"/>
              </w:rPr>
              <w:t>l_起始责任：公告征收的对象、方式、范围、标准等应当公示的内容，并予以解释。</w:t>
            </w:r>
            <w:r>
              <w:rPr>
                <w:rFonts w:hint="eastAsia" w:ascii="仿宋" w:hAnsi="仿宋" w:eastAsia="仿宋" w:cs="仿宋"/>
                <w:b w:val="0"/>
                <w:bCs w:val="0"/>
                <w:i w:val="0"/>
                <w:color w:val="000000" w:themeColor="text1"/>
                <w:kern w:val="0"/>
                <w:sz w:val="18"/>
                <w:szCs w:val="18"/>
                <w:u w:val="none"/>
                <w:lang w:val="en-US" w:eastAsia="zh-CN" w:bidi="ar"/>
              </w:rPr>
              <w:br w:type="textWrapping"/>
            </w:r>
            <w:r>
              <w:rPr>
                <w:rFonts w:hint="eastAsia" w:ascii="仿宋" w:hAnsi="仿宋" w:eastAsia="仿宋" w:cs="仿宋"/>
                <w:b w:val="0"/>
                <w:bCs w:val="0"/>
                <w:i w:val="0"/>
                <w:color w:val="000000" w:themeColor="text1"/>
                <w:kern w:val="0"/>
                <w:sz w:val="18"/>
                <w:szCs w:val="18"/>
                <w:u w:val="none"/>
                <w:lang w:val="en-US" w:eastAsia="zh-CN" w:bidi="ar"/>
              </w:rPr>
              <w:t>2．审核责任：对有关材料进行审核，提出易地建设费征收数额的审核意见。</w:t>
            </w:r>
            <w:r>
              <w:rPr>
                <w:rFonts w:hint="eastAsia" w:ascii="仿宋" w:hAnsi="仿宋" w:eastAsia="仿宋" w:cs="仿宋"/>
                <w:b w:val="0"/>
                <w:bCs w:val="0"/>
                <w:i w:val="0"/>
                <w:color w:val="000000" w:themeColor="text1"/>
                <w:kern w:val="0"/>
                <w:sz w:val="18"/>
                <w:szCs w:val="18"/>
                <w:u w:val="none"/>
                <w:lang w:val="en-US" w:eastAsia="zh-CN" w:bidi="ar"/>
              </w:rPr>
              <w:br w:type="textWrapping"/>
            </w:r>
            <w:r>
              <w:rPr>
                <w:rFonts w:hint="eastAsia" w:ascii="仿宋" w:hAnsi="仿宋" w:eastAsia="仿宋" w:cs="仿宋"/>
                <w:b w:val="0"/>
                <w:bCs w:val="0"/>
                <w:i w:val="0"/>
                <w:color w:val="000000" w:themeColor="text1"/>
                <w:kern w:val="0"/>
                <w:sz w:val="18"/>
                <w:szCs w:val="18"/>
                <w:u w:val="none"/>
                <w:lang w:val="en-US" w:eastAsia="zh-CN" w:bidi="ar"/>
              </w:rPr>
              <w:t>3.决定责任：在规定期限内作出征收决定。</w:t>
            </w:r>
            <w:r>
              <w:rPr>
                <w:rFonts w:hint="eastAsia" w:ascii="仿宋" w:hAnsi="仿宋" w:eastAsia="仿宋" w:cs="仿宋"/>
                <w:b w:val="0"/>
                <w:bCs w:val="0"/>
                <w:i w:val="0"/>
                <w:color w:val="000000" w:themeColor="text1"/>
                <w:kern w:val="0"/>
                <w:sz w:val="18"/>
                <w:szCs w:val="18"/>
                <w:u w:val="none"/>
                <w:lang w:val="en-US" w:eastAsia="zh-CN" w:bidi="ar"/>
              </w:rPr>
              <w:br w:type="textWrapping"/>
            </w:r>
            <w:r>
              <w:rPr>
                <w:rFonts w:hint="eastAsia" w:ascii="仿宋" w:hAnsi="仿宋" w:eastAsia="仿宋" w:cs="仿宋"/>
                <w:b w:val="0"/>
                <w:bCs w:val="0"/>
                <w:i w:val="0"/>
                <w:color w:val="000000" w:themeColor="text1"/>
                <w:kern w:val="0"/>
                <w:sz w:val="18"/>
                <w:szCs w:val="18"/>
                <w:u w:val="none"/>
                <w:lang w:val="en-US" w:eastAsia="zh-CN" w:bidi="ar"/>
              </w:rPr>
              <w:t>4．征收责任：行政许可部门在行政许可做出前一次性征收人防工程拆除补偿费。</w:t>
            </w:r>
            <w:r>
              <w:rPr>
                <w:rFonts w:hint="eastAsia" w:ascii="仿宋" w:hAnsi="仿宋" w:eastAsia="仿宋" w:cs="仿宋"/>
                <w:b w:val="0"/>
                <w:bCs w:val="0"/>
                <w:i w:val="0"/>
                <w:color w:val="000000" w:themeColor="text1"/>
                <w:kern w:val="0"/>
                <w:sz w:val="18"/>
                <w:szCs w:val="18"/>
                <w:u w:val="none"/>
                <w:lang w:val="en-US" w:eastAsia="zh-CN" w:bidi="ar"/>
              </w:rPr>
              <w:br w:type="textWrapping"/>
            </w:r>
            <w:r>
              <w:rPr>
                <w:rFonts w:hint="eastAsia" w:ascii="仿宋" w:hAnsi="仿宋" w:eastAsia="仿宋" w:cs="仿宋"/>
                <w:b w:val="0"/>
                <w:bCs w:val="0"/>
                <w:i w:val="0"/>
                <w:color w:val="000000" w:themeColor="text1"/>
                <w:kern w:val="0"/>
                <w:sz w:val="18"/>
                <w:szCs w:val="18"/>
                <w:u w:val="none"/>
                <w:lang w:val="en-US" w:eastAsia="zh-CN" w:bidi="ar"/>
              </w:rPr>
              <w:t>5法律法规规章文件规定应履行的其他责任。</w:t>
            </w:r>
          </w:p>
        </w:tc>
        <w:tc>
          <w:tcPr>
            <w:tcW w:w="2290"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b w:val="0"/>
                <w:bCs w:val="0"/>
                <w:color w:val="000000" w:themeColor="text1"/>
                <w:kern w:val="0"/>
                <w:sz w:val="18"/>
                <w:szCs w:val="18"/>
                <w:lang w:eastAsia="zh-CN"/>
              </w:rPr>
            </w:pPr>
            <w:r>
              <w:rPr>
                <w:rFonts w:hint="eastAsia" w:ascii="仿宋" w:hAnsi="仿宋" w:eastAsia="仿宋" w:cs="仿宋"/>
                <w:b w:val="0"/>
                <w:bCs w:val="0"/>
                <w:color w:val="000000" w:themeColor="text1"/>
                <w:kern w:val="0"/>
                <w:sz w:val="18"/>
                <w:szCs w:val="18"/>
              </w:rPr>
              <w:t>因不履行或不正确履行行政职责，有下列情形的，行政机关及相关工作人员应承担相应责任：</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1．未按规定</w:t>
            </w:r>
            <w:r>
              <w:rPr>
                <w:rFonts w:hint="eastAsia" w:ascii="仿宋" w:hAnsi="仿宋" w:eastAsia="仿宋" w:cs="仿宋"/>
                <w:b w:val="0"/>
                <w:bCs w:val="0"/>
                <w:color w:val="000000" w:themeColor="text1"/>
                <w:kern w:val="0"/>
                <w:sz w:val="18"/>
                <w:szCs w:val="18"/>
                <w:lang w:eastAsia="zh-CN"/>
              </w:rPr>
              <w:t>公布收费对象、方式、范围、依据、标准</w:t>
            </w:r>
            <w:r>
              <w:rPr>
                <w:rFonts w:hint="eastAsia" w:ascii="仿宋" w:hAnsi="仿宋" w:eastAsia="仿宋" w:cs="仿宋"/>
                <w:b w:val="0"/>
                <w:bCs w:val="0"/>
                <w:color w:val="000000" w:themeColor="text1"/>
                <w:kern w:val="0"/>
                <w:sz w:val="18"/>
                <w:szCs w:val="18"/>
              </w:rPr>
              <w:t>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2．</w:t>
            </w:r>
            <w:r>
              <w:rPr>
                <w:rFonts w:hint="eastAsia" w:ascii="仿宋" w:hAnsi="仿宋" w:eastAsia="仿宋" w:cs="仿宋"/>
                <w:b w:val="0"/>
                <w:bCs w:val="0"/>
                <w:color w:val="000000" w:themeColor="text1"/>
                <w:kern w:val="0"/>
                <w:sz w:val="18"/>
                <w:szCs w:val="18"/>
                <w:lang w:eastAsia="zh-CN"/>
              </w:rPr>
              <w:t>未严格对有关材料审核，</w:t>
            </w:r>
            <w:r>
              <w:rPr>
                <w:rFonts w:hint="eastAsia" w:ascii="仿宋" w:hAnsi="仿宋" w:eastAsia="仿宋" w:cs="仿宋"/>
                <w:b w:val="0"/>
                <w:bCs w:val="0"/>
                <w:i w:val="0"/>
                <w:color w:val="000000" w:themeColor="text1"/>
                <w:kern w:val="0"/>
                <w:sz w:val="18"/>
                <w:szCs w:val="18"/>
                <w:u w:val="none"/>
                <w:lang w:val="en-US" w:eastAsia="zh-CN" w:bidi="ar"/>
              </w:rPr>
              <w:t>提出人防工程拆除补偿征收数额的审核意见的</w:t>
            </w:r>
            <w:r>
              <w:rPr>
                <w:rFonts w:hint="eastAsia" w:ascii="仿宋" w:hAnsi="仿宋" w:eastAsia="仿宋" w:cs="仿宋"/>
                <w:b w:val="0"/>
                <w:bCs w:val="0"/>
                <w:color w:val="000000" w:themeColor="text1"/>
                <w:kern w:val="0"/>
                <w:sz w:val="18"/>
                <w:szCs w:val="18"/>
              </w:rPr>
              <w:t>；</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3．</w:t>
            </w:r>
            <w:r>
              <w:rPr>
                <w:rFonts w:hint="eastAsia" w:ascii="仿宋" w:hAnsi="仿宋" w:eastAsia="仿宋" w:cs="仿宋"/>
                <w:b w:val="0"/>
                <w:bCs w:val="0"/>
                <w:i w:val="0"/>
                <w:color w:val="000000" w:themeColor="text1"/>
                <w:kern w:val="0"/>
                <w:sz w:val="18"/>
                <w:szCs w:val="18"/>
                <w:u w:val="none"/>
                <w:lang w:val="en-US" w:eastAsia="zh-CN" w:bidi="ar"/>
              </w:rPr>
              <w:t>在规定期限内未作出征收决定。</w:t>
            </w:r>
          </w:p>
          <w:p>
            <w:pPr>
              <w:adjustRightInd w:val="0"/>
              <w:snapToGrid w:val="0"/>
              <w:spacing w:line="240" w:lineRule="auto"/>
              <w:rPr>
                <w:rFonts w:hint="eastAsia" w:ascii="仿宋" w:hAnsi="仿宋" w:eastAsia="仿宋" w:cs="仿宋"/>
                <w:b w:val="0"/>
                <w:bCs w:val="0"/>
                <w:color w:val="000000" w:themeColor="text1"/>
                <w:kern w:val="0"/>
                <w:sz w:val="18"/>
                <w:szCs w:val="18"/>
              </w:rPr>
            </w:pPr>
            <w:r>
              <w:rPr>
                <w:rFonts w:hint="eastAsia" w:ascii="仿宋" w:hAnsi="仿宋" w:eastAsia="仿宋" w:cs="仿宋"/>
                <w:b w:val="0"/>
                <w:bCs w:val="0"/>
                <w:color w:val="000000" w:themeColor="text1"/>
                <w:kern w:val="0"/>
                <w:sz w:val="18"/>
                <w:szCs w:val="18"/>
                <w:lang w:val="en-US" w:eastAsia="zh-CN"/>
              </w:rPr>
              <w:t>4、</w:t>
            </w:r>
            <w:r>
              <w:rPr>
                <w:rFonts w:hint="eastAsia" w:ascii="仿宋" w:hAnsi="仿宋" w:eastAsia="仿宋" w:cs="仿宋"/>
                <w:b w:val="0"/>
                <w:bCs w:val="0"/>
                <w:color w:val="000000" w:themeColor="text1"/>
                <w:kern w:val="0"/>
                <w:sz w:val="18"/>
                <w:szCs w:val="18"/>
                <w:lang w:eastAsia="zh-CN"/>
              </w:rPr>
              <w:t>收费</w:t>
            </w:r>
            <w:r>
              <w:rPr>
                <w:rFonts w:hint="eastAsia" w:ascii="仿宋" w:hAnsi="仿宋" w:eastAsia="仿宋" w:cs="仿宋"/>
                <w:b w:val="0"/>
                <w:bCs w:val="0"/>
                <w:color w:val="000000" w:themeColor="text1"/>
                <w:kern w:val="0"/>
                <w:sz w:val="18"/>
                <w:szCs w:val="18"/>
              </w:rPr>
              <w:t>过程中滥用职权、玩忽职守、徇私舞弊行为，发生腐败行为的；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lang w:val="en-US" w:eastAsia="zh-CN"/>
              </w:rPr>
              <w:t>5</w:t>
            </w:r>
            <w:r>
              <w:rPr>
                <w:rFonts w:hint="eastAsia" w:ascii="仿宋" w:hAnsi="仿宋" w:eastAsia="仿宋" w:cs="仿宋"/>
                <w:b w:val="0"/>
                <w:bCs w:val="0"/>
                <w:color w:val="000000" w:themeColor="text1"/>
                <w:kern w:val="0"/>
                <w:sz w:val="18"/>
                <w:szCs w:val="18"/>
              </w:rPr>
              <w:t>．未按规定，</w:t>
            </w:r>
            <w:r>
              <w:rPr>
                <w:rFonts w:hint="eastAsia" w:ascii="仿宋" w:hAnsi="仿宋" w:eastAsia="仿宋" w:cs="仿宋"/>
                <w:b w:val="0"/>
                <w:bCs w:val="0"/>
                <w:color w:val="000000" w:themeColor="text1"/>
                <w:kern w:val="0"/>
                <w:sz w:val="18"/>
                <w:szCs w:val="18"/>
                <w:lang w:eastAsia="zh-CN"/>
              </w:rPr>
              <w:t>收取</w:t>
            </w:r>
            <w:r>
              <w:rPr>
                <w:rFonts w:hint="eastAsia" w:ascii="仿宋" w:hAnsi="仿宋" w:eastAsia="仿宋" w:cs="仿宋"/>
                <w:b w:val="0"/>
                <w:bCs w:val="0"/>
                <w:i w:val="0"/>
                <w:color w:val="000000" w:themeColor="text1"/>
                <w:kern w:val="0"/>
                <w:sz w:val="18"/>
                <w:szCs w:val="18"/>
                <w:u w:val="none"/>
                <w:lang w:val="en-US" w:eastAsia="zh-CN" w:bidi="ar"/>
              </w:rPr>
              <w:t>人防工程拆除补偿费</w:t>
            </w:r>
            <w:r>
              <w:rPr>
                <w:rFonts w:hint="eastAsia" w:ascii="仿宋" w:hAnsi="仿宋" w:eastAsia="仿宋" w:cs="仿宋"/>
                <w:b w:val="0"/>
                <w:bCs w:val="0"/>
                <w:color w:val="000000" w:themeColor="text1"/>
                <w:kern w:val="0"/>
                <w:sz w:val="18"/>
                <w:szCs w:val="18"/>
              </w:rPr>
              <w:t>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lang w:val="en-US" w:eastAsia="zh-CN"/>
              </w:rPr>
              <w:t>6</w:t>
            </w:r>
            <w:r>
              <w:rPr>
                <w:rFonts w:hint="eastAsia" w:ascii="仿宋" w:hAnsi="仿宋" w:eastAsia="仿宋" w:cs="仿宋"/>
                <w:b w:val="0"/>
                <w:bCs w:val="0"/>
                <w:color w:val="000000" w:themeColor="text1"/>
                <w:kern w:val="0"/>
                <w:sz w:val="18"/>
                <w:szCs w:val="18"/>
              </w:rPr>
              <w:t>．其他违反法律法规规章文件规定的行为。</w:t>
            </w:r>
          </w:p>
        </w:tc>
        <w:tc>
          <w:tcPr>
            <w:tcW w:w="3367"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b w:val="0"/>
                <w:bCs w:val="0"/>
                <w:color w:val="000000" w:themeColor="text1"/>
                <w:kern w:val="0"/>
                <w:sz w:val="18"/>
                <w:szCs w:val="18"/>
              </w:rPr>
            </w:pPr>
            <w:r>
              <w:rPr>
                <w:rFonts w:hint="eastAsia" w:ascii="仿宋" w:hAnsi="仿宋" w:eastAsia="仿宋" w:cs="仿宋"/>
                <w:b w:val="0"/>
                <w:bCs w:val="0"/>
                <w:color w:val="000000" w:themeColor="text1"/>
                <w:kern w:val="0"/>
                <w:sz w:val="18"/>
                <w:szCs w:val="18"/>
              </w:rPr>
              <w:t>对不履行或不正确履行行政职责的行政机关及相关工作人员由上级行政机关或者本级人民政府、监察机关、任免机关、政府法制机构，以下列方式追究其责任：</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1.给予具体承办人责令作出书面检查、批评教育、取消年度评比先进资格、暂扣行政执法证件、离岗培训、调离工作岗位、取消行政执法资格以及处分等责任追究；</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2. 给予批准人诫勉谈话、责令限期整改、责令作出书面检查、责令公开道歉、取消年度评比先进资格、通报批评、责令停职反省或者责令辞职、建议免职以及处分等责任追究；</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3.给予行政机关责令限期整改、通报批评、取消评比先进资格等责任追究；</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4. 对违反党纪的工作人员（中共党员）给予党纪处分，对构成犯罪的工作人员，移交司法机关，依法追究刑事责任；</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5.其他法律法规规章文件规定的责任承担方式。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0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b w:val="0"/>
                <w:bCs w:val="0"/>
                <w:color w:val="000000" w:themeColor="text1"/>
                <w:sz w:val="18"/>
                <w:szCs w:val="18"/>
                <w:lang w:eastAsia="zh-CN"/>
              </w:rPr>
            </w:pPr>
            <w:r>
              <w:rPr>
                <w:rFonts w:hint="eastAsia" w:ascii="仿宋" w:hAnsi="仿宋" w:eastAsia="仿宋" w:cs="仿宋"/>
                <w:b w:val="0"/>
                <w:bCs w:val="0"/>
                <w:color w:val="000000" w:themeColor="text1"/>
                <w:sz w:val="18"/>
                <w:szCs w:val="18"/>
                <w:lang w:val="en-US" w:eastAsia="zh-CN"/>
              </w:rPr>
              <w:t>5</w:t>
            </w:r>
          </w:p>
        </w:tc>
        <w:tc>
          <w:tcPr>
            <w:tcW w:w="452" w:type="dxa"/>
            <w:tcBorders>
              <w:top w:val="single" w:color="auto" w:sz="4" w:space="0"/>
              <w:left w:val="nil"/>
              <w:bottom w:val="single" w:color="auto" w:sz="4" w:space="0"/>
              <w:right w:val="single" w:color="auto" w:sz="4" w:space="0"/>
            </w:tcBorders>
            <w:vAlign w:val="center"/>
          </w:tcPr>
          <w:p>
            <w:pPr>
              <w:adjustRightInd w:val="0"/>
              <w:snapToGrid w:val="0"/>
              <w:rPr>
                <w:rFonts w:hint="eastAsia" w:ascii="仿宋" w:hAnsi="仿宋" w:eastAsia="仿宋" w:cs="仿宋"/>
                <w:b w:val="0"/>
                <w:bCs w:val="0"/>
                <w:color w:val="000000" w:themeColor="text1"/>
                <w:sz w:val="18"/>
                <w:szCs w:val="18"/>
                <w:lang w:eastAsia="zh-CN"/>
              </w:rPr>
            </w:pPr>
            <w:r>
              <w:rPr>
                <w:rFonts w:hint="eastAsia" w:ascii="仿宋" w:hAnsi="仿宋" w:eastAsia="仿宋" w:cs="仿宋"/>
                <w:b w:val="0"/>
                <w:bCs w:val="0"/>
                <w:color w:val="000000" w:themeColor="text1"/>
                <w:sz w:val="18"/>
                <w:szCs w:val="18"/>
                <w:lang w:eastAsia="zh-CN"/>
              </w:rPr>
              <w:t>行政检查</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对人民防空工程设计、施工、质量、维护进行的行政监督检查</w:t>
            </w:r>
          </w:p>
        </w:tc>
        <w:tc>
          <w:tcPr>
            <w:tcW w:w="371"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仿宋" w:hAnsi="仿宋" w:eastAsia="仿宋" w:cs="仿宋"/>
                <w:b w:val="0"/>
                <w:bCs w:val="0"/>
                <w:color w:val="000000" w:themeColor="text1"/>
                <w:sz w:val="18"/>
                <w:szCs w:val="18"/>
              </w:rPr>
            </w:pPr>
          </w:p>
        </w:tc>
        <w:tc>
          <w:tcPr>
            <w:tcW w:w="2846" w:type="dxa"/>
            <w:tcBorders>
              <w:top w:val="single" w:color="auto" w:sz="4" w:space="0"/>
              <w:left w:val="nil"/>
              <w:bottom w:val="single" w:color="auto" w:sz="4" w:space="0"/>
              <w:right w:val="single" w:color="auto" w:sz="4" w:space="0"/>
            </w:tcBorders>
          </w:tcPr>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【法律】《中华人民共和国人民防空法》(2009年修正)</w:t>
            </w:r>
          </w:p>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第二十五条 人民防空主管部门负责对防空工程的维护管理进行监督检查。公用的人民防空工程的维护管理由人民防空主管部门负责。有关单位应当按照国家规定对已经修建或者使用的人民防空工程进行维护管理，使其保持良好使用状态。</w:t>
            </w:r>
          </w:p>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【地方性法规】《宁夏回族自治区实施〈中华人民共和国人民防空法〉办法》(2005年修正)：</w:t>
            </w:r>
          </w:p>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第十三条 人民防空工程的设计、施工、质量，必须符合人民防空战术、技术要求和质量标准，并接受人民防空主管部门的监督检查。</w:t>
            </w:r>
          </w:p>
          <w:p>
            <w:pPr>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【地方政府规章】《宁夏回族自治区人民防空工程建设管理规定》（2017年宁夏回族自治区人民政府令第94号）</w:t>
            </w:r>
          </w:p>
          <w:p>
            <w:pPr>
              <w:adjustRightInd w:val="0"/>
              <w:snapToGrid w:val="0"/>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第二十七条　人防工程的投资者和承租人应当接受人民防空主管部门的监督检查。</w:t>
            </w:r>
          </w:p>
          <w:p>
            <w:pPr>
              <w:adjustRightInd w:val="0"/>
              <w:snapToGrid w:val="0"/>
              <w:spacing w:line="240" w:lineRule="auto"/>
              <w:ind w:firstLine="392"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pacing w:val="8"/>
                <w:sz w:val="18"/>
                <w:szCs w:val="18"/>
              </w:rPr>
              <w:t xml:space="preserve">第三十条 </w:t>
            </w:r>
            <w:r>
              <w:rPr>
                <w:rFonts w:hint="eastAsia" w:ascii="仿宋" w:hAnsi="仿宋" w:eastAsia="仿宋" w:cs="仿宋"/>
                <w:b w:val="0"/>
                <w:bCs w:val="0"/>
                <w:color w:val="000000" w:themeColor="text1"/>
                <w:sz w:val="18"/>
                <w:szCs w:val="18"/>
              </w:rPr>
              <w:t>人民防空主管部门应当履行下列职责：</w:t>
            </w:r>
          </w:p>
          <w:p>
            <w:pPr>
              <w:adjustRightInd w:val="0"/>
              <w:snapToGrid w:val="0"/>
              <w:spacing w:line="240" w:lineRule="auto"/>
              <w:ind w:firstLine="360" w:firstLineChars="200"/>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（二）对人防工程的维护管理进行检查指导，督促有关单位和个人遵守人防工程维护管理和安全保护规定，保证人防工程防空效能。</w:t>
            </w:r>
          </w:p>
          <w:p>
            <w:pPr>
              <w:adjustRightInd w:val="0"/>
              <w:snapToGrid w:val="0"/>
              <w:spacing w:line="240" w:lineRule="auto"/>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sz w:val="18"/>
                <w:szCs w:val="18"/>
              </w:rPr>
              <w:t>（三）定期对人防工程的开发利用情况进行检查指导，督促有关单位建立健全人防工程平时使用安全管理等制度，发现存在安全隐患的，依法予以处理。</w:t>
            </w:r>
          </w:p>
        </w:tc>
        <w:tc>
          <w:tcPr>
            <w:tcW w:w="3430"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kern w:val="0"/>
                <w:sz w:val="18"/>
                <w:szCs w:val="18"/>
              </w:rPr>
              <w:t>1．检查责任：对防空工程的维护管理进行监督检查。</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2．处理责任：在监督检查过程中，对发现的违法行为，依法予以处理。</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3．归档责任：在监督检查后，对已改正违法行为等内容的相关资料进行归档。</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4．其他法律法规规章文件规定应履行的责任。</w:t>
            </w:r>
          </w:p>
        </w:tc>
        <w:tc>
          <w:tcPr>
            <w:tcW w:w="2290"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kern w:val="0"/>
                <w:sz w:val="18"/>
                <w:szCs w:val="18"/>
              </w:rPr>
              <w:t>因不履行或不正确履行行政职责，有下列情形的，行政机关及相关工作人员应承担相应责任：</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1．未按规定履行监督检查职责的；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2．发现存在问题未及时通知整改的；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3．监督检查过程中滥用职权、玩忽职守、徇私舞弊行为，发生腐败行为的；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4．未按裁量权规定，滥用裁量权的；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5．其他违反法律法规规章文件规定的行为。</w:t>
            </w:r>
          </w:p>
        </w:tc>
        <w:tc>
          <w:tcPr>
            <w:tcW w:w="3367"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b w:val="0"/>
                <w:bCs w:val="0"/>
                <w:color w:val="000000" w:themeColor="text1"/>
                <w:sz w:val="18"/>
                <w:szCs w:val="18"/>
              </w:rPr>
            </w:pPr>
            <w:r>
              <w:rPr>
                <w:rFonts w:hint="eastAsia" w:ascii="仿宋" w:hAnsi="仿宋" w:eastAsia="仿宋" w:cs="仿宋"/>
                <w:b w:val="0"/>
                <w:bCs w:val="0"/>
                <w:color w:val="000000" w:themeColor="text1"/>
                <w:kern w:val="0"/>
                <w:sz w:val="18"/>
                <w:szCs w:val="18"/>
              </w:rPr>
              <w:t>对不履行或不正确履行行政职责的行政机关及相关工作人员由上级行政机关或者本级人民政府、监察机关、任免机关、政府法制机构，以下列方式追究其责任：</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1.给予具体承办人责令作出书面检查、批评教育、取消年度评比先进资格、暂扣行政执法证件、离岗培训、调离工作岗位、取消行政执法资格以及处分等责任追究；</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2. 给予批准人诫勉谈话、责令限期整改、责令作出书面检查、责令公开道歉、取消年度评比先进资格、通报批评、责令停职反省或者责令辞职、建议免职以及处分等责任追究；</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3.给予行政机关责令限期整改、通报批评、取消评比先进资格等责任追究；</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4. 对违反党纪的工作人员（中共党员）给予党纪处分，对构成犯罪的工作人员，移交司法机关，依法追究刑事责任；</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5.其他法律法规规章文件规定的责任承担方式。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0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仿宋" w:hAnsi="仿宋" w:eastAsia="仿宋" w:cs="仿宋"/>
                <w:b w:val="0"/>
                <w:bCs w:val="0"/>
                <w:color w:val="000000" w:themeColor="text1"/>
                <w:sz w:val="18"/>
                <w:szCs w:val="18"/>
                <w:lang w:val="en-US" w:eastAsia="zh-CN"/>
              </w:rPr>
            </w:pPr>
            <w:r>
              <w:rPr>
                <w:rFonts w:hint="eastAsia" w:ascii="仿宋" w:hAnsi="仿宋" w:eastAsia="仿宋" w:cs="仿宋"/>
                <w:b w:val="0"/>
                <w:bCs w:val="0"/>
                <w:color w:val="000000" w:themeColor="text1"/>
                <w:sz w:val="18"/>
                <w:szCs w:val="18"/>
                <w:lang w:val="en-US" w:eastAsia="zh-CN"/>
              </w:rPr>
              <w:t>6</w:t>
            </w:r>
          </w:p>
        </w:tc>
        <w:tc>
          <w:tcPr>
            <w:tcW w:w="452" w:type="dxa"/>
            <w:tcBorders>
              <w:top w:val="single" w:color="auto" w:sz="4" w:space="0"/>
              <w:left w:val="nil"/>
              <w:bottom w:val="single" w:color="auto" w:sz="4" w:space="0"/>
              <w:right w:val="single" w:color="auto" w:sz="4" w:space="0"/>
            </w:tcBorders>
            <w:vAlign w:val="center"/>
          </w:tcPr>
          <w:p>
            <w:pPr>
              <w:adjustRightInd w:val="0"/>
              <w:snapToGrid w:val="0"/>
              <w:rPr>
                <w:rFonts w:hint="eastAsia" w:ascii="仿宋" w:hAnsi="仿宋" w:eastAsia="仿宋" w:cs="仿宋"/>
                <w:b w:val="0"/>
                <w:bCs w:val="0"/>
                <w:color w:val="000000" w:themeColor="text1"/>
                <w:sz w:val="18"/>
                <w:szCs w:val="18"/>
                <w:lang w:eastAsia="zh-CN"/>
              </w:rPr>
            </w:pPr>
            <w:r>
              <w:rPr>
                <w:rFonts w:hint="eastAsia" w:ascii="仿宋" w:hAnsi="仿宋" w:eastAsia="仿宋" w:cs="仿宋"/>
                <w:b w:val="0"/>
                <w:bCs w:val="0"/>
                <w:color w:val="000000" w:themeColor="text1"/>
                <w:sz w:val="18"/>
                <w:szCs w:val="18"/>
                <w:lang w:eastAsia="zh-CN"/>
              </w:rPr>
              <w:t>行政奖励</w:t>
            </w:r>
          </w:p>
        </w:tc>
        <w:tc>
          <w:tcPr>
            <w:tcW w:w="851"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仿宋" w:hAnsi="仿宋" w:eastAsia="仿宋" w:cs="仿宋"/>
                <w:b w:val="0"/>
                <w:bCs w:val="0"/>
                <w:color w:val="000000" w:themeColor="text1"/>
                <w:kern w:val="0"/>
                <w:sz w:val="18"/>
                <w:szCs w:val="18"/>
              </w:rPr>
            </w:pPr>
            <w:r>
              <w:rPr>
                <w:rFonts w:hint="eastAsia" w:ascii="仿宋" w:hAnsi="仿宋" w:eastAsia="仿宋" w:cs="仿宋"/>
                <w:b w:val="0"/>
                <w:bCs w:val="0"/>
                <w:color w:val="000000" w:themeColor="text1"/>
                <w:kern w:val="0"/>
                <w:sz w:val="18"/>
                <w:szCs w:val="18"/>
              </w:rPr>
              <w:t>表彰奖励全</w:t>
            </w:r>
            <w:r>
              <w:rPr>
                <w:rFonts w:hint="eastAsia" w:ascii="仿宋" w:hAnsi="仿宋" w:eastAsia="仿宋" w:cs="仿宋"/>
                <w:b w:val="0"/>
                <w:bCs w:val="0"/>
                <w:color w:val="000000" w:themeColor="text1"/>
                <w:kern w:val="0"/>
                <w:sz w:val="18"/>
                <w:szCs w:val="18"/>
                <w:lang w:eastAsia="zh-CN"/>
              </w:rPr>
              <w:t>市</w:t>
            </w:r>
            <w:r>
              <w:rPr>
                <w:rFonts w:hint="eastAsia" w:ascii="仿宋" w:hAnsi="仿宋" w:eastAsia="仿宋" w:cs="仿宋"/>
                <w:b w:val="0"/>
                <w:bCs w:val="0"/>
                <w:color w:val="000000" w:themeColor="text1"/>
                <w:kern w:val="0"/>
                <w:sz w:val="18"/>
                <w:szCs w:val="18"/>
              </w:rPr>
              <w:t>人防先进集体、先进个人</w:t>
            </w:r>
          </w:p>
        </w:tc>
        <w:tc>
          <w:tcPr>
            <w:tcW w:w="371"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仿宋" w:hAnsi="仿宋" w:eastAsia="仿宋" w:cs="仿宋"/>
                <w:b w:val="0"/>
                <w:bCs w:val="0"/>
                <w:color w:val="000000" w:themeColor="text1"/>
                <w:sz w:val="18"/>
                <w:szCs w:val="18"/>
              </w:rPr>
            </w:pPr>
          </w:p>
        </w:tc>
        <w:tc>
          <w:tcPr>
            <w:tcW w:w="2846" w:type="dxa"/>
            <w:tcBorders>
              <w:top w:val="single" w:color="auto" w:sz="4" w:space="0"/>
              <w:left w:val="nil"/>
              <w:bottom w:val="single" w:color="auto" w:sz="4" w:space="0"/>
              <w:right w:val="single" w:color="auto" w:sz="4" w:space="0"/>
            </w:tcBorders>
          </w:tcPr>
          <w:p>
            <w:pPr>
              <w:adjustRightInd w:val="0"/>
              <w:snapToGrid w:val="0"/>
              <w:spacing w:line="240" w:lineRule="auto"/>
              <w:rPr>
                <w:rFonts w:hint="eastAsia" w:ascii="仿宋" w:hAnsi="仿宋" w:eastAsia="仿宋" w:cs="仿宋"/>
                <w:b w:val="0"/>
                <w:bCs w:val="0"/>
                <w:color w:val="000000" w:themeColor="text1"/>
                <w:kern w:val="0"/>
                <w:sz w:val="18"/>
                <w:szCs w:val="18"/>
              </w:rPr>
            </w:pPr>
            <w:r>
              <w:rPr>
                <w:rFonts w:hint="eastAsia" w:ascii="仿宋" w:hAnsi="仿宋" w:eastAsia="仿宋" w:cs="仿宋"/>
                <w:b w:val="0"/>
                <w:bCs w:val="0"/>
                <w:color w:val="000000" w:themeColor="text1"/>
                <w:kern w:val="0"/>
                <w:sz w:val="18"/>
                <w:szCs w:val="18"/>
              </w:rPr>
              <w:t>《中华人民共和国人民防空法》(2009年修正)：</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 第十条  县级以上人民政府和军事机关对在人民防空工作中做出显著成绩的组织或者个人，给予奖励。</w:t>
            </w:r>
          </w:p>
        </w:tc>
        <w:tc>
          <w:tcPr>
            <w:tcW w:w="3430"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b w:val="0"/>
                <w:bCs w:val="0"/>
                <w:color w:val="000000" w:themeColor="text1"/>
                <w:kern w:val="0"/>
                <w:sz w:val="18"/>
                <w:szCs w:val="18"/>
              </w:rPr>
            </w:pPr>
            <w:r>
              <w:rPr>
                <w:rFonts w:hint="eastAsia" w:ascii="仿宋" w:hAnsi="仿宋" w:eastAsia="仿宋" w:cs="仿宋"/>
                <w:b w:val="0"/>
                <w:bCs w:val="0"/>
                <w:color w:val="000000" w:themeColor="text1"/>
                <w:kern w:val="0"/>
                <w:sz w:val="18"/>
                <w:szCs w:val="18"/>
              </w:rPr>
              <w:t>1．制定方案责任：在征求意见基础上，科学制定评选方案。</w:t>
            </w:r>
          </w:p>
          <w:p>
            <w:pPr>
              <w:adjustRightInd w:val="0"/>
              <w:snapToGrid w:val="0"/>
              <w:spacing w:line="240" w:lineRule="auto"/>
              <w:rPr>
                <w:rFonts w:hint="eastAsia" w:ascii="仿宋" w:hAnsi="仿宋" w:eastAsia="仿宋" w:cs="仿宋"/>
                <w:b w:val="0"/>
                <w:bCs w:val="0"/>
                <w:color w:val="000000" w:themeColor="text1"/>
                <w:kern w:val="0"/>
                <w:sz w:val="18"/>
                <w:szCs w:val="18"/>
              </w:rPr>
            </w:pPr>
            <w:r>
              <w:rPr>
                <w:rFonts w:hint="eastAsia" w:ascii="仿宋" w:hAnsi="仿宋" w:eastAsia="仿宋" w:cs="仿宋"/>
                <w:b w:val="0"/>
                <w:bCs w:val="0"/>
                <w:color w:val="000000" w:themeColor="text1"/>
                <w:kern w:val="0"/>
                <w:sz w:val="18"/>
                <w:szCs w:val="18"/>
              </w:rPr>
              <w:t>2.组织推荐责任：严格按照评选方案规定的条件、程序，组织推荐工作，对评选对象进行初审。</w:t>
            </w:r>
          </w:p>
          <w:p>
            <w:pPr>
              <w:adjustRightInd w:val="0"/>
              <w:snapToGrid w:val="0"/>
              <w:spacing w:line="240" w:lineRule="auto"/>
              <w:rPr>
                <w:rFonts w:hint="eastAsia" w:ascii="仿宋" w:hAnsi="仿宋" w:eastAsia="仿宋" w:cs="仿宋"/>
                <w:b w:val="0"/>
                <w:bCs w:val="0"/>
                <w:color w:val="000000" w:themeColor="text1"/>
                <w:kern w:val="0"/>
                <w:sz w:val="18"/>
                <w:szCs w:val="18"/>
              </w:rPr>
            </w:pPr>
            <w:r>
              <w:rPr>
                <w:rFonts w:hint="eastAsia" w:ascii="仿宋" w:hAnsi="仿宋" w:eastAsia="仿宋" w:cs="仿宋"/>
                <w:b w:val="0"/>
                <w:bCs w:val="0"/>
                <w:color w:val="000000" w:themeColor="text1"/>
                <w:kern w:val="0"/>
                <w:sz w:val="18"/>
                <w:szCs w:val="18"/>
              </w:rPr>
              <w:t>3．审核公示责任：组织评审委员会对符合条件的推荐对象进行审核、评议，做出审核决定，依法公示。</w:t>
            </w:r>
          </w:p>
          <w:p>
            <w:pPr>
              <w:adjustRightInd w:val="0"/>
              <w:snapToGrid w:val="0"/>
              <w:spacing w:line="240" w:lineRule="auto"/>
              <w:rPr>
                <w:rFonts w:hint="eastAsia" w:ascii="仿宋" w:hAnsi="仿宋" w:eastAsia="仿宋" w:cs="仿宋"/>
                <w:b w:val="0"/>
                <w:bCs w:val="0"/>
                <w:color w:val="000000" w:themeColor="text1"/>
                <w:kern w:val="0"/>
                <w:sz w:val="18"/>
                <w:szCs w:val="18"/>
              </w:rPr>
            </w:pPr>
            <w:r>
              <w:rPr>
                <w:rFonts w:hint="eastAsia" w:ascii="仿宋" w:hAnsi="仿宋" w:eastAsia="仿宋" w:cs="仿宋"/>
                <w:b w:val="0"/>
                <w:bCs w:val="0"/>
                <w:color w:val="000000" w:themeColor="text1"/>
                <w:kern w:val="0"/>
                <w:sz w:val="18"/>
                <w:szCs w:val="18"/>
              </w:rPr>
              <w:t>4.表彰奖励责任：按照规定的标准、权限和程序进行表彰奖励，信息公开。</w:t>
            </w:r>
          </w:p>
          <w:p>
            <w:pPr>
              <w:adjustRightInd w:val="0"/>
              <w:snapToGrid w:val="0"/>
              <w:spacing w:line="240" w:lineRule="auto"/>
              <w:rPr>
                <w:rFonts w:hint="eastAsia" w:ascii="仿宋" w:hAnsi="仿宋" w:eastAsia="仿宋" w:cs="仿宋"/>
                <w:b w:val="0"/>
                <w:bCs w:val="0"/>
                <w:color w:val="000000" w:themeColor="text1"/>
                <w:kern w:val="0"/>
                <w:sz w:val="18"/>
                <w:szCs w:val="18"/>
              </w:rPr>
            </w:pPr>
            <w:r>
              <w:rPr>
                <w:rFonts w:hint="eastAsia" w:ascii="仿宋" w:hAnsi="仿宋" w:eastAsia="仿宋" w:cs="仿宋"/>
                <w:b w:val="0"/>
                <w:bCs w:val="0"/>
                <w:color w:val="000000" w:themeColor="text1"/>
                <w:kern w:val="0"/>
                <w:sz w:val="18"/>
                <w:szCs w:val="18"/>
              </w:rPr>
              <w:t>5.其他法律法规规章文件规定应履行的责任。</w:t>
            </w:r>
            <w:bookmarkStart w:id="0" w:name="_GoBack"/>
            <w:bookmarkEnd w:id="0"/>
          </w:p>
        </w:tc>
        <w:tc>
          <w:tcPr>
            <w:tcW w:w="2290"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b w:val="0"/>
                <w:bCs w:val="0"/>
                <w:color w:val="000000" w:themeColor="text1"/>
                <w:kern w:val="0"/>
                <w:sz w:val="18"/>
                <w:szCs w:val="18"/>
              </w:rPr>
            </w:pPr>
            <w:r>
              <w:rPr>
                <w:rFonts w:hint="eastAsia" w:ascii="仿宋" w:hAnsi="仿宋" w:eastAsia="仿宋" w:cs="仿宋"/>
                <w:b w:val="0"/>
                <w:bCs w:val="0"/>
                <w:color w:val="000000" w:themeColor="text1"/>
                <w:kern w:val="0"/>
                <w:sz w:val="18"/>
                <w:szCs w:val="18"/>
              </w:rPr>
              <w:t>因不履行或不正确履行行政职责，有下列情形的，行政机关及相关工作人员应承担相应责任：</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1.符合条件的申请不予受理的；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2.不符合条件的申请，违规受理，造成不良影响的；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3.未按程序擅自举办表彰奖励活动的；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4.向参评单位和个人收取费用的；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5.未按照规定进行公示的；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6.工作中滥用职权、徇私舞弊、玩忽职守造成不良后果的；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7.工作中发生贪污腐败行为的；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8.未按裁量权规定，滥用裁量权的；</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9.其他违反法律法规规章文件规定的行为。</w:t>
            </w:r>
          </w:p>
        </w:tc>
        <w:tc>
          <w:tcPr>
            <w:tcW w:w="3367" w:type="dxa"/>
            <w:tcBorders>
              <w:top w:val="single" w:color="auto" w:sz="4" w:space="0"/>
              <w:left w:val="nil"/>
              <w:bottom w:val="single" w:color="auto" w:sz="4" w:space="0"/>
              <w:right w:val="single" w:color="auto" w:sz="4" w:space="0"/>
            </w:tcBorders>
            <w:vAlign w:val="center"/>
          </w:tcPr>
          <w:p>
            <w:pPr>
              <w:adjustRightInd w:val="0"/>
              <w:snapToGrid w:val="0"/>
              <w:spacing w:line="240" w:lineRule="auto"/>
              <w:rPr>
                <w:rFonts w:hint="eastAsia" w:ascii="仿宋" w:hAnsi="仿宋" w:eastAsia="仿宋" w:cs="仿宋"/>
                <w:b w:val="0"/>
                <w:bCs w:val="0"/>
                <w:color w:val="000000" w:themeColor="text1"/>
                <w:kern w:val="0"/>
                <w:sz w:val="18"/>
                <w:szCs w:val="18"/>
              </w:rPr>
            </w:pPr>
            <w:r>
              <w:rPr>
                <w:rFonts w:hint="eastAsia" w:ascii="仿宋" w:hAnsi="仿宋" w:eastAsia="仿宋" w:cs="仿宋"/>
                <w:b w:val="0"/>
                <w:bCs w:val="0"/>
                <w:color w:val="000000" w:themeColor="text1"/>
                <w:kern w:val="0"/>
                <w:sz w:val="18"/>
                <w:szCs w:val="18"/>
              </w:rPr>
              <w:t>对不履行或不正确履行行政职责的行政机关及相关工作人员由上级行政机关或者本级人民政府、监察机关、任免机关、政府法制机构，以下列方式追究其责任：</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1.给予审核人责令作出书面检查、批评教育、取消年度评比先进资格、暂扣行政执法证件、离岗培训、调离工作岗位、取消行政执法资格以及处分等责任追究；</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2.给予决定人诫勉谈话、责令限期整改、责令作出书面检查、责令公开道歉、取消年度评比先进资格、通报批评、责令停职反省或者责令辞职、建议免职以及处分等责任追究；</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3.给予相关部门责令限期整改、通报批评、取消评比先进资格等责任追究；</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4.对违反党纪的工作人员（中共党员）给予党纪处分，对构成犯罪的工作人员，移交司法机关，依法追究刑事责任；</w:t>
            </w:r>
            <w:r>
              <w:rPr>
                <w:rFonts w:hint="eastAsia" w:ascii="仿宋" w:hAnsi="仿宋" w:eastAsia="仿宋" w:cs="仿宋"/>
                <w:b w:val="0"/>
                <w:bCs w:val="0"/>
                <w:color w:val="000000" w:themeColor="text1"/>
                <w:kern w:val="0"/>
                <w:sz w:val="18"/>
                <w:szCs w:val="18"/>
              </w:rPr>
              <w:br w:type="textWrapping"/>
            </w:r>
            <w:r>
              <w:rPr>
                <w:rFonts w:hint="eastAsia" w:ascii="仿宋" w:hAnsi="仿宋" w:eastAsia="仿宋" w:cs="仿宋"/>
                <w:b w:val="0"/>
                <w:bCs w:val="0"/>
                <w:color w:val="000000" w:themeColor="text1"/>
                <w:kern w:val="0"/>
                <w:sz w:val="18"/>
                <w:szCs w:val="18"/>
              </w:rPr>
              <w:t>5.其他法律法规规章文件规定的责任承担方式。</w:t>
            </w:r>
          </w:p>
        </w:tc>
      </w:tr>
    </w:tbl>
    <w:p>
      <w:pPr>
        <w:rPr>
          <w:rFonts w:hint="eastAsia" w:ascii="仿宋" w:hAnsi="仿宋" w:eastAsia="仿宋" w:cs="仿宋"/>
          <w:sz w:val="18"/>
          <w:szCs w:val="18"/>
        </w:rPr>
      </w:pPr>
    </w:p>
    <w:sectPr>
      <w:pgSz w:w="16838" w:h="11906" w:orient="landscape"/>
      <w:pgMar w:top="1344" w:right="1157" w:bottom="1344" w:left="121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50D9D"/>
    <w:rsid w:val="001E4E6A"/>
    <w:rsid w:val="004B1AC3"/>
    <w:rsid w:val="00684C2F"/>
    <w:rsid w:val="007301F7"/>
    <w:rsid w:val="007E512F"/>
    <w:rsid w:val="00950D9D"/>
    <w:rsid w:val="03BC1AF3"/>
    <w:rsid w:val="05EB49CF"/>
    <w:rsid w:val="05F41815"/>
    <w:rsid w:val="079923E3"/>
    <w:rsid w:val="07C6032E"/>
    <w:rsid w:val="08857EDD"/>
    <w:rsid w:val="090B2621"/>
    <w:rsid w:val="095A294E"/>
    <w:rsid w:val="095F7F9C"/>
    <w:rsid w:val="0A232E42"/>
    <w:rsid w:val="0A2541EC"/>
    <w:rsid w:val="0A4766A1"/>
    <w:rsid w:val="0A4F16D0"/>
    <w:rsid w:val="0CDB2957"/>
    <w:rsid w:val="0D7E0752"/>
    <w:rsid w:val="0D907CF1"/>
    <w:rsid w:val="10CA70CB"/>
    <w:rsid w:val="112569D7"/>
    <w:rsid w:val="11D32907"/>
    <w:rsid w:val="122A0ED6"/>
    <w:rsid w:val="12AF56F9"/>
    <w:rsid w:val="13814774"/>
    <w:rsid w:val="15881A65"/>
    <w:rsid w:val="15D3223E"/>
    <w:rsid w:val="16596537"/>
    <w:rsid w:val="1C4339D5"/>
    <w:rsid w:val="1F5F2CCF"/>
    <w:rsid w:val="20957FD1"/>
    <w:rsid w:val="227145ED"/>
    <w:rsid w:val="239863DB"/>
    <w:rsid w:val="247861FA"/>
    <w:rsid w:val="248A6293"/>
    <w:rsid w:val="252C3943"/>
    <w:rsid w:val="26BC7BAB"/>
    <w:rsid w:val="26EC53DA"/>
    <w:rsid w:val="27BB5A71"/>
    <w:rsid w:val="28C06269"/>
    <w:rsid w:val="2A4400D6"/>
    <w:rsid w:val="2BC621F3"/>
    <w:rsid w:val="2C684A01"/>
    <w:rsid w:val="2D2F3AEE"/>
    <w:rsid w:val="2F454055"/>
    <w:rsid w:val="2F896094"/>
    <w:rsid w:val="2F9F5AB5"/>
    <w:rsid w:val="30C837B4"/>
    <w:rsid w:val="32104128"/>
    <w:rsid w:val="329D07FD"/>
    <w:rsid w:val="353F1762"/>
    <w:rsid w:val="3937223B"/>
    <w:rsid w:val="396D7284"/>
    <w:rsid w:val="3AD827E1"/>
    <w:rsid w:val="3B3F1BDA"/>
    <w:rsid w:val="3CBE2AF3"/>
    <w:rsid w:val="3E2E3384"/>
    <w:rsid w:val="3E8210F9"/>
    <w:rsid w:val="3F366F28"/>
    <w:rsid w:val="403B5FFC"/>
    <w:rsid w:val="43DD3B62"/>
    <w:rsid w:val="47DC7625"/>
    <w:rsid w:val="47E653CF"/>
    <w:rsid w:val="48F84772"/>
    <w:rsid w:val="4930764C"/>
    <w:rsid w:val="4AA66C11"/>
    <w:rsid w:val="4B037210"/>
    <w:rsid w:val="4D753B24"/>
    <w:rsid w:val="4DE77037"/>
    <w:rsid w:val="4DF44878"/>
    <w:rsid w:val="4E4D6EC6"/>
    <w:rsid w:val="50EF204E"/>
    <w:rsid w:val="51520345"/>
    <w:rsid w:val="52D910B3"/>
    <w:rsid w:val="565077A2"/>
    <w:rsid w:val="565D5573"/>
    <w:rsid w:val="568B518E"/>
    <w:rsid w:val="56B0278D"/>
    <w:rsid w:val="56FA599A"/>
    <w:rsid w:val="573F160C"/>
    <w:rsid w:val="576565C5"/>
    <w:rsid w:val="57A3072B"/>
    <w:rsid w:val="589D04FD"/>
    <w:rsid w:val="59466C4F"/>
    <w:rsid w:val="59862ADD"/>
    <w:rsid w:val="5AF47199"/>
    <w:rsid w:val="6073787A"/>
    <w:rsid w:val="60CC4D59"/>
    <w:rsid w:val="611528E3"/>
    <w:rsid w:val="61CA1E1F"/>
    <w:rsid w:val="61F9325F"/>
    <w:rsid w:val="6218708E"/>
    <w:rsid w:val="6343071F"/>
    <w:rsid w:val="65037D54"/>
    <w:rsid w:val="650B6482"/>
    <w:rsid w:val="660F6E95"/>
    <w:rsid w:val="66EC45E2"/>
    <w:rsid w:val="66F74C89"/>
    <w:rsid w:val="67A71326"/>
    <w:rsid w:val="68FA20C6"/>
    <w:rsid w:val="6ABC71AC"/>
    <w:rsid w:val="6AF06E04"/>
    <w:rsid w:val="6C582E01"/>
    <w:rsid w:val="6E5809F4"/>
    <w:rsid w:val="748958E9"/>
    <w:rsid w:val="75F00994"/>
    <w:rsid w:val="77550D9B"/>
    <w:rsid w:val="780C0416"/>
    <w:rsid w:val="784B4CAD"/>
    <w:rsid w:val="79FD44FF"/>
    <w:rsid w:val="7ACA297D"/>
    <w:rsid w:val="7B5230A3"/>
    <w:rsid w:val="7C035E10"/>
    <w:rsid w:val="7C760B74"/>
    <w:rsid w:val="7CF13B59"/>
    <w:rsid w:val="7D6828EF"/>
    <w:rsid w:val="7EEB6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7509</Words>
  <Characters>7642</Characters>
  <Lines>1</Lines>
  <Paragraphs>1</Paragraphs>
  <TotalTime>0</TotalTime>
  <ScaleCrop>false</ScaleCrop>
  <LinksUpToDate>false</LinksUpToDate>
  <CharactersWithSpaces>7673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2019-07-29T03:22:00Z</dcterms:created>
  <dc:creator>Administrator</dc:creator>
  <cp:lastModifiedBy>金鼠</cp:lastModifiedBy>
  <dcterms:modified xsi:type="dcterms:W3CDTF">2022-04-20T06:16:46Z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43F213E799064CE1B42F3B4409175E13</vt:lpwstr>
  </property>
</Properties>
</file>