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eastAsia="zh-CN"/>
        </w:rPr>
        <w:t>固原市行政审批服务局拟批</w:t>
      </w:r>
      <w:r>
        <w:rPr>
          <w:rFonts w:hint="eastAsia" w:ascii="方正小标宋简体" w:hAnsi="方正小标宋简体" w:eastAsia="方正小标宋简体" w:cs="方正小标宋简体"/>
          <w:b w:val="0"/>
          <w:bCs w:val="0"/>
          <w:sz w:val="44"/>
          <w:szCs w:val="44"/>
          <w:lang w:val="en-US" w:eastAsia="zh-CN"/>
        </w:rPr>
        <w:t>宁夏王洼煤业有限公司王洼煤矿600万吨/年改扩建项目矿井水及生活污水处理工程环境影响评价文件的公示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根据建设项目环境影响评价审批程序的有关规定，经审查，我局拟对宁夏王洼煤业有限公司王洼煤矿600万吨/年改扩建项目矿井水及生活污水处理工程环境影响评价文件作出审批意见。为保证此次审批工作的严肃性和公正性，现将拟作出审批意见的环境影响评价文件基本情况予以公示，公示期为2018年7月19日-2018年7月25日（5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联系电话：0954-2688663     传真：0954-2669699      通讯地址：固原市民生大厦335室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听证权利告知：依据《中华人民共和国行政许可法》，自公示之日起五日内申请人、利害关系人可对以下拟作出建设项目环境影响评价文件审批决定要求听证。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w:t>
      </w:r>
    </w:p>
    <w:tbl>
      <w:tblPr>
        <w:tblStyle w:val="16"/>
        <w:tblW w:w="14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1247"/>
        <w:gridCol w:w="1260"/>
        <w:gridCol w:w="1464"/>
        <w:gridCol w:w="1404"/>
        <w:gridCol w:w="1392"/>
        <w:gridCol w:w="2734"/>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建设地点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评价类别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评价机构</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建设项目</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概    况</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主要环境影响及预防或者减轻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不良环境影响的对策和措施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宁夏王洼煤业有限公司王洼煤矿600万吨/年改扩建项目矿井水及生活污水处理工程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本项目位于固原市彭阳县王洼乡境内，项目区西距固原市80km，南距彭阳县50km，向南120km左右至甘肃省平凉市，项目在煤矿工业场地锅炉房西侧空地新建矿井水处理站1座、选煤厂工业场地建设生活污水处理站1座，经处理达标的矿井水及生活污水排至王洼沟，经庙台水库排至下游。</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宁夏王洼煤业有限公司王洼煤矿</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报告表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sz w:val="24"/>
                <w:szCs w:val="24"/>
                <w:lang w:val="en-US" w:eastAsia="zh-CN"/>
              </w:rPr>
            </w:pPr>
            <w:r>
              <w:rPr>
                <w:rFonts w:hint="eastAsia"/>
                <w:sz w:val="24"/>
                <w:szCs w:val="24"/>
                <w:lang w:val="en-US" w:eastAsia="zh-CN"/>
              </w:rPr>
              <w:t>宁夏石油化工环境科学研究院（有限公司）</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Theme="minorEastAsia"/>
                <w:sz w:val="24"/>
                <w:szCs w:val="24"/>
                <w:lang w:val="en-US" w:eastAsia="zh-CN"/>
              </w:rPr>
            </w:pPr>
            <w:r>
              <w:rPr>
                <w:rFonts w:hint="eastAsia" w:eastAsiaTheme="minorEastAsia"/>
                <w:sz w:val="24"/>
                <w:szCs w:val="24"/>
                <w:lang w:val="en-US" w:eastAsia="zh-CN"/>
              </w:rPr>
              <w:t>本项目本项目新建矿井水处理站1座，处理能力14400</w:t>
            </w:r>
            <w:r>
              <w:rPr>
                <w:rFonts w:hint="eastAsia"/>
                <w:sz w:val="24"/>
                <w:szCs w:val="24"/>
                <w:lang w:val="en-US" w:eastAsia="zh-CN"/>
              </w:rPr>
              <w:t>m³</w:t>
            </w:r>
            <w:r>
              <w:rPr>
                <w:rFonts w:hint="eastAsia" w:eastAsiaTheme="minorEastAsia"/>
                <w:sz w:val="24"/>
                <w:szCs w:val="24"/>
                <w:lang w:val="en-US" w:eastAsia="zh-CN"/>
              </w:rPr>
              <w:t>/d（600</w:t>
            </w:r>
            <w:r>
              <w:rPr>
                <w:rFonts w:hint="eastAsia"/>
                <w:sz w:val="24"/>
                <w:szCs w:val="24"/>
                <w:lang w:val="en-US" w:eastAsia="zh-CN"/>
              </w:rPr>
              <w:t>m³</w:t>
            </w:r>
            <w:r>
              <w:rPr>
                <w:rFonts w:hint="eastAsia" w:eastAsiaTheme="minorEastAsia"/>
                <w:sz w:val="24"/>
                <w:szCs w:val="24"/>
                <w:lang w:val="en-US" w:eastAsia="zh-CN"/>
              </w:rPr>
              <w:t>/h），分为两期建设（一期工程处理能力4003/h，远期总处理能力6003/h），矿井排水经预处理达到《煤炭工业污染物排放标准》（GB20429-2006）（其中，COD≤20mg/L、氨氮≤1.0mg/L）后，2469.86</w:t>
            </w:r>
            <w:r>
              <w:rPr>
                <w:rFonts w:hint="eastAsia"/>
                <w:sz w:val="24"/>
                <w:szCs w:val="24"/>
                <w:lang w:val="en-US" w:eastAsia="zh-CN"/>
              </w:rPr>
              <w:t>m³</w:t>
            </w:r>
            <w:r>
              <w:rPr>
                <w:rFonts w:hint="eastAsia" w:eastAsiaTheme="minorEastAsia"/>
                <w:sz w:val="24"/>
                <w:szCs w:val="24"/>
                <w:lang w:val="en-US" w:eastAsia="zh-CN"/>
              </w:rPr>
              <w:t>/d经煤矿生产生活用水、地面抑尘洒水、选煤厂用水等综合利用，剩余的2186.88</w:t>
            </w:r>
            <w:r>
              <w:rPr>
                <w:rFonts w:hint="eastAsia"/>
                <w:sz w:val="24"/>
                <w:szCs w:val="24"/>
                <w:lang w:val="en-US" w:eastAsia="zh-CN"/>
              </w:rPr>
              <w:t>m³</w:t>
            </w:r>
            <w:r>
              <w:rPr>
                <w:rFonts w:hint="eastAsia" w:eastAsiaTheme="minorEastAsia"/>
                <w:sz w:val="24"/>
                <w:szCs w:val="24"/>
                <w:lang w:val="en-US" w:eastAsia="zh-CN"/>
              </w:rPr>
              <w:t>/d由选煤厂生产水池排至王洼沟，经庙台水库最终排至下游沟道；在选煤厂工业场地新建生活污水处理站1座，处理能力1000</w:t>
            </w:r>
            <w:r>
              <w:rPr>
                <w:rFonts w:hint="eastAsia"/>
                <w:sz w:val="24"/>
                <w:szCs w:val="24"/>
                <w:lang w:val="en-US" w:eastAsia="zh-CN"/>
              </w:rPr>
              <w:t>m³</w:t>
            </w:r>
            <w:r>
              <w:rPr>
                <w:rFonts w:hint="eastAsia" w:eastAsiaTheme="minorEastAsia"/>
                <w:sz w:val="24"/>
                <w:szCs w:val="24"/>
                <w:lang w:val="en-US" w:eastAsia="zh-CN"/>
              </w:rPr>
              <w:t>/d，生活污水经处理达到《城镇污水处理厂污染物排放标准》（GB 18918-2002）中的一级A标准后，149.40</w:t>
            </w:r>
            <w:r>
              <w:rPr>
                <w:rFonts w:hint="eastAsia"/>
                <w:sz w:val="24"/>
                <w:szCs w:val="24"/>
                <w:lang w:val="en-US" w:eastAsia="zh-CN"/>
              </w:rPr>
              <w:t>m³</w:t>
            </w:r>
            <w:r>
              <w:rPr>
                <w:rFonts w:hint="eastAsia" w:eastAsiaTheme="minorEastAsia"/>
                <w:sz w:val="24"/>
                <w:szCs w:val="24"/>
                <w:lang w:val="en-US" w:eastAsia="zh-CN"/>
              </w:rPr>
              <w:t>/d用于场地绿化，剩余的513.82</w:t>
            </w:r>
            <w:r>
              <w:rPr>
                <w:rFonts w:hint="eastAsia"/>
                <w:sz w:val="24"/>
                <w:szCs w:val="24"/>
                <w:lang w:val="en-US" w:eastAsia="zh-CN"/>
              </w:rPr>
              <w:t>m³</w:t>
            </w:r>
            <w:r>
              <w:rPr>
                <w:rFonts w:hint="eastAsia" w:eastAsiaTheme="minorEastAsia"/>
                <w:sz w:val="24"/>
                <w:szCs w:val="24"/>
                <w:lang w:val="en-US" w:eastAsia="zh-CN"/>
              </w:rPr>
              <w:t>/d外排。矿井水及生活污水排放口应分别设置在线监测设施，矿井排水及生活污水排水应分别达标后排放，总排水量2700.70</w:t>
            </w:r>
            <w:r>
              <w:rPr>
                <w:rFonts w:hint="eastAsia"/>
                <w:sz w:val="24"/>
                <w:szCs w:val="24"/>
                <w:lang w:val="en-US" w:eastAsia="zh-CN"/>
              </w:rPr>
              <w:t>m³</w:t>
            </w:r>
            <w:r>
              <w:rPr>
                <w:rFonts w:hint="eastAsia" w:eastAsiaTheme="minorEastAsia"/>
                <w:sz w:val="24"/>
                <w:szCs w:val="24"/>
                <w:lang w:val="en-US" w:eastAsia="zh-CN"/>
              </w:rPr>
              <w:t>/d（98.58万m³/a）。本项目总投资3301.35万元，均为环保投资，其中用于环境治理及监管的投资131.0万元，占总投资的3.96%。</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left"/>
              <w:rPr>
                <w:rFonts w:hint="eastAsia"/>
                <w:b/>
                <w:bCs/>
                <w:sz w:val="28"/>
                <w:szCs w:val="28"/>
                <w:lang w:val="en-US" w:eastAsia="zh-CN"/>
              </w:rPr>
            </w:pPr>
            <w:r>
              <w:rPr>
                <w:rFonts w:hint="eastAsia"/>
                <w:b/>
                <w:bCs/>
                <w:sz w:val="28"/>
                <w:szCs w:val="28"/>
                <w:lang w:val="en-US" w:eastAsia="zh-CN"/>
              </w:rPr>
              <w:t>施工期</w:t>
            </w: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sz w:val="24"/>
                <w:szCs w:val="24"/>
                <w:lang w:val="en-US" w:eastAsia="zh-CN"/>
              </w:rPr>
            </w:pPr>
            <w:r>
              <w:rPr>
                <w:rFonts w:hint="eastAsia" w:ascii="Times New Roman" w:hAnsi="Times New Roman" w:cs="Times New Roman" w:eastAsiaTheme="minorEastAsia"/>
                <w:b/>
                <w:bCs/>
                <w:kern w:val="2"/>
                <w:sz w:val="24"/>
                <w:szCs w:val="24"/>
                <w:lang w:val="en-US" w:eastAsia="zh-CN" w:bidi="ar-SA"/>
              </w:rPr>
              <w:t>一、</w:t>
            </w:r>
            <w:r>
              <w:rPr>
                <w:rFonts w:hint="eastAsia" w:ascii="Times New Roman" w:hAnsi="Times New Roman" w:cs="Times New Roman"/>
                <w:b/>
                <w:bCs/>
                <w:kern w:val="2"/>
                <w:sz w:val="24"/>
                <w:szCs w:val="24"/>
                <w:lang w:val="en-US" w:eastAsia="zh-CN" w:bidi="ar-SA"/>
              </w:rPr>
              <w:t>大气</w:t>
            </w:r>
            <w:r>
              <w:rPr>
                <w:rFonts w:hint="eastAsia" w:ascii="Times New Roman" w:hAnsi="Times New Roman" w:cs="Times New Roman" w:eastAsiaTheme="minorEastAsia"/>
                <w:b/>
                <w:bCs/>
                <w:kern w:val="2"/>
                <w:sz w:val="24"/>
                <w:szCs w:val="24"/>
                <w:lang w:val="en-US" w:eastAsia="zh-CN" w:bidi="ar-SA"/>
              </w:rPr>
              <w:t>环境影响：</w:t>
            </w: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ascii="宋体" w:hAnsi="宋体"/>
                <w:color w:val="000000"/>
                <w:sz w:val="24"/>
                <w:szCs w:val="24"/>
                <w:lang w:eastAsia="zh-CN"/>
              </w:rPr>
            </w:pPr>
            <w:r>
              <w:rPr>
                <w:rFonts w:hint="eastAsia"/>
                <w:sz w:val="24"/>
                <w:szCs w:val="24"/>
                <w:lang w:val="en-US" w:eastAsia="zh-CN"/>
              </w:rPr>
              <w:t>1</w:t>
            </w:r>
            <w:r>
              <w:rPr>
                <w:rFonts w:hint="eastAsia" w:ascii="Times New Roman" w:hAnsi="Times New Roman" w:cs="Times New Roman" w:eastAsiaTheme="minorEastAsia"/>
                <w:b w:val="0"/>
                <w:bCs w:val="0"/>
                <w:kern w:val="2"/>
                <w:sz w:val="24"/>
                <w:szCs w:val="24"/>
                <w:lang w:val="en-US" w:eastAsia="zh-CN" w:bidi="ar-SA"/>
              </w:rPr>
              <w:t>、</w:t>
            </w:r>
            <w:r>
              <w:rPr>
                <w:rFonts w:hint="eastAsia" w:ascii="Times New Roman" w:hAnsi="Times New Roman" w:cs="Times New Roman"/>
                <w:b w:val="0"/>
                <w:bCs w:val="0"/>
                <w:kern w:val="2"/>
                <w:sz w:val="24"/>
                <w:szCs w:val="24"/>
                <w:lang w:val="en-US" w:eastAsia="zh-CN" w:bidi="ar-SA"/>
              </w:rPr>
              <w:t>扬尘：①严格控制施工作业范围，施工车辆必须行驶在进场道路、检修道路范围内；②施工过程中通过洒水车运水至场地运输通道，及时洒水以减少汽车行驶扬尘；③限制运输车辆的行驶速度，场地内行车速度不得超过15km/h；④严禁破坏永久占地以外的植被；⑤起尘原材料覆盖存放，大风季节严禁施工；⑥临时施工场地及时洒水抑尘并进行植被恢复</w:t>
            </w:r>
            <w:r>
              <w:rPr>
                <w:rFonts w:hint="eastAsia" w:ascii="宋体" w:hAnsi="宋体"/>
                <w:color w:val="000000"/>
                <w:sz w:val="24"/>
                <w:szCs w:val="24"/>
                <w:lang w:eastAsia="zh-CN"/>
              </w:rPr>
              <w:t>。</w:t>
            </w:r>
          </w:p>
          <w:p>
            <w:pPr>
              <w:pStyle w:val="2"/>
              <w:rPr>
                <w:rFonts w:hint="eastAsia"/>
                <w:lang w:eastAsia="zh-CN"/>
              </w:rPr>
            </w:pPr>
          </w:p>
          <w:p>
            <w:pPr>
              <w:pStyle w:val="17"/>
              <w:keepNext w:val="0"/>
              <w:keepLines w:val="0"/>
              <w:pageBreakBefore w:val="0"/>
              <w:numPr>
                <w:ilvl w:val="0"/>
                <w:numId w:val="1"/>
              </w:numPr>
              <w:kinsoku/>
              <w:wordWrap/>
              <w:overflowPunct/>
              <w:topLinePunct w:val="0"/>
              <w:bidi w:val="0"/>
              <w:adjustRightInd/>
              <w:spacing w:line="340" w:lineRule="exact"/>
              <w:textAlignment w:val="auto"/>
              <w:outlineLvl w:val="9"/>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水环境影响：</w:t>
            </w: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sz w:val="24"/>
                <w:szCs w:val="24"/>
                <w:lang w:val="en-US" w:eastAsia="zh-CN"/>
              </w:rPr>
            </w:pPr>
            <w:r>
              <w:rPr>
                <w:rFonts w:hint="eastAsia"/>
                <w:sz w:val="24"/>
                <w:szCs w:val="24"/>
                <w:lang w:val="en-US" w:eastAsia="zh-CN"/>
              </w:rPr>
              <w:t>1、生活污水：依托煤矿现有的污水处理设施进行处理，不外排。</w:t>
            </w: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sz w:val="24"/>
                <w:szCs w:val="24"/>
                <w:lang w:val="en-US" w:eastAsia="zh-CN"/>
              </w:rPr>
            </w:pPr>
            <w:r>
              <w:rPr>
                <w:rFonts w:hint="eastAsia"/>
                <w:sz w:val="24"/>
                <w:lang w:val="en-US" w:eastAsia="zh-CN"/>
              </w:rPr>
              <w:t>2、生产废水：均经沉淀处理后回用，不外排</w:t>
            </w:r>
            <w:r>
              <w:rPr>
                <w:rFonts w:hint="eastAsia"/>
                <w:sz w:val="24"/>
                <w:szCs w:val="24"/>
                <w:lang w:val="en-US" w:eastAsia="zh-CN"/>
              </w:rPr>
              <w:t>。</w:t>
            </w: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eastAsiaTheme="minorEastAsia"/>
                <w:sz w:val="24"/>
                <w:lang w:eastAsia="zh-CN"/>
              </w:rPr>
            </w:pPr>
          </w:p>
          <w:p>
            <w:pPr>
              <w:pStyle w:val="17"/>
              <w:keepNext w:val="0"/>
              <w:keepLines w:val="0"/>
              <w:pageBreakBefore w:val="0"/>
              <w:numPr>
                <w:ilvl w:val="0"/>
                <w:numId w:val="1"/>
              </w:numPr>
              <w:kinsoku/>
              <w:wordWrap/>
              <w:overflowPunct/>
              <w:topLinePunct w:val="0"/>
              <w:bidi w:val="0"/>
              <w:adjustRightInd/>
              <w:spacing w:line="340" w:lineRule="exact"/>
              <w:textAlignment w:val="auto"/>
              <w:outlineLvl w:val="9"/>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声环境影响：</w:t>
            </w:r>
          </w:p>
          <w:p>
            <w:pPr>
              <w:keepNext w:val="0"/>
              <w:keepLines w:val="0"/>
              <w:pageBreakBefore w:val="0"/>
              <w:numPr>
                <w:ilvl w:val="0"/>
                <w:numId w:val="2"/>
              </w:numPr>
              <w:kinsoku/>
              <w:wordWrap/>
              <w:overflowPunct/>
              <w:topLinePunct w:val="0"/>
              <w:bidi w:val="0"/>
              <w:adjustRightInd/>
              <w:spacing w:line="340" w:lineRule="exact"/>
              <w:ind w:firstLine="480" w:firstLineChars="200"/>
              <w:jc w:val="left"/>
              <w:textAlignment w:val="auto"/>
              <w:outlineLvl w:val="9"/>
              <w:rPr>
                <w:rFonts w:hint="eastAsia"/>
                <w:sz w:val="24"/>
                <w:szCs w:val="24"/>
                <w:lang w:val="en-US" w:eastAsia="zh-CN"/>
              </w:rPr>
            </w:pPr>
            <w:r>
              <w:rPr>
                <w:rFonts w:hint="eastAsia"/>
                <w:sz w:val="24"/>
                <w:szCs w:val="24"/>
                <w:lang w:val="en-US" w:eastAsia="zh-CN"/>
              </w:rPr>
              <w:t>施工现场周围200m范围可以满足《建筑施工场界环境噪声排放标准》(GB12523-2011)的要求。本项目污水处理厂厂界外200m范围内无学校、居民区等噪声敏感点，因此施工期产生的噪声对区域声环境影响较小，施工期噪声影响具有暂时性，随着施工的结束噪声影响将随之消失。</w:t>
            </w:r>
          </w:p>
          <w:p>
            <w:pPr>
              <w:pStyle w:val="2"/>
              <w:numPr>
                <w:numId w:val="0"/>
              </w:numPr>
              <w:jc w:val="both"/>
            </w:pPr>
          </w:p>
          <w:p>
            <w:pPr>
              <w:pStyle w:val="17"/>
              <w:keepNext w:val="0"/>
              <w:keepLines w:val="0"/>
              <w:pageBreakBefore w:val="0"/>
              <w:numPr>
                <w:ilvl w:val="0"/>
                <w:numId w:val="1"/>
              </w:numPr>
              <w:kinsoku/>
              <w:wordWrap/>
              <w:overflowPunct/>
              <w:topLinePunct w:val="0"/>
              <w:bidi w:val="0"/>
              <w:adjustRightInd/>
              <w:spacing w:line="340" w:lineRule="exact"/>
              <w:textAlignment w:val="auto"/>
              <w:outlineLvl w:val="9"/>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固体废物环境影响：</w:t>
            </w:r>
          </w:p>
          <w:p>
            <w:pPr>
              <w:pStyle w:val="13"/>
              <w:keepNext w:val="0"/>
              <w:keepLines w:val="0"/>
              <w:pageBreakBefore w:val="0"/>
              <w:numPr>
                <w:ilvl w:val="0"/>
                <w:numId w:val="3"/>
              </w:numPr>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施工期固体废物主要为建筑垃圾和生活垃圾。本项目土建工程较少，仅有少部分的建筑垃圾产生，及时清运至指定地点处置；项目总挖方0.98万m³，填方0.98万m³，项目开挖土方作为场地平整回填土源，可在项目用地范围内做到土石方平衡；施工人员产生的生活垃圾依托煤矿现有垃圾收集系统统一处理。</w:t>
            </w:r>
          </w:p>
          <w:p>
            <w:pPr>
              <w:pStyle w:val="13"/>
              <w:keepNext w:val="0"/>
              <w:keepLines w:val="0"/>
              <w:pageBreakBefore w:val="0"/>
              <w:numPr>
                <w:numId w:val="0"/>
              </w:numPr>
              <w:kinsoku/>
              <w:wordWrap/>
              <w:overflowPunct/>
              <w:topLinePunct w:val="0"/>
              <w:bidi w:val="0"/>
              <w:adjustRightInd/>
              <w:snapToGrid w:val="0"/>
              <w:spacing w:before="0" w:after="0" w:line="340" w:lineRule="exact"/>
              <w:textAlignment w:val="auto"/>
              <w:outlineLvl w:val="9"/>
              <w:rPr>
                <w:rFonts w:hint="eastAsia" w:asciiTheme="minorHAnsi" w:hAnsiTheme="minorHAnsi" w:eastAsiaTheme="minorEastAsia" w:cstheme="minorBidi"/>
                <w:kern w:val="2"/>
                <w:sz w:val="24"/>
                <w:szCs w:val="24"/>
                <w:lang w:val="en-US" w:eastAsia="zh-CN" w:bidi="ar-SA"/>
              </w:rPr>
            </w:pPr>
          </w:p>
          <w:p>
            <w:pPr>
              <w:keepNext w:val="0"/>
              <w:keepLines w:val="0"/>
              <w:pageBreakBefore w:val="0"/>
              <w:numPr>
                <w:ilvl w:val="0"/>
                <w:numId w:val="0"/>
              </w:numPr>
              <w:kinsoku/>
              <w:wordWrap/>
              <w:overflowPunct/>
              <w:topLinePunct w:val="0"/>
              <w:bidi w:val="0"/>
              <w:adjustRightInd/>
              <w:spacing w:line="340" w:lineRule="exact"/>
              <w:ind w:firstLine="562" w:firstLineChars="200"/>
              <w:jc w:val="left"/>
              <w:textAlignment w:val="auto"/>
              <w:outlineLvl w:val="9"/>
              <w:rPr>
                <w:rFonts w:hint="eastAsia"/>
                <w:b/>
                <w:bCs/>
                <w:sz w:val="28"/>
                <w:szCs w:val="28"/>
                <w:lang w:val="en-US" w:eastAsia="zh-CN"/>
              </w:rPr>
            </w:pPr>
            <w:r>
              <w:rPr>
                <w:rFonts w:hint="eastAsia"/>
                <w:b/>
                <w:bCs/>
                <w:sz w:val="28"/>
                <w:szCs w:val="28"/>
                <w:lang w:val="en-US" w:eastAsia="zh-CN"/>
              </w:rPr>
              <w:t>运营期</w:t>
            </w: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一、水环境影响分析</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生活污水：采用“A/O生物接触氧化”的方法进行处理，可有效去除本项目生活污水中的污染物，本次设计的SS、COD、BOD5和氨氮去除率分别为95%、75%、90%和50%，根据调查区内采用同类处理工艺的煤矿项目，在正常运行条件下，各因子的去除效率的设定具有可行性，项目出水达到《城镇污水处理厂污染物排放标准》（GB 18918-2002）中的一级A标准要求具有保证性。</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鉴于经处理达标的生活污水首先立足于采用绿化等方式进行综合利用，本次评价将《城镇污水处理厂污染物排放标准》（GB 18918-2002）中的一级A标准及《城市污水再生利用 城市杂用水水质标准》（GB/T18920-2002）中的绿化标准进行了对比分析，具体情况见表23。经对比可知，生活污水排水中的主要污染因子浓度满足《城镇污水处理厂污染物排放标准》（GB 18918-2002）中的一级A标准的情况下，可同时满足《城市污水再生利用 城市杂用水水质标准》（GB/T18920-2002）中的绿化标准，因此，经本项目处理后的生活污水用于工业场地的绿化和洒水抑尘具有可行性。</w:t>
            </w:r>
          </w:p>
          <w:p>
            <w:pPr>
              <w:pStyle w:val="13"/>
              <w:keepNext w:val="0"/>
              <w:keepLines w:val="0"/>
              <w:pageBreakBefore w:val="0"/>
              <w:numPr>
                <w:ilvl w:val="0"/>
                <w:numId w:val="3"/>
              </w:numPr>
              <w:kinsoku/>
              <w:wordWrap/>
              <w:overflowPunct/>
              <w:topLinePunct w:val="0"/>
              <w:bidi w:val="0"/>
              <w:adjustRightInd/>
              <w:snapToGrid w:val="0"/>
              <w:spacing w:before="0" w:after="0" w:line="340" w:lineRule="exact"/>
              <w:ind w:left="0" w:leftChars="0"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煤矿设置总排口1处，经本项目处理后的矿井水及生活污水均经总排口排入王洼沟，混合后排水中的COD、氨氮浓度可满足《城镇污水处理厂污染物排放标准》（GB 18918-2002）中的一级A标准。按照《关于印发宁夏回族自治区水污染防治工作方案的通知》（宁政发〔2015〕106号）要求，直接向河道排放废水的企业必须达到一级A排放标准并经地级市人民政府批准后方可排放，因此本次评价认为，在落实各项处理措施的基础上本项目所接纳处理的处理的废水水质可满足直接排入河道的要求，同时，为了避免建设单位将生活污水直接混合后外排，本次评价要求，在矿井水及生活污水处理设施出水口分别建设在线监测设施，排水分别达标后排入沟道，优先综合利用生活污水，减少外排水量。</w:t>
            </w:r>
          </w:p>
          <w:p>
            <w:pPr>
              <w:pStyle w:val="13"/>
              <w:keepNext w:val="0"/>
              <w:keepLines w:val="0"/>
              <w:pageBreakBefore w:val="0"/>
              <w:numPr>
                <w:ilvl w:val="0"/>
                <w:numId w:val="3"/>
              </w:numPr>
              <w:kinsoku/>
              <w:wordWrap/>
              <w:overflowPunct/>
              <w:topLinePunct w:val="0"/>
              <w:bidi w:val="0"/>
              <w:adjustRightInd/>
              <w:snapToGrid w:val="0"/>
              <w:spacing w:before="0" w:after="0" w:line="340" w:lineRule="exact"/>
              <w:ind w:left="0" w:leftChars="0"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根据国家标准《环境保护图形标志---排放口（源）》和国家环保总局《排污口规范化整治要求（试行）》的技术要求，本项目排污口应按照“便于采样、便于计量监测、便于日常现场监督检查”的原则和规范化要求，设置排污口标志牌，绘制企业排污口公布图，对治理设施安装运行监控装置。排污口的环保图形标志牌应设置在靠近采样点的醒目处，标志牌上缘距地面2m；排污单位必须负责标志牌的日常维护保养，任何单位和个人不得擅自拆除，如需要变更须报当地环境主管部门同意并办理变更手续。</w:t>
            </w:r>
          </w:p>
          <w:p>
            <w:pPr>
              <w:pStyle w:val="13"/>
              <w:keepNext w:val="0"/>
              <w:keepLines w:val="0"/>
              <w:pageBreakBefore w:val="0"/>
              <w:numPr>
                <w:ilvl w:val="0"/>
                <w:numId w:val="3"/>
              </w:numPr>
              <w:kinsoku/>
              <w:wordWrap/>
              <w:overflowPunct/>
              <w:topLinePunct w:val="0"/>
              <w:bidi w:val="0"/>
              <w:adjustRightInd/>
              <w:snapToGrid w:val="0"/>
              <w:spacing w:before="0" w:after="0" w:line="340" w:lineRule="exact"/>
              <w:ind w:left="0" w:leftChars="0"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污水在线监测系统的建设应依据《污染源监测技术规范》、《水污染源在线监测系统安装技术规范（试行）》（HJ/T 353－2007）、《水污染源在线监测系统运行与考核技术规范（试行）》（HJ/T 355－2007）及《污染源在线自动监控（监测）系统数据传输标准》（HJ/T 212－2005）等相关规范进行；监测装置应安装在监测房内，监测房与排水口的距离不宜大于20米，安装位置应高于取样口采样点的位置，落差不宜大于3米，在线监测装置施工须在地方环保部门的监督下实施。</w:t>
            </w:r>
          </w:p>
          <w:p>
            <w:pPr>
              <w:pStyle w:val="13"/>
              <w:keepNext w:val="0"/>
              <w:keepLines w:val="0"/>
              <w:pageBreakBefore w:val="0"/>
              <w:numPr>
                <w:ilvl w:val="0"/>
                <w:numId w:val="3"/>
              </w:numPr>
              <w:kinsoku/>
              <w:wordWrap/>
              <w:overflowPunct/>
              <w:topLinePunct w:val="0"/>
              <w:bidi w:val="0"/>
              <w:adjustRightInd/>
              <w:snapToGrid w:val="0"/>
              <w:spacing w:before="0" w:after="0" w:line="340" w:lineRule="exact"/>
              <w:ind w:left="0" w:leftChars="0"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矿井水及生活污水处理设施在严格按照相关技术规范做好防渗的基础上，污水的渗漏量较小。本项目应严格按照设计规范中的防渗防漏要求进行选材、设计、施工，对污水接触的池壁内侧、底板顶面、顶板底面均采用改性环氧树脂柔性厚浆型防腐涂料防腐，同时池体及钢筋混凝土构筑物的地下结构混凝土的抗渗等级为S6、S8，所有抗渗混凝土中均添加适量微膨胀型防水剂，并且对管线接口采用抗压性较好，不易变形，防漏效果好的承插口连接，防止污水渗漏，本次环评不再另行规定防渗措施。鉴于区域第三系隔水层分布完整，渗漏补给深层含水层的水量很少，不会影响深层含水层的水质，综上，本项目建设对地下水环境的影响较小。</w:t>
            </w:r>
          </w:p>
          <w:p>
            <w:pPr>
              <w:pStyle w:val="13"/>
              <w:keepNext w:val="0"/>
              <w:keepLines w:val="0"/>
              <w:pageBreakBefore w:val="0"/>
              <w:numPr>
                <w:numId w:val="0"/>
              </w:numPr>
              <w:kinsoku/>
              <w:wordWrap/>
              <w:overflowPunct/>
              <w:topLinePunct w:val="0"/>
              <w:bidi w:val="0"/>
              <w:adjustRightInd/>
              <w:snapToGrid w:val="0"/>
              <w:spacing w:before="0" w:after="0" w:line="340" w:lineRule="exact"/>
              <w:ind w:leftChars="200"/>
              <w:textAlignment w:val="auto"/>
              <w:outlineLvl w:val="9"/>
              <w:rPr>
                <w:rFonts w:hint="eastAsia" w:asciiTheme="minorHAnsi" w:hAnsiTheme="minorHAnsi" w:eastAsiaTheme="minorEastAsia" w:cstheme="minorBidi"/>
                <w:kern w:val="2"/>
                <w:sz w:val="24"/>
                <w:szCs w:val="24"/>
                <w:lang w:val="en-US" w:eastAsia="zh-CN" w:bidi="ar-SA"/>
              </w:rPr>
            </w:pPr>
          </w:p>
          <w:p>
            <w:pPr>
              <w:keepNext w:val="0"/>
              <w:keepLines w:val="0"/>
              <w:pageBreakBefore w:val="0"/>
              <w:numPr>
                <w:ilvl w:val="0"/>
                <w:numId w:val="0"/>
              </w:numPr>
              <w:kinsoku/>
              <w:wordWrap/>
              <w:overflowPunct/>
              <w:topLinePunct w:val="0"/>
              <w:bidi w:val="0"/>
              <w:adjustRightInd/>
              <w:spacing w:line="340" w:lineRule="exact"/>
              <w:ind w:firstLine="480"/>
              <w:jc w:val="left"/>
              <w:textAlignment w:val="auto"/>
              <w:outlineLvl w:val="9"/>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二、大气环境影响分析</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本项目运营后各环境保护目标处NH3和H2S最大落地浓度均满足《工业企业设计卫生标准》（TJ36-79）中居住区大气中有害物质的最高容许浓度；厂界浓度满足《恶臭污染物排放标准》（GB16297-1996）中厂界浓度限值要求；项目需设置的卫生防护距离为100m，建设对区域环境空气的影响较小。</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本次环评提出，项目生活污水处理设施的沉淀池、厌氧池、污泥池等均应采取加盖封闭措施，同时在污水处理站四周种植绿色植物以减小恶臭气体的影响。</w:t>
            </w:r>
          </w:p>
          <w:p>
            <w:pPr>
              <w:pStyle w:val="13"/>
              <w:keepNext w:val="0"/>
              <w:keepLines w:val="0"/>
              <w:pageBreakBefore w:val="0"/>
              <w:kinsoku/>
              <w:wordWrap/>
              <w:overflowPunct/>
              <w:topLinePunct w:val="0"/>
              <w:bidi w:val="0"/>
              <w:adjustRightInd/>
              <w:snapToGrid w:val="0"/>
              <w:spacing w:before="0" w:after="0" w:line="340" w:lineRule="exact"/>
              <w:ind w:firstLine="482" w:firstLineChars="200"/>
              <w:textAlignment w:val="auto"/>
              <w:outlineLvl w:val="9"/>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三、声环境影响分析</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泵站房噪声贡献值在厂界处能够满足《工业企业厂界环境噪声排放标准》(GB12348-2008)中3类功能区标准，经调查项目场界周边200m范围内无居民区，因此，项目泵站房噪声对区域声环境的影响较小。</w:t>
            </w:r>
            <w:bookmarkStart w:id="0" w:name="_GoBack"/>
            <w:bookmarkEnd w:id="0"/>
          </w:p>
          <w:p>
            <w:pPr>
              <w:pStyle w:val="3"/>
              <w:spacing w:before="0" w:after="0" w:line="360" w:lineRule="auto"/>
              <w:ind w:firstLine="482" w:firstLineChars="200"/>
              <w:rPr>
                <w:rFonts w:hint="eastAsia" w:ascii="Times New Roman" w:hAnsi="Times New Roman" w:cs="Times New Roman" w:eastAsiaTheme="minorEastAsia"/>
                <w:b/>
                <w:bCs/>
                <w:kern w:val="2"/>
                <w:sz w:val="24"/>
                <w:szCs w:val="24"/>
                <w:lang w:val="en-US" w:eastAsia="zh-CN" w:bidi="ar-SA"/>
              </w:rPr>
            </w:pPr>
            <w:r>
              <w:rPr>
                <w:rFonts w:hint="eastAsia" w:ascii="Times New Roman" w:hAnsi="Times New Roman" w:cs="Times New Roman" w:eastAsiaTheme="minorEastAsia"/>
                <w:b/>
                <w:bCs/>
                <w:kern w:val="2"/>
                <w:sz w:val="24"/>
                <w:szCs w:val="24"/>
                <w:lang w:val="en-US" w:eastAsia="zh-CN" w:bidi="ar-SA"/>
              </w:rPr>
              <w:t>四、固体废物影响分析</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项目运营过程中产生的固废主要为沉淀池产生的煤泥及生活污水处理站产生的污泥。本项目矿井水处理站产生的煤泥量约为482.90t/a，其主要成分为煤炭开采过程中带入矿井涌水中的煤泥，属于一般固体废物，经机械压滤设施处理后，作为燃料外卖。</w:t>
            </w:r>
          </w:p>
          <w:p>
            <w:pPr>
              <w:pStyle w:val="13"/>
              <w:keepNext w:val="0"/>
              <w:keepLines w:val="0"/>
              <w:pageBreakBefore w:val="0"/>
              <w:kinsoku/>
              <w:wordWrap/>
              <w:overflowPunct/>
              <w:topLinePunct w:val="0"/>
              <w:bidi w:val="0"/>
              <w:adjustRightInd/>
              <w:snapToGrid w:val="0"/>
              <w:spacing w:before="0" w:after="0" w:line="340" w:lineRule="exact"/>
              <w:ind w:firstLine="480" w:firstLineChars="200"/>
              <w:textAlignment w:val="auto"/>
              <w:outlineLvl w:val="9"/>
              <w:rPr>
                <w:rFonts w:hint="eastAsia"/>
                <w:lang w:val="en-US" w:eastAsia="zh-CN"/>
              </w:rPr>
            </w:pPr>
            <w:r>
              <w:rPr>
                <w:rFonts w:hint="eastAsia" w:asciiTheme="minorHAnsi" w:hAnsiTheme="minorHAnsi" w:eastAsiaTheme="minorEastAsia" w:cstheme="minorBidi"/>
                <w:kern w:val="2"/>
                <w:sz w:val="24"/>
                <w:szCs w:val="24"/>
                <w:lang w:val="en-US" w:eastAsia="zh-CN" w:bidi="ar-SA"/>
              </w:rPr>
              <w:t>根据计算，本项目生活污水处理站污泥（含水率60%）产生量约为12.10t/a，经压滤处理后，可满足《生活垃圾填埋场污染控制标准》（GB 16889-2008）中直接填埋处置的相关要求，生活污水处理污泥由环卫部门统一处置，不会对环境造成不利影响。</w:t>
            </w:r>
          </w:p>
        </w:tc>
      </w:tr>
    </w:tbl>
    <w:p>
      <w:pPr>
        <w:jc w:val="both"/>
        <w:rPr>
          <w:rFonts w:hint="eastAsia"/>
          <w:sz w:val="24"/>
          <w:szCs w:val="24"/>
          <w:lang w:val="en-US" w:eastAsia="zh-CN"/>
        </w:rPr>
      </w:pPr>
    </w:p>
    <w:sectPr>
      <w:pgSz w:w="16838" w:h="11906" w:orient="landscape"/>
      <w:pgMar w:top="1247" w:right="1080" w:bottom="1020" w:left="108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7B519B"/>
    <w:multiLevelType w:val="singleLevel"/>
    <w:tmpl w:val="B87B519B"/>
    <w:lvl w:ilvl="0" w:tentative="0">
      <w:start w:val="2"/>
      <w:numFmt w:val="chineseCounting"/>
      <w:suff w:val="nothing"/>
      <w:lvlText w:val="%1、"/>
      <w:lvlJc w:val="left"/>
      <w:rPr>
        <w:rFonts w:hint="eastAsia"/>
      </w:rPr>
    </w:lvl>
  </w:abstractNum>
  <w:abstractNum w:abstractNumId="1">
    <w:nsid w:val="EBCB48B5"/>
    <w:multiLevelType w:val="singleLevel"/>
    <w:tmpl w:val="EBCB48B5"/>
    <w:lvl w:ilvl="0" w:tentative="0">
      <w:start w:val="1"/>
      <w:numFmt w:val="decimal"/>
      <w:suff w:val="nothing"/>
      <w:lvlText w:val="%1、"/>
      <w:lvlJc w:val="left"/>
    </w:lvl>
  </w:abstractNum>
  <w:abstractNum w:abstractNumId="2">
    <w:nsid w:val="4553B374"/>
    <w:multiLevelType w:val="singleLevel"/>
    <w:tmpl w:val="4553B37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B20EB"/>
    <w:rsid w:val="00DB55D8"/>
    <w:rsid w:val="017144AD"/>
    <w:rsid w:val="01792B33"/>
    <w:rsid w:val="01CB397E"/>
    <w:rsid w:val="023A4397"/>
    <w:rsid w:val="02565E5A"/>
    <w:rsid w:val="02EF262E"/>
    <w:rsid w:val="030202CF"/>
    <w:rsid w:val="032E48BC"/>
    <w:rsid w:val="036954E0"/>
    <w:rsid w:val="03D744DE"/>
    <w:rsid w:val="054821B5"/>
    <w:rsid w:val="08A56983"/>
    <w:rsid w:val="08BD7333"/>
    <w:rsid w:val="09922BC2"/>
    <w:rsid w:val="0AAA4CCE"/>
    <w:rsid w:val="0CA371AE"/>
    <w:rsid w:val="106005AD"/>
    <w:rsid w:val="11294EA0"/>
    <w:rsid w:val="113B2C4C"/>
    <w:rsid w:val="114E0AE8"/>
    <w:rsid w:val="1220271E"/>
    <w:rsid w:val="14031211"/>
    <w:rsid w:val="1440781F"/>
    <w:rsid w:val="1709102E"/>
    <w:rsid w:val="1716706D"/>
    <w:rsid w:val="18891348"/>
    <w:rsid w:val="18F550D8"/>
    <w:rsid w:val="1AAA51AB"/>
    <w:rsid w:val="1AF03925"/>
    <w:rsid w:val="1BAB20EB"/>
    <w:rsid w:val="1BD17E79"/>
    <w:rsid w:val="1F865E6D"/>
    <w:rsid w:val="1F892C8D"/>
    <w:rsid w:val="1FB34203"/>
    <w:rsid w:val="21A33BA9"/>
    <w:rsid w:val="227C2AB4"/>
    <w:rsid w:val="28874967"/>
    <w:rsid w:val="29122C31"/>
    <w:rsid w:val="29B873A2"/>
    <w:rsid w:val="29EB600E"/>
    <w:rsid w:val="2A386D4B"/>
    <w:rsid w:val="2B36171C"/>
    <w:rsid w:val="2BA36550"/>
    <w:rsid w:val="2C611D29"/>
    <w:rsid w:val="2E33223E"/>
    <w:rsid w:val="2F295B18"/>
    <w:rsid w:val="2F7269F2"/>
    <w:rsid w:val="319B0ABF"/>
    <w:rsid w:val="32263E72"/>
    <w:rsid w:val="34514D17"/>
    <w:rsid w:val="346532E1"/>
    <w:rsid w:val="38057D3B"/>
    <w:rsid w:val="39DB2665"/>
    <w:rsid w:val="3B1544FF"/>
    <w:rsid w:val="3BD14854"/>
    <w:rsid w:val="3D922D87"/>
    <w:rsid w:val="3D9823F2"/>
    <w:rsid w:val="3E89231A"/>
    <w:rsid w:val="404118FD"/>
    <w:rsid w:val="40E01875"/>
    <w:rsid w:val="43FC2A40"/>
    <w:rsid w:val="442959BE"/>
    <w:rsid w:val="44442911"/>
    <w:rsid w:val="44A64B5A"/>
    <w:rsid w:val="451C2C8E"/>
    <w:rsid w:val="455727A4"/>
    <w:rsid w:val="45F37614"/>
    <w:rsid w:val="463977E1"/>
    <w:rsid w:val="46E15135"/>
    <w:rsid w:val="47090A87"/>
    <w:rsid w:val="47661AFD"/>
    <w:rsid w:val="48153516"/>
    <w:rsid w:val="489569C8"/>
    <w:rsid w:val="48D26BD6"/>
    <w:rsid w:val="4990057C"/>
    <w:rsid w:val="499E1B40"/>
    <w:rsid w:val="4A4074D0"/>
    <w:rsid w:val="4C301A71"/>
    <w:rsid w:val="4C9F5A66"/>
    <w:rsid w:val="4D3D6BCD"/>
    <w:rsid w:val="4DAB1B77"/>
    <w:rsid w:val="4F7367C8"/>
    <w:rsid w:val="515E35F4"/>
    <w:rsid w:val="54F81471"/>
    <w:rsid w:val="55556293"/>
    <w:rsid w:val="561F5255"/>
    <w:rsid w:val="56314DC4"/>
    <w:rsid w:val="567E20B2"/>
    <w:rsid w:val="5D465834"/>
    <w:rsid w:val="5EF731CD"/>
    <w:rsid w:val="62C00668"/>
    <w:rsid w:val="668B0C05"/>
    <w:rsid w:val="66C75BAC"/>
    <w:rsid w:val="6895742A"/>
    <w:rsid w:val="689C2566"/>
    <w:rsid w:val="698E06C2"/>
    <w:rsid w:val="6B642597"/>
    <w:rsid w:val="6DBB4D84"/>
    <w:rsid w:val="6F3D6C7A"/>
    <w:rsid w:val="72145F42"/>
    <w:rsid w:val="72B46D50"/>
    <w:rsid w:val="73C97A95"/>
    <w:rsid w:val="73CA2248"/>
    <w:rsid w:val="74A31788"/>
    <w:rsid w:val="74BC4BD4"/>
    <w:rsid w:val="751E3A03"/>
    <w:rsid w:val="767E3DF5"/>
    <w:rsid w:val="795B6A50"/>
    <w:rsid w:val="7A5C4DF2"/>
    <w:rsid w:val="7A9014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Lines="50" w:afterLines="50" w:line="520" w:lineRule="exact"/>
      <w:outlineLvl w:val="2"/>
    </w:pPr>
    <w:rPr>
      <w:rFonts w:eastAsia="楷体_GB2312"/>
      <w:bCs/>
      <w:kern w:val="0"/>
      <w:sz w:val="28"/>
      <w:szCs w:val="32"/>
    </w:rPr>
  </w:style>
  <w:style w:type="paragraph" w:styleId="5">
    <w:name w:val="heading 4"/>
    <w:basedOn w:val="1"/>
    <w:next w:val="1"/>
    <w:unhideWhenUsed/>
    <w:qFormat/>
    <w:uiPriority w:val="0"/>
    <w:pPr>
      <w:keepNext/>
      <w:keepLines/>
      <w:spacing w:line="520" w:lineRule="exact"/>
      <w:outlineLvl w:val="3"/>
    </w:pPr>
    <w:rPr>
      <w:b/>
      <w:bCs/>
      <w:kern w:val="0"/>
      <w:sz w:val="24"/>
      <w:szCs w:val="28"/>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表格"/>
    <w:basedOn w:val="1"/>
    <w:qFormat/>
    <w:uiPriority w:val="0"/>
    <w:pPr>
      <w:widowControl/>
      <w:spacing w:beforeLines="50" w:afterLines="50"/>
      <w:jc w:val="center"/>
    </w:pPr>
    <w:rPr>
      <w:rFonts w:eastAsia="宋体"/>
      <w:kern w:val="0"/>
      <w:sz w:val="21"/>
      <w:szCs w:val="21"/>
    </w:rPr>
  </w:style>
  <w:style w:type="paragraph" w:styleId="6">
    <w:name w:val="Normal Indent"/>
    <w:basedOn w:val="1"/>
    <w:qFormat/>
    <w:uiPriority w:val="0"/>
    <w:pPr>
      <w:ind w:firstLine="420" w:firstLineChars="200"/>
    </w:pPr>
    <w:rPr>
      <w:kern w:val="0"/>
      <w:sz w:val="20"/>
      <w:szCs w:val="20"/>
    </w:rPr>
  </w:style>
  <w:style w:type="paragraph" w:styleId="7">
    <w:name w:val="Body Text"/>
    <w:basedOn w:val="1"/>
    <w:qFormat/>
    <w:uiPriority w:val="0"/>
    <w:pPr>
      <w:widowControl/>
      <w:spacing w:after="120"/>
      <w:jc w:val="left"/>
    </w:pPr>
    <w:rPr>
      <w:rFonts w:ascii="宋体" w:hAnsi="宋体" w:cs="宋体"/>
      <w:kern w:val="0"/>
      <w:sz w:val="24"/>
      <w:szCs w:val="24"/>
    </w:rPr>
  </w:style>
  <w:style w:type="paragraph" w:styleId="8">
    <w:name w:val="Body Text Indent"/>
    <w:basedOn w:val="1"/>
    <w:qFormat/>
    <w:uiPriority w:val="0"/>
    <w:pPr>
      <w:spacing w:after="120"/>
      <w:ind w:left="42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First Indent 2"/>
    <w:basedOn w:val="8"/>
    <w:qFormat/>
    <w:uiPriority w:val="0"/>
    <w:pPr>
      <w:spacing w:after="120" w:line="240" w:lineRule="auto"/>
      <w:ind w:left="420" w:leftChars="200" w:firstLineChars="200"/>
    </w:pPr>
  </w:style>
  <w:style w:type="paragraph" w:styleId="12">
    <w:name w:val="Body Text Indent 3"/>
    <w:basedOn w:val="1"/>
    <w:qFormat/>
    <w:uiPriority w:val="0"/>
    <w:pPr>
      <w:spacing w:after="120"/>
      <w:ind w:left="420"/>
    </w:pPr>
    <w:rPr>
      <w:sz w:val="16"/>
      <w:szCs w:val="16"/>
    </w:rPr>
  </w:style>
  <w:style w:type="paragraph" w:styleId="13">
    <w:name w:val="Normal (Web)"/>
    <w:basedOn w:val="1"/>
    <w:qFormat/>
    <w:uiPriority w:val="0"/>
    <w:pPr>
      <w:widowControl/>
      <w:spacing w:before="100" w:after="100"/>
      <w:jc w:val="left"/>
    </w:pPr>
    <w:rPr>
      <w:rFonts w:ascii="宋体" w:hAnsi="宋体" w:eastAsia="宋体" w:cs="宋体"/>
      <w:kern w:val="0"/>
    </w:rPr>
  </w:style>
  <w:style w:type="character" w:styleId="15">
    <w:name w:val="Hyperlink"/>
    <w:qFormat/>
    <w:uiPriority w:val="0"/>
    <w:rPr>
      <w:color w:val="0000FF"/>
      <w:u w:val="single"/>
    </w:rPr>
  </w:style>
  <w:style w:type="paragraph" w:customStyle="1" w:styleId="17">
    <w:name w:val="正文（缩进）"/>
    <w:basedOn w:val="1"/>
    <w:qFormat/>
    <w:uiPriority w:val="99"/>
    <w:pPr>
      <w:spacing w:line="360" w:lineRule="auto"/>
      <w:ind w:firstLine="480" w:firstLineChars="200"/>
    </w:pPr>
    <w:rPr>
      <w:rFonts w:ascii="Times New Roman" w:hAnsi="Times New Roman" w:cs="Times New Roman"/>
      <w:sz w:val="24"/>
      <w:szCs w:val="24"/>
    </w:rPr>
  </w:style>
  <w:style w:type="paragraph" w:customStyle="1" w:styleId="18">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19">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20">
    <w:name w:val="报告书：表格表头"/>
    <w:basedOn w:val="1"/>
    <w:next w:val="1"/>
    <w:qFormat/>
    <w:uiPriority w:val="0"/>
    <w:pPr>
      <w:jc w:val="center"/>
    </w:pPr>
    <w:rPr>
      <w:rFonts w:eastAsia="仿宋_GB2312"/>
      <w:b/>
      <w:szCs w:val="24"/>
    </w:rPr>
  </w:style>
  <w:style w:type="paragraph" w:customStyle="1" w:styleId="21">
    <w:name w:val="报告书：表格正文"/>
    <w:basedOn w:val="1"/>
    <w:qFormat/>
    <w:uiPriority w:val="0"/>
    <w:pPr>
      <w:jc w:val="center"/>
    </w:pPr>
    <w:rPr>
      <w:rFonts w:eastAsia="仿宋_GB2312"/>
      <w:szCs w:val="24"/>
    </w:rPr>
  </w:style>
  <w:style w:type="paragraph" w:customStyle="1" w:styleId="22">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23">
    <w:name w:val="【正文】"/>
    <w:basedOn w:val="1"/>
    <w:qFormat/>
    <w:uiPriority w:val="0"/>
    <w:pPr>
      <w:spacing w:beforeLines="25" w:afterLines="25" w:line="360" w:lineRule="auto"/>
      <w:ind w:firstLine="480" w:firstLineChars="200"/>
    </w:pPr>
    <w:rPr>
      <w:rFonts w:ascii="宋体" w:hAnsi="宋体"/>
      <w:snapToGrid w:val="0"/>
      <w:sz w:val="24"/>
      <w:szCs w:val="24"/>
    </w:rPr>
  </w:style>
  <w:style w:type="paragraph" w:customStyle="1" w:styleId="24">
    <w:name w:val="5 正文"/>
    <w:basedOn w:val="1"/>
    <w:qFormat/>
    <w:uiPriority w:val="0"/>
    <w:pPr>
      <w:spacing w:line="360" w:lineRule="auto"/>
      <w:ind w:firstLine="480" w:firstLineChars="200"/>
    </w:pPr>
    <w:rPr>
      <w:rFonts w:ascii="宋体" w:hAnsi="宋体"/>
      <w:kern w:val="0"/>
      <w:sz w:val="24"/>
      <w:szCs w:val="28"/>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word"/>
    <w:basedOn w:val="1"/>
    <w:qFormat/>
    <w:uiPriority w:val="0"/>
    <w:pPr>
      <w:adjustRightInd w:val="0"/>
      <w:spacing w:line="360" w:lineRule="auto"/>
      <w:ind w:firstLine="480" w:firstLineChars="200"/>
    </w:pPr>
    <w:rPr>
      <w:rFonts w:ascii="宋体" w:hAnsi="宋体"/>
      <w:color w:val="0000FF"/>
      <w:sz w:val="24"/>
      <w:szCs w:val="24"/>
    </w:rPr>
  </w:style>
  <w:style w:type="paragraph" w:customStyle="1" w:styleId="2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正文文本缩进1"/>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character" w:customStyle="1" w:styleId="29">
    <w:name w:val="正文文本 + Batang1"/>
    <w:qFormat/>
    <w:uiPriority w:val="0"/>
    <w:rPr>
      <w:rFonts w:ascii="Batang" w:hAnsi="Batang" w:eastAsia="Batang" w:cs="Batang"/>
      <w:b/>
      <w:bCs/>
      <w:color w:val="000000"/>
      <w:spacing w:val="0"/>
      <w:w w:val="100"/>
      <w:position w:val="0"/>
      <w:sz w:val="22"/>
      <w:szCs w:val="22"/>
      <w:u w:val="none"/>
      <w:lang w:val="en-US"/>
    </w:rPr>
  </w:style>
  <w:style w:type="paragraph" w:customStyle="1" w:styleId="30">
    <w:name w:val="正文文本7"/>
    <w:basedOn w:val="1"/>
    <w:qFormat/>
    <w:uiPriority w:val="0"/>
    <w:pPr>
      <w:shd w:val="clear" w:color="auto" w:fill="FFFFFF"/>
      <w:spacing w:before="4020" w:after="300" w:line="0" w:lineRule="atLeast"/>
      <w:ind w:hanging="380"/>
      <w:jc w:val="distribute"/>
    </w:pPr>
    <w:rPr>
      <w:rFonts w:ascii="MingLiU" w:hAnsi="MingLiU" w:eastAsia="MingLiU"/>
      <w:spacing w:val="20"/>
      <w:kern w:val="0"/>
      <w:sz w:val="23"/>
      <w:szCs w:val="23"/>
    </w:rPr>
  </w:style>
  <w:style w:type="paragraph" w:customStyle="1" w:styleId="31">
    <w:name w:val="正文文本 (2)"/>
    <w:basedOn w:val="1"/>
    <w:qFormat/>
    <w:uiPriority w:val="0"/>
    <w:pPr>
      <w:shd w:val="clear" w:color="auto" w:fill="FFFFFF"/>
      <w:spacing w:after="300" w:line="0" w:lineRule="atLeast"/>
      <w:jc w:val="left"/>
    </w:pPr>
    <w:rPr>
      <w:rFonts w:ascii="Batang" w:hAnsi="Batang" w:eastAsia="Batang"/>
      <w:b/>
      <w:bCs/>
      <w:kern w:val="0"/>
      <w:sz w:val="22"/>
      <w:szCs w:val="22"/>
    </w:rPr>
  </w:style>
  <w:style w:type="paragraph" w:customStyle="1" w:styleId="32">
    <w:name w:val="我的正文"/>
    <w:basedOn w:val="1"/>
    <w:qFormat/>
    <w:uiPriority w:val="0"/>
    <w:pPr>
      <w:adjustRightInd w:val="0"/>
      <w:snapToGrid w:val="0"/>
      <w:spacing w:line="360" w:lineRule="auto"/>
      <w:ind w:firstLine="200" w:firstLineChars="200"/>
    </w:pPr>
    <w:rPr>
      <w:rFonts w:eastAsia="仿宋_GB2312"/>
      <w:kern w:val="0"/>
      <w:sz w:val="28"/>
      <w:szCs w:val="28"/>
    </w:rPr>
  </w:style>
  <w:style w:type="paragraph" w:customStyle="1" w:styleId="33">
    <w:name w:val="标题4"/>
    <w:basedOn w:val="1"/>
    <w:qFormat/>
    <w:uiPriority w:val="0"/>
    <w:pPr>
      <w:spacing w:line="360" w:lineRule="auto"/>
      <w:ind w:firstLine="1440" w:firstLineChars="200"/>
      <w:jc w:val="left"/>
    </w:pPr>
    <w:rPr>
      <w:b/>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2017-08-23T03:33:00Z</dcterms:created>
  <dc:creator>Administrator</dc:creator>
  <cp:lastModifiedBy>Libra</cp:lastModifiedBy>
  <dcterms:modified xsi:type="dcterms:W3CDTF">2018-07-19T03:34:29Z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