
<file path=[Content_Types].xml><?xml version="1.0" encoding="utf-8"?>
<Types xmlns="http://schemas.openxmlformats.org/package/2006/content-types">
  <Default Extension="xml" ContentType="application/xml"/>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adjustRightInd w:val="0"/>
        <w:snapToGrid w:val="0"/>
        <w:jc w:val="center"/>
        <w:outlineLvl w:val="0"/>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jc w:val="left"/>
        <w:rPr>
          <w:rFonts w:eastAsia="仿宋_GB2312"/>
          <w:snapToGrid w:val="0"/>
          <w:color w:val="000000" w:themeColor="text1"/>
          <w:kern w:val="0"/>
          <w:sz w:val="36"/>
          <w:szCs w:val="36"/>
          <w:u w:val="single"/>
          <w14:textFill>
            <w14:solidFill>
              <w14:schemeClr w14:val="tx1"/>
            </w14:solidFill>
          </w14:textFill>
        </w:rPr>
      </w:pPr>
      <w:bookmarkStart w:id="0" w:name="_Hlk57884087"/>
      <w:r>
        <w:rPr>
          <w:rFonts w:eastAsia="仿宋_GB2312"/>
          <w:snapToGrid w:val="0"/>
          <w:color w:val="000000" w:themeColor="text1"/>
          <w:kern w:val="0"/>
          <w:sz w:val="36"/>
          <w:szCs w:val="36"/>
          <w14:textFill>
            <w14:solidFill>
              <w14:schemeClr w14:val="tx1"/>
            </w14:solidFill>
          </w14:textFill>
        </w:rPr>
        <w:t>项目名称：</w:t>
      </w:r>
      <w:r>
        <w:rPr>
          <w:rFonts w:hint="eastAsia" w:eastAsia="仿宋_GB2312"/>
          <w:snapToGrid w:val="0"/>
          <w:color w:val="000000" w:themeColor="text1"/>
          <w:kern w:val="0"/>
          <w:sz w:val="36"/>
          <w:szCs w:val="36"/>
          <w:u w:val="single"/>
          <w14:textFill>
            <w14:solidFill>
              <w14:schemeClr w14:val="tx1"/>
            </w14:solidFill>
          </w14:textFill>
        </w:rPr>
        <w:t xml:space="preserve"> </w:t>
      </w:r>
      <w:r>
        <w:rPr>
          <w:rFonts w:eastAsia="仿宋_GB2312"/>
          <w:snapToGrid w:val="0"/>
          <w:color w:val="000000" w:themeColor="text1"/>
          <w:kern w:val="0"/>
          <w:sz w:val="36"/>
          <w:szCs w:val="36"/>
          <w:u w:val="single"/>
          <w14:textFill>
            <w14:solidFill>
              <w14:schemeClr w14:val="tx1"/>
            </w14:solidFill>
          </w14:textFill>
        </w:rPr>
        <w:t xml:space="preserve">      </w:t>
      </w:r>
      <w:r>
        <w:rPr>
          <w:rFonts w:hint="eastAsia" w:eastAsia="仿宋_GB2312"/>
          <w:snapToGrid w:val="0"/>
          <w:color w:val="000000" w:themeColor="text1"/>
          <w:kern w:val="0"/>
          <w:sz w:val="36"/>
          <w:szCs w:val="36"/>
          <w:u w:val="single"/>
          <w14:textFill>
            <w14:solidFill>
              <w14:schemeClr w14:val="tx1"/>
            </w14:solidFill>
          </w14:textFill>
        </w:rPr>
        <w:t>年产1</w:t>
      </w:r>
      <w:r>
        <w:rPr>
          <w:rFonts w:eastAsia="仿宋_GB2312"/>
          <w:snapToGrid w:val="0"/>
          <w:color w:val="000000" w:themeColor="text1"/>
          <w:kern w:val="0"/>
          <w:sz w:val="36"/>
          <w:szCs w:val="36"/>
          <w:u w:val="single"/>
          <w14:textFill>
            <w14:solidFill>
              <w14:schemeClr w14:val="tx1"/>
            </w14:solidFill>
          </w14:textFill>
        </w:rPr>
        <w:t>0</w:t>
      </w:r>
      <w:r>
        <w:rPr>
          <w:rFonts w:hint="eastAsia" w:eastAsia="仿宋_GB2312"/>
          <w:snapToGrid w:val="0"/>
          <w:color w:val="000000" w:themeColor="text1"/>
          <w:kern w:val="0"/>
          <w:sz w:val="36"/>
          <w:szCs w:val="36"/>
          <w:u w:val="single"/>
          <w14:textFill>
            <w14:solidFill>
              <w14:schemeClr w14:val="tx1"/>
            </w14:solidFill>
          </w14:textFill>
        </w:rPr>
        <w:t>万立方米商品混凝土建设项目</w:t>
      </w:r>
      <w:r>
        <w:rPr>
          <w:rFonts w:eastAsia="仿宋_GB2312"/>
          <w:snapToGrid w:val="0"/>
          <w:color w:val="000000" w:themeColor="text1"/>
          <w:kern w:val="0"/>
          <w:sz w:val="36"/>
          <w:szCs w:val="36"/>
          <w:u w:val="single"/>
          <w14:textFill>
            <w14:solidFill>
              <w14:schemeClr w14:val="tx1"/>
            </w14:solidFill>
          </w14:textFill>
        </w:rPr>
        <w:t xml:space="preserve">      </w:t>
      </w:r>
    </w:p>
    <w:p>
      <w:pPr>
        <w:adjustRightInd w:val="0"/>
        <w:snapToGrid w:val="0"/>
        <w:spacing w:line="288" w:lineRule="auto"/>
        <w:jc w:val="left"/>
        <w:rPr>
          <w:rFonts w:eastAsia="仿宋_GB2312"/>
          <w:snapToGrid w:val="0"/>
          <w:color w:val="000000" w:themeColor="text1"/>
          <w:kern w:val="0"/>
          <w:sz w:val="32"/>
          <w:szCs w:val="32"/>
          <w:u w:val="single"/>
          <w14:textFill>
            <w14:solidFill>
              <w14:schemeClr w14:val="tx1"/>
            </w14:solidFill>
          </w14:textFill>
        </w:rPr>
      </w:pPr>
      <w:r>
        <w:rPr>
          <w:rFonts w:eastAsia="仿宋_GB2312"/>
          <w:snapToGrid w:val="0"/>
          <w:color w:val="000000" w:themeColor="text1"/>
          <w:kern w:val="0"/>
          <w:sz w:val="36"/>
          <w:szCs w:val="36"/>
          <w14:textFill>
            <w14:solidFill>
              <w14:schemeClr w14:val="tx1"/>
            </w14:solidFill>
          </w14:textFill>
        </w:rPr>
        <w:t>建设单位（盖章）：</w:t>
      </w:r>
      <w:r>
        <w:rPr>
          <w:rFonts w:hint="eastAsia" w:eastAsia="仿宋_GB2312"/>
          <w:snapToGrid w:val="0"/>
          <w:color w:val="000000" w:themeColor="text1"/>
          <w:kern w:val="0"/>
          <w:sz w:val="36"/>
          <w:szCs w:val="36"/>
          <w:u w:val="single"/>
          <w14:textFill>
            <w14:solidFill>
              <w14:schemeClr w14:val="tx1"/>
            </w14:solidFill>
          </w14:textFill>
        </w:rPr>
        <w:t xml:space="preserve"> </w:t>
      </w:r>
      <w:r>
        <w:rPr>
          <w:rFonts w:eastAsia="仿宋_GB2312"/>
          <w:snapToGrid w:val="0"/>
          <w:color w:val="000000" w:themeColor="text1"/>
          <w:kern w:val="0"/>
          <w:sz w:val="36"/>
          <w:szCs w:val="36"/>
          <w:u w:val="single"/>
          <w14:textFill>
            <w14:solidFill>
              <w14:schemeClr w14:val="tx1"/>
            </w14:solidFill>
          </w14:textFill>
        </w:rPr>
        <w:t xml:space="preserve">            </w:t>
      </w:r>
      <w:r>
        <w:rPr>
          <w:rFonts w:hint="eastAsia" w:eastAsia="仿宋_GB2312"/>
          <w:snapToGrid w:val="0"/>
          <w:color w:val="000000" w:themeColor="text1"/>
          <w:kern w:val="0"/>
          <w:sz w:val="32"/>
          <w:szCs w:val="32"/>
          <w:u w:val="single"/>
          <w14:textFill>
            <w14:solidFill>
              <w14:schemeClr w14:val="tx1"/>
            </w14:solidFill>
          </w14:textFill>
        </w:rPr>
        <w:t xml:space="preserve">宁夏恒强建材有限公司 </w:t>
      </w:r>
      <w:r>
        <w:rPr>
          <w:rFonts w:eastAsia="仿宋_GB2312"/>
          <w:snapToGrid w:val="0"/>
          <w:color w:val="000000" w:themeColor="text1"/>
          <w:kern w:val="0"/>
          <w:sz w:val="32"/>
          <w:szCs w:val="32"/>
          <w:u w:val="single"/>
          <w14:textFill>
            <w14:solidFill>
              <w14:schemeClr w14:val="tx1"/>
            </w14:solidFill>
          </w14:textFill>
        </w:rPr>
        <w:t xml:space="preserve">               </w:t>
      </w:r>
    </w:p>
    <w:p>
      <w:pPr>
        <w:adjustRightInd w:val="0"/>
        <w:snapToGrid w:val="0"/>
        <w:spacing w:line="288" w:lineRule="auto"/>
        <w:jc w:val="left"/>
        <w:rPr>
          <w:rFonts w:eastAsia="仿宋_GB2312"/>
          <w:snapToGrid w:val="0"/>
          <w:color w:val="000000" w:themeColor="text1"/>
          <w:kern w:val="0"/>
          <w:sz w:val="36"/>
          <w:szCs w:val="36"/>
          <w:u w:val="single"/>
          <w14:textFill>
            <w14:solidFill>
              <w14:schemeClr w14:val="tx1"/>
            </w14:solidFill>
          </w14:textFill>
        </w:rPr>
      </w:pPr>
      <w:r>
        <w:rPr>
          <w:rFonts w:eastAsia="仿宋_GB2312"/>
          <w:snapToGrid w:val="0"/>
          <w:color w:val="000000" w:themeColor="text1"/>
          <w:kern w:val="0"/>
          <w:sz w:val="36"/>
          <w:szCs w:val="36"/>
          <w14:textFill>
            <w14:solidFill>
              <w14:schemeClr w14:val="tx1"/>
            </w14:solidFill>
          </w14:textFill>
        </w:rPr>
        <w:t>编制日期：</w:t>
      </w:r>
      <w:r>
        <w:rPr>
          <w:rFonts w:eastAsia="仿宋_GB2312"/>
          <w:snapToGrid w:val="0"/>
          <w:color w:val="000000" w:themeColor="text1"/>
          <w:kern w:val="0"/>
          <w:sz w:val="36"/>
          <w:szCs w:val="36"/>
          <w:u w:val="single"/>
          <w14:textFill>
            <w14:solidFill>
              <w14:schemeClr w14:val="tx1"/>
            </w14:solidFill>
          </w14:textFill>
        </w:rPr>
        <w:t xml:space="preserve">                        二O二二年</w:t>
      </w:r>
      <w:r>
        <w:rPr>
          <w:rFonts w:hint="eastAsia" w:eastAsia="仿宋_GB2312"/>
          <w:snapToGrid w:val="0"/>
          <w:color w:val="000000" w:themeColor="text1"/>
          <w:kern w:val="0"/>
          <w:sz w:val="36"/>
          <w:szCs w:val="36"/>
          <w:u w:val="single"/>
          <w14:textFill>
            <w14:solidFill>
              <w14:schemeClr w14:val="tx1"/>
            </w14:solidFill>
          </w14:textFill>
        </w:rPr>
        <w:t>十二</w:t>
      </w:r>
      <w:r>
        <w:rPr>
          <w:rFonts w:eastAsia="仿宋_GB2312"/>
          <w:snapToGrid w:val="0"/>
          <w:color w:val="000000" w:themeColor="text1"/>
          <w:kern w:val="0"/>
          <w:sz w:val="36"/>
          <w:szCs w:val="36"/>
          <w:u w:val="single"/>
          <w14:textFill>
            <w14:solidFill>
              <w14:schemeClr w14:val="tx1"/>
            </w14:solidFill>
          </w14:textFill>
        </w:rPr>
        <w:t xml:space="preserve">月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r>
        <w:rPr>
          <w:rFonts w:eastAsia="仿宋_GB2312"/>
          <w:color w:val="000000" w:themeColor="text1"/>
          <w:sz w:val="36"/>
          <w:szCs w:val="36"/>
          <w14:textFill>
            <w14:solidFill>
              <w14:schemeClr w14:val="tx1"/>
            </w14:solidFill>
          </w14:textFill>
        </w:rPr>
        <w:br w:type="page"/>
      </w:r>
    </w:p>
    <w:p>
      <w:pPr>
        <w:pStyle w:val="13"/>
        <w:adjustRightInd w:val="0"/>
        <w:snapToGrid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2"/>
        <w:gridCol w:w="1141"/>
        <w:gridCol w:w="2705"/>
        <w:gridCol w:w="1854"/>
        <w:gridCol w:w="2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建设项目名称</w:t>
            </w:r>
          </w:p>
        </w:tc>
        <w:tc>
          <w:tcPr>
            <w:tcW w:w="3987" w:type="pct"/>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年产10万立方米商品混凝土建设项目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项目代码</w:t>
            </w:r>
          </w:p>
        </w:tc>
        <w:tc>
          <w:tcPr>
            <w:tcW w:w="3987" w:type="pct"/>
            <w:gridSpan w:val="3"/>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2210-640402-07-01-464772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建设单位联系人</w:t>
            </w:r>
          </w:p>
        </w:tc>
        <w:tc>
          <w:tcPr>
            <w:tcW w:w="148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张晓明</w:t>
            </w:r>
          </w:p>
        </w:tc>
        <w:tc>
          <w:tcPr>
            <w:tcW w:w="101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联系方式</w:t>
            </w:r>
          </w:p>
        </w:tc>
        <w:tc>
          <w:tcPr>
            <w:tcW w:w="1481"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8995408518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建设地点</w:t>
            </w:r>
          </w:p>
        </w:tc>
        <w:tc>
          <w:tcPr>
            <w:tcW w:w="3987" w:type="pct"/>
            <w:gridSpan w:val="3"/>
            <w:vAlign w:val="center"/>
          </w:tcPr>
          <w:p>
            <w:pPr>
              <w:jc w:val="center"/>
              <w:rPr>
                <w:color w:val="000000" w:themeColor="text1"/>
                <w14:textFill>
                  <w14:solidFill>
                    <w14:schemeClr w14:val="tx1"/>
                  </w14:solidFill>
                </w14:textFill>
              </w:rPr>
            </w:pPr>
            <w:r>
              <w:rPr>
                <w:color w:val="000000" w:themeColor="text1"/>
                <w:szCs w:val="21"/>
                <w:u w:val="single"/>
                <w14:textFill>
                  <w14:solidFill>
                    <w14:schemeClr w14:val="tx1"/>
                  </w14:solidFill>
                </w14:textFill>
              </w:rPr>
              <w:t>宁夏</w:t>
            </w:r>
            <w:r>
              <w:rPr>
                <w:rFonts w:hint="eastAsia"/>
                <w:color w:val="000000" w:themeColor="text1"/>
                <w:szCs w:val="21"/>
                <w:u w:val="single"/>
                <w:lang w:eastAsia="zh-CN"/>
                <w14:textFill>
                  <w14:solidFill>
                    <w14:schemeClr w14:val="tx1"/>
                  </w14:solidFill>
                </w14:textFill>
              </w:rPr>
              <w:t>回族</w:t>
            </w:r>
            <w:bookmarkStart w:id="14" w:name="_GoBack"/>
            <w:bookmarkEnd w:id="14"/>
            <w:r>
              <w:rPr>
                <w:color w:val="000000" w:themeColor="text1"/>
                <w:szCs w:val="21"/>
                <w14:textFill>
                  <w14:solidFill>
                    <w14:schemeClr w14:val="tx1"/>
                  </w14:solidFill>
                </w14:textFill>
              </w:rPr>
              <w:t>自治区</w:t>
            </w:r>
            <w:r>
              <w:rPr>
                <w:rFonts w:hint="eastAsia"/>
                <w:color w:val="000000" w:themeColor="text1"/>
                <w:szCs w:val="21"/>
                <w:u w:val="single"/>
                <w14:textFill>
                  <w14:solidFill>
                    <w14:schemeClr w14:val="tx1"/>
                  </w14:solidFill>
                </w14:textFill>
              </w:rPr>
              <w:t>固原</w:t>
            </w:r>
            <w:r>
              <w:rPr>
                <w:color w:val="000000" w:themeColor="text1"/>
                <w:szCs w:val="21"/>
                <w14:textFill>
                  <w14:solidFill>
                    <w14:schemeClr w14:val="tx1"/>
                  </w14:solidFill>
                </w14:textFill>
              </w:rPr>
              <w:t>市</w:t>
            </w:r>
            <w:r>
              <w:rPr>
                <w:rFonts w:hint="eastAsia"/>
                <w:color w:val="000000" w:themeColor="text1"/>
                <w:szCs w:val="21"/>
                <w:u w:val="single"/>
                <w14:textFill>
                  <w14:solidFill>
                    <w14:schemeClr w14:val="tx1"/>
                  </w14:solidFill>
                </w14:textFill>
              </w:rPr>
              <w:t>原州</w:t>
            </w:r>
            <w:r>
              <w:rPr>
                <w:color w:val="000000" w:themeColor="text1"/>
                <w:szCs w:val="21"/>
                <w14:textFill>
                  <w14:solidFill>
                    <w14:schemeClr w14:val="tx1"/>
                  </w14:solidFill>
                </w14:textFill>
              </w:rPr>
              <w:t>区</w:t>
            </w:r>
            <w:r>
              <w:rPr>
                <w:rFonts w:hint="eastAsia"/>
                <w:color w:val="000000" w:themeColor="text1"/>
                <w:szCs w:val="21"/>
                <w:u w:val="single"/>
                <w14:textFill>
                  <w14:solidFill>
                    <w14:schemeClr w14:val="tx1"/>
                  </w14:solidFill>
                </w14:textFill>
              </w:rPr>
              <w:t>彭堡</w:t>
            </w:r>
            <w:r>
              <w:rPr>
                <w:color w:val="000000" w:themeColor="text1"/>
                <w:szCs w:val="21"/>
                <w14:textFill>
                  <w14:solidFill>
                    <w14:schemeClr w14:val="tx1"/>
                  </w14:solidFill>
                </w14:textFill>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3987" w:type="pct"/>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color w:val="000000" w:themeColor="text1"/>
                <w:szCs w:val="21"/>
                <w:u w:val="single"/>
                <w14:textFill>
                  <w14:solidFill>
                    <w14:schemeClr w14:val="tx1"/>
                  </w14:solidFill>
                </w14:textFill>
              </w:rPr>
              <w:t>106</w:t>
            </w:r>
            <w:r>
              <w:rPr>
                <w:color w:val="000000" w:themeColor="text1"/>
                <w:szCs w:val="21"/>
                <w14:textFill>
                  <w14:solidFill>
                    <w14:schemeClr w14:val="tx1"/>
                  </w14:solidFill>
                </w14:textFill>
              </w:rPr>
              <w:t>度</w:t>
            </w:r>
            <w:r>
              <w:rPr>
                <w:color w:val="000000" w:themeColor="text1"/>
                <w:szCs w:val="21"/>
                <w:u w:val="single"/>
                <w14:textFill>
                  <w14:solidFill>
                    <w14:schemeClr w14:val="tx1"/>
                  </w14:solidFill>
                </w14:textFill>
              </w:rPr>
              <w:t>9</w:t>
            </w:r>
            <w:r>
              <w:rPr>
                <w:color w:val="000000" w:themeColor="text1"/>
                <w:szCs w:val="21"/>
                <w14:textFill>
                  <w14:solidFill>
                    <w14:schemeClr w14:val="tx1"/>
                  </w14:solidFill>
                </w14:textFill>
              </w:rPr>
              <w:t>分</w:t>
            </w:r>
            <w:r>
              <w:rPr>
                <w:color w:val="000000" w:themeColor="text1"/>
                <w:szCs w:val="21"/>
                <w:u w:val="single"/>
                <w14:textFill>
                  <w14:solidFill>
                    <w14:schemeClr w14:val="tx1"/>
                  </w14:solidFill>
                </w14:textFill>
              </w:rPr>
              <w:t>51.790</w:t>
            </w:r>
            <w:r>
              <w:rPr>
                <w:color w:val="000000" w:themeColor="text1"/>
                <w:szCs w:val="21"/>
                <w14:textFill>
                  <w14:solidFill>
                    <w14:schemeClr w14:val="tx1"/>
                  </w14:solidFill>
                </w14:textFill>
              </w:rPr>
              <w:t>秒，</w:t>
            </w:r>
            <w:r>
              <w:rPr>
                <w:color w:val="000000" w:themeColor="text1"/>
                <w:szCs w:val="21"/>
                <w:u w:val="single"/>
                <w14:textFill>
                  <w14:solidFill>
                    <w14:schemeClr w14:val="tx1"/>
                  </w14:solidFill>
                </w14:textFill>
              </w:rPr>
              <w:t>36</w:t>
            </w:r>
            <w:r>
              <w:rPr>
                <w:color w:val="000000" w:themeColor="text1"/>
                <w:szCs w:val="21"/>
                <w14:textFill>
                  <w14:solidFill>
                    <w14:schemeClr w14:val="tx1"/>
                  </w14:solidFill>
                </w14:textFill>
              </w:rPr>
              <w:t>度</w:t>
            </w:r>
            <w:r>
              <w:rPr>
                <w:color w:val="000000" w:themeColor="text1"/>
                <w:szCs w:val="21"/>
                <w:u w:val="single"/>
                <w14:textFill>
                  <w14:solidFill>
                    <w14:schemeClr w14:val="tx1"/>
                  </w14:solidFill>
                </w14:textFill>
              </w:rPr>
              <w:t>4</w:t>
            </w:r>
            <w:r>
              <w:rPr>
                <w:color w:val="000000" w:themeColor="text1"/>
                <w:szCs w:val="21"/>
                <w14:textFill>
                  <w14:solidFill>
                    <w14:schemeClr w14:val="tx1"/>
                  </w14:solidFill>
                </w14:textFill>
              </w:rPr>
              <w:t>分</w:t>
            </w:r>
            <w:r>
              <w:rPr>
                <w:color w:val="000000" w:themeColor="text1"/>
                <w:szCs w:val="21"/>
                <w:u w:val="single"/>
                <w14:textFill>
                  <w14:solidFill>
                    <w14:schemeClr w14:val="tx1"/>
                  </w14:solidFill>
                </w14:textFill>
              </w:rPr>
              <w:t>7.689</w:t>
            </w:r>
            <w:r>
              <w:rPr>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国民经济</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行业类别</w:t>
            </w:r>
          </w:p>
        </w:tc>
        <w:tc>
          <w:tcPr>
            <w:tcW w:w="1487" w:type="pct"/>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C3029 其他水泥类似品制造</w:t>
            </w:r>
          </w:p>
        </w:tc>
        <w:tc>
          <w:tcPr>
            <w:tcW w:w="1019" w:type="pct"/>
            <w:vAlign w:val="center"/>
          </w:tcPr>
          <w:p>
            <w:pPr>
              <w:adjustRightInd w:val="0"/>
              <w:snapToGrid w:val="0"/>
              <w:jc w:val="center"/>
              <w:rPr>
                <w:b/>
                <w:bCs/>
                <w:color w:val="000000" w:themeColor="text1"/>
                <w:szCs w:val="21"/>
                <w14:textFill>
                  <w14:solidFill>
                    <w14:schemeClr w14:val="tx1"/>
                  </w14:solidFill>
                </w14:textFill>
              </w:rPr>
            </w:pPr>
            <w:bookmarkStart w:id="1" w:name="_Hlk49843745"/>
            <w:r>
              <w:rPr>
                <w:b/>
                <w:bCs/>
                <w:color w:val="000000" w:themeColor="text1"/>
                <w:szCs w:val="21"/>
                <w14:textFill>
                  <w14:solidFill>
                    <w14:schemeClr w14:val="tx1"/>
                  </w14:solidFill>
                </w14:textFill>
              </w:rPr>
              <w:t>建设项目</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行业类别</w:t>
            </w:r>
            <w:bookmarkEnd w:id="1"/>
          </w:p>
        </w:tc>
        <w:tc>
          <w:tcPr>
            <w:tcW w:w="1481" w:type="pct"/>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二十七、非金属矿物制品业，55石膏、水泥制品及类似制品制造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建设性质</w:t>
            </w:r>
          </w:p>
        </w:tc>
        <w:tc>
          <w:tcPr>
            <w:tcW w:w="1487" w:type="pct"/>
            <w:vAlign w:val="center"/>
          </w:tcPr>
          <w:p>
            <w:pPr>
              <w:jc w:val="left"/>
              <w:rPr>
                <w:color w:val="000000" w:themeColor="text1"/>
                <w:szCs w:val="21"/>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Cs w:val="21"/>
                <w14:textFill>
                  <w14:solidFill>
                    <w14:schemeClr w14:val="tx1"/>
                  </w14:solidFill>
                </w14:textFill>
              </w:rPr>
              <w:t>新建（迁建）</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改建</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扩建</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技术改造</w:t>
            </w:r>
          </w:p>
        </w:tc>
        <w:tc>
          <w:tcPr>
            <w:tcW w:w="101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申报情形</w:t>
            </w:r>
          </w:p>
        </w:tc>
        <w:tc>
          <w:tcPr>
            <w:tcW w:w="1481" w:type="pct"/>
            <w:vAlign w:val="center"/>
          </w:tcPr>
          <w:p>
            <w:pPr>
              <w:jc w:val="left"/>
              <w:rPr>
                <w:color w:val="000000" w:themeColor="text1"/>
                <w:szCs w:val="21"/>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Cs w:val="21"/>
                <w14:textFill>
                  <w14:solidFill>
                    <w14:schemeClr w14:val="tx1"/>
                  </w14:solidFill>
                </w14:textFill>
              </w:rPr>
              <w:t>首次申报项目</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不予批准后再次申报项目</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超五年重新审核项目</w:t>
            </w:r>
          </w:p>
          <w:p>
            <w:pPr>
              <w:jc w:val="left"/>
              <w:rPr>
                <w:color w:val="000000" w:themeColor="text1"/>
                <w:szCs w:val="21"/>
                <w14:textFill>
                  <w14:solidFill>
                    <w14:schemeClr w14:val="tx1"/>
                  </w14:solidFill>
                </w14:textFill>
              </w:rPr>
            </w:pPr>
            <w:r>
              <w:rPr>
                <w:color w:val="000000" w:themeColor="text1"/>
                <w14:textFill>
                  <w14:solidFill>
                    <w14:schemeClr w14:val="tx1"/>
                  </w14:solidFill>
                </w14:textFill>
              </w:rPr>
              <w:t>□</w:t>
            </w:r>
            <w:r>
              <w:rPr>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项目审批（核准/备案）部门（选填）</w:t>
            </w:r>
          </w:p>
        </w:tc>
        <w:tc>
          <w:tcPr>
            <w:tcW w:w="148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固原市原州区审批服务管理局</w:t>
            </w:r>
          </w:p>
        </w:tc>
        <w:tc>
          <w:tcPr>
            <w:tcW w:w="101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项目审批（核准/备案）文号（选填）</w:t>
            </w:r>
          </w:p>
        </w:tc>
        <w:tc>
          <w:tcPr>
            <w:tcW w:w="1481"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总投资（万元）</w:t>
            </w:r>
          </w:p>
        </w:tc>
        <w:tc>
          <w:tcPr>
            <w:tcW w:w="1487"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019" w:type="pct"/>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环保投资（万元）</w:t>
            </w:r>
          </w:p>
        </w:tc>
        <w:tc>
          <w:tcPr>
            <w:tcW w:w="148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环保投资占比（%）</w:t>
            </w:r>
          </w:p>
        </w:tc>
        <w:tc>
          <w:tcPr>
            <w:tcW w:w="148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21.2%</w:t>
            </w:r>
          </w:p>
        </w:tc>
        <w:tc>
          <w:tcPr>
            <w:tcW w:w="1019" w:type="pct"/>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施工工期</w:t>
            </w:r>
          </w:p>
        </w:tc>
        <w:tc>
          <w:tcPr>
            <w:tcW w:w="148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3" w:type="pct"/>
            <w:gridSpan w:val="2"/>
            <w:tcMar>
              <w:top w:w="16" w:type="dxa"/>
              <w:left w:w="16" w:type="dxa"/>
              <w:right w:w="16" w:type="dxa"/>
            </w:tcMar>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是否开工建设</w:t>
            </w:r>
          </w:p>
        </w:tc>
        <w:tc>
          <w:tcPr>
            <w:tcW w:w="1487" w:type="pct"/>
            <w:vAlign w:val="center"/>
          </w:tcPr>
          <w:p>
            <w:pPr>
              <w:adjustRightInd w:val="0"/>
              <w:snapToGrid w:val="0"/>
              <w:rPr>
                <w:snapToGrid w:val="0"/>
                <w:color w:val="000000" w:themeColor="text1"/>
                <w:kern w:val="0"/>
                <w:szCs w:val="21"/>
                <w14:textFill>
                  <w14:solidFill>
                    <w14:schemeClr w14:val="tx1"/>
                  </w14:solidFill>
                </w14:textFill>
              </w:rPr>
            </w:pPr>
            <w:r>
              <w:rPr>
                <w:snapToGrid w:val="0"/>
                <w:color w:val="000000" w:themeColor="text1"/>
                <w:kern w:val="0"/>
                <w:sz w:val="24"/>
                <w14:textFill>
                  <w14:solidFill>
                    <w14:schemeClr w14:val="tx1"/>
                  </w14:solidFill>
                </w14:textFill>
              </w:rPr>
              <w:sym w:font="Wingdings 2" w:char="0052"/>
            </w:r>
            <w:r>
              <w:rPr>
                <w:snapToGrid w:val="0"/>
                <w:color w:val="000000" w:themeColor="text1"/>
                <w:kern w:val="0"/>
                <w:szCs w:val="21"/>
                <w14:textFill>
                  <w14:solidFill>
                    <w14:schemeClr w14:val="tx1"/>
                  </w14:solidFill>
                </w14:textFill>
              </w:rPr>
              <w:t>否</w:t>
            </w:r>
          </w:p>
          <w:p>
            <w:pPr>
              <w:adjustRightInd w:val="0"/>
              <w:snapToGrid w:val="0"/>
              <w:rPr>
                <w:color w:val="000000" w:themeColor="text1"/>
                <w:szCs w:val="21"/>
                <w14:textFill>
                  <w14:solidFill>
                    <w14:schemeClr w14:val="tx1"/>
                  </w14:solidFill>
                </w14:textFill>
              </w:rPr>
            </w:pPr>
            <w:r>
              <w:rPr>
                <w:snapToGrid w:val="0"/>
                <w:color w:val="000000" w:themeColor="text1"/>
                <w:kern w:val="0"/>
                <w14:textFill>
                  <w14:solidFill>
                    <w14:schemeClr w14:val="tx1"/>
                  </w14:solidFill>
                </w14:textFill>
              </w:rPr>
              <w:t>□</w:t>
            </w:r>
            <w:r>
              <w:rPr>
                <w:snapToGrid w:val="0"/>
                <w:color w:val="000000" w:themeColor="text1"/>
                <w:kern w:val="0"/>
                <w:szCs w:val="21"/>
                <w14:textFill>
                  <w14:solidFill>
                    <w14:schemeClr w14:val="tx1"/>
                  </w14:solidFill>
                </w14:textFill>
              </w:rPr>
              <w:t>是：</w:t>
            </w:r>
          </w:p>
        </w:tc>
        <w:tc>
          <w:tcPr>
            <w:tcW w:w="1019" w:type="pct"/>
            <w:tcMar>
              <w:top w:w="16" w:type="dxa"/>
              <w:left w:w="16" w:type="dxa"/>
              <w:right w:w="16" w:type="dxa"/>
            </w:tcMar>
            <w:vAlign w:val="center"/>
          </w:tcPr>
          <w:p>
            <w:pPr>
              <w:adjustRightInd w:val="0"/>
              <w:snapToGrid w:val="0"/>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用地（用海）</w:t>
            </w:r>
          </w:p>
          <w:p>
            <w:pPr>
              <w:adjustRightInd w:val="0"/>
              <w:snapToGrid w:val="0"/>
              <w:jc w:val="center"/>
              <w:rPr>
                <w:b/>
                <w:bCs/>
                <w:color w:val="000000" w:themeColor="text1"/>
                <w:szCs w:val="21"/>
                <w14:textFill>
                  <w14:solidFill>
                    <w14:schemeClr w14:val="tx1"/>
                  </w14:solidFill>
                </w14:textFill>
              </w:rPr>
            </w:pPr>
            <w:r>
              <w:rPr>
                <w:b/>
                <w:bCs/>
                <w:color w:val="000000" w:themeColor="text1"/>
                <w:spacing w:val="-6"/>
                <w:szCs w:val="21"/>
                <w14:textFill>
                  <w14:solidFill>
                    <w14:schemeClr w14:val="tx1"/>
                  </w14:solidFill>
                </w14:textFill>
              </w:rPr>
              <w:t>面积（m</w:t>
            </w:r>
            <w:r>
              <w:rPr>
                <w:b/>
                <w:bCs/>
                <w:color w:val="000000" w:themeColor="text1"/>
                <w:spacing w:val="-6"/>
                <w:szCs w:val="21"/>
                <w:vertAlign w:val="superscript"/>
                <w14:textFill>
                  <w14:solidFill>
                    <w14:schemeClr w14:val="tx1"/>
                  </w14:solidFill>
                </w14:textFill>
              </w:rPr>
              <w:t>2</w:t>
            </w:r>
            <w:r>
              <w:rPr>
                <w:b/>
                <w:bCs/>
                <w:color w:val="000000" w:themeColor="text1"/>
                <w:spacing w:val="-6"/>
                <w:szCs w:val="21"/>
                <w14:textFill>
                  <w14:solidFill>
                    <w14:schemeClr w14:val="tx1"/>
                  </w14:solidFill>
                </w14:textFill>
              </w:rPr>
              <w:t>）</w:t>
            </w:r>
          </w:p>
        </w:tc>
        <w:tc>
          <w:tcPr>
            <w:tcW w:w="148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3" w:type="pct"/>
            <w:gridSpan w:val="2"/>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专项评价设置情况</w:t>
            </w:r>
          </w:p>
        </w:tc>
        <w:tc>
          <w:tcPr>
            <w:tcW w:w="3987" w:type="pct"/>
            <w:gridSpan w:val="3"/>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规划情况</w:t>
            </w:r>
          </w:p>
        </w:tc>
        <w:tc>
          <w:tcPr>
            <w:tcW w:w="4614" w:type="pct"/>
            <w:gridSpan w:val="4"/>
            <w:vAlign w:val="center"/>
          </w:tcPr>
          <w:p>
            <w:pPr>
              <w:pStyle w:val="3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规划环境影响评价情况</w:t>
            </w:r>
          </w:p>
        </w:tc>
        <w:tc>
          <w:tcPr>
            <w:tcW w:w="4614" w:type="pct"/>
            <w:gridSpan w:val="4"/>
            <w:vAlign w:val="center"/>
          </w:tcPr>
          <w:p>
            <w:pPr>
              <w:pStyle w:val="3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规划及规划环境影响评价符合性分析</w:t>
            </w:r>
          </w:p>
        </w:tc>
        <w:tc>
          <w:tcPr>
            <w:tcW w:w="4614" w:type="pct"/>
            <w:gridSpan w:val="4"/>
            <w:vAlign w:val="center"/>
          </w:tcPr>
          <w:p>
            <w:pPr>
              <w:pStyle w:val="3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6" w:type="pct"/>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其他符合性分析</w:t>
            </w:r>
          </w:p>
        </w:tc>
        <w:tc>
          <w:tcPr>
            <w:tcW w:w="4614" w:type="pct"/>
            <w:gridSpan w:val="4"/>
            <w:vAlign w:val="center"/>
          </w:tcPr>
          <w:p>
            <w:pPr>
              <w:pStyle w:val="42"/>
              <w:rPr>
                <w:color w:val="000000" w:themeColor="text1"/>
                <w:lang w:bidi="ar"/>
                <w14:textFill>
                  <w14:solidFill>
                    <w14:schemeClr w14:val="tx1"/>
                  </w14:solidFill>
                </w14:textFill>
              </w:rPr>
            </w:pPr>
            <w:r>
              <w:rPr>
                <w:color w:val="000000" w:themeColor="text1"/>
                <w:lang w:bidi="ar"/>
                <w14:textFill>
                  <w14:solidFill>
                    <w14:schemeClr w14:val="tx1"/>
                  </w14:solidFill>
                </w14:textFill>
              </w:rPr>
              <w:t>1、产业政策符合性分析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根据国家发展和改革委员会，第29号令，《产业结构调整指导目录（2019年本）》，本项目生产工艺及产品不属于其中的鼓励类、限制类及淘汰类项目，符合产业政策要求。</w:t>
            </w:r>
          </w:p>
          <w:p>
            <w:pPr>
              <w:pStyle w:val="42"/>
              <w:rPr>
                <w:color w:val="000000" w:themeColor="text1"/>
                <w:lang w:bidi="ar"/>
                <w14:textFill>
                  <w14:solidFill>
                    <w14:schemeClr w14:val="tx1"/>
                  </w14:solidFill>
                </w14:textFill>
              </w:rPr>
            </w:pPr>
            <w:r>
              <w:rPr>
                <w:color w:val="000000" w:themeColor="text1"/>
                <w:lang w:bidi="ar"/>
                <w14:textFill>
                  <w14:solidFill>
                    <w14:schemeClr w14:val="tx1"/>
                  </w14:solidFill>
                </w14:textFill>
              </w:rPr>
              <w:t>2、“三线一单”符合性分析</w:t>
            </w:r>
          </w:p>
          <w:p>
            <w:pPr>
              <w:pStyle w:val="39"/>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根据《关于以改善环境质量为核心加强环境影响评价管理的通知》（环评[2016]150号）、《自治区人民政府关于发布宁夏回族自治区生态保护红线的通知》（宁政发〔2018〕23号）和《固原市人民政府关于实施“三线一单”生态环境分区管控的意见》（固政规发〔2021〕6号）文件要求分析本项目“三线一单”相符性。</w:t>
            </w:r>
          </w:p>
          <w:p>
            <w:pPr>
              <w:pStyle w:val="39"/>
              <w:ind w:firstLine="482"/>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（1）生态保护红线</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自治区人民政府关于发布宁夏回族自治区生态保护红线的通知》，宁夏回族自治区生态保护红线包括水源涵养、生物多样性维护、水土保持、防风固沙、水土流失控制等5大类9个片区，构成了“三屏一带五区”为主的生态保护红线空间格局。其中，“三屏”为六盘山生态屏障、贺兰山生态屏障、罗山生态屏障，“一带”为黄河岸线生态廊道，“五区”为东部毛乌素沙地防风固沙区、西部腾格里沙漠边缘防风固沙区、中部干旱带水土流失控制区、东南黄土高原丘陵水土保持区、西南黄土高原丘陵水土保持区。</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本项目位于固原市原州区彭堡镇，所在区域不在生态保护红线范围内，符合宁夏回族自治区生态保护红线的相关要求。</w:t>
            </w:r>
            <w:r>
              <w:rPr>
                <w:color w:val="000000" w:themeColor="text1"/>
                <w14:textFill>
                  <w14:solidFill>
                    <w14:schemeClr w14:val="tx1"/>
                  </w14:solidFill>
                </w14:textFill>
              </w:rPr>
              <w:t>本项目在</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市生态保护红线图中位置见图1.1。</w:t>
            </w:r>
          </w:p>
          <w:p>
            <w:pPr>
              <w:pStyle w:val="39"/>
              <w:ind w:firstLine="482"/>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（2）环境质量底线</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A、环境空气质量</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本项目位于固原市原州区彭堡镇，本次评价区域环境空气质量现状引用《2021年宁夏生态环境质量状况》中固原市的统计数据，评价因子为SO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，监测结果表明：项目所在区域为环境空气质量为达标区域。</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固原市人民政府关于实施“三线一单”生态环境分区管控的意见》（固政规发[2021]6号）：将工业园区等大气污染物高排放区域，上风向、扩散通道、环流通道等对环境空气质量影响较显著的布局敏感区域，静风或风速较小的弱扩散区域，人群密集的受体敏感区域，识别为大气环境重点管控区，总面积2819.34平方公里，占全市面积的26.78%。</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根据“固原市大气环境分区管控图”，本项目位于大气环境重点管控区（大气环境受体敏感重点管控区），本项目在固原市大气环境分区管控图中的位置见图1.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该区域要求：推进固原市区、四县县城、乡镇所在地和城市周边等重点区域清洁供暖。禁止在高排放非道路移动机械禁止使用区域内使用污染物排放达不到GB36886中规定的Ⅲ类限值标准或排放黑烟等明显可视污染物的非道路移动柴油工程机械。严格落实建筑、拆迁工地“6个100%”防控措施，最大限度减少城市建成区裸露地面，提高城市建成区道路机械化清扫率。严格限制产生和排放有毒有害大气污染物项目，鼓励现有该类项目逐步搬迁退出。禁止焚烧产生有毒有害烟尘和恶臭气体的物质。加强餐饮业燃料烟气及餐饮油烟防治，鼓励餐饮业及居民生活能源使用天然气、液化石油气、生物酒精等洁净能源。加快新能源汽车推广使用，推进新能源汽车有序替换存量燃油公交车。</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为商品混凝土加工项目，生产过程中主要产生粉尘的有：汽车扬尘定期洒水降低粉尘；原料车间设置全封闭式，且四周设置喷淋装置，规定时间洒水抑尘；水泥仓粉尘经仓顶布袋除尘器处理后通过2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高的排气筒排放；搅拌工序在密闭空间进行，搅拌粉尘经布袋除尘器处理后排放；物料输送在密闭条件下进行。通过以上措施只有少量的粉尘排放，不会对现有的环境空气质量有较大影响，本项目严格落实本评价提出的污染防治措施，大气污染物可达标排放。</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B、地表水环境质量</w:t>
            </w:r>
          </w:p>
          <w:p>
            <w:pPr>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Style w:val="45"/>
                <w:color w:val="000000" w:themeColor="text1"/>
                <w14:textFill>
                  <w14:solidFill>
                    <w14:schemeClr w14:val="tx1"/>
                  </w14:solidFill>
                </w14:textFill>
              </w:rPr>
              <w:t>距离本项目的最近的地表水体为项目</w:t>
            </w:r>
            <w:r>
              <w:rPr>
                <w:rStyle w:val="45"/>
                <w:rFonts w:hint="eastAsia"/>
                <w:color w:val="000000" w:themeColor="text1"/>
                <w14:textFill>
                  <w14:solidFill>
                    <w14:schemeClr w14:val="tx1"/>
                  </w14:solidFill>
                </w14:textFill>
              </w:rPr>
              <w:t>西</w:t>
            </w:r>
            <w:r>
              <w:rPr>
                <w:rStyle w:val="45"/>
                <w:color w:val="000000" w:themeColor="text1"/>
                <w14:textFill>
                  <w14:solidFill>
                    <w14:schemeClr w14:val="tx1"/>
                  </w14:solidFill>
                </w14:textFill>
              </w:rPr>
              <w:t>侧3.4km处的</w:t>
            </w:r>
            <w:r>
              <w:rPr>
                <w:rStyle w:val="45"/>
                <w:rFonts w:hint="eastAsia"/>
                <w:color w:val="000000" w:themeColor="text1"/>
                <w14:textFill>
                  <w14:solidFill>
                    <w14:schemeClr w14:val="tx1"/>
                  </w14:solidFill>
                </w14:textFill>
              </w:rPr>
              <w:t>冬至</w:t>
            </w:r>
            <w:r>
              <w:rPr>
                <w:rStyle w:val="45"/>
                <w:color w:val="000000" w:themeColor="text1"/>
                <w14:textFill>
                  <w14:solidFill>
                    <w14:schemeClr w14:val="tx1"/>
                  </w14:solidFill>
                </w14:textFill>
              </w:rPr>
              <w:t>河</w:t>
            </w:r>
            <w:r>
              <w:rPr>
                <w:rStyle w:val="45"/>
                <w:rFonts w:hint="eastAsia"/>
                <w:color w:val="000000" w:themeColor="text1"/>
                <w14:textFill>
                  <w14:solidFill>
                    <w14:schemeClr w14:val="tx1"/>
                  </w14:solidFill>
                </w14:textFill>
              </w:rPr>
              <w:t>为清水河支流</w:t>
            </w:r>
            <w:r>
              <w:rPr>
                <w:rStyle w:val="45"/>
                <w:color w:val="000000" w:themeColor="text1"/>
                <w14:textFill>
                  <w14:solidFill>
                    <w14:schemeClr w14:val="tx1"/>
                  </w14:solidFill>
                </w14:textFill>
              </w:rPr>
              <w:t>，根据《2021年宁夏生态环境质量状况》</w:t>
            </w:r>
            <w:r>
              <w:rPr>
                <w:rStyle w:val="45"/>
                <w:rFonts w:hint="eastAsia"/>
                <w:color w:val="000000" w:themeColor="text1"/>
                <w14:textFill>
                  <w14:solidFill>
                    <w14:schemeClr w14:val="tx1"/>
                  </w14:solidFill>
                </w14:textFill>
              </w:rPr>
              <w:t>清水河（冬至河入清水河</w:t>
            </w:r>
            <w:r>
              <w:rPr>
                <w:rStyle w:val="45"/>
                <w:color w:val="000000" w:themeColor="text1"/>
                <w14:textFill>
                  <w14:solidFill>
                    <w14:schemeClr w14:val="tx1"/>
                  </w14:solidFill>
                </w14:textFill>
              </w:rPr>
              <w:t>断面</w:t>
            </w:r>
            <w:r>
              <w:rPr>
                <w:rStyle w:val="45"/>
                <w:rFonts w:hint="eastAsia"/>
                <w:color w:val="000000" w:themeColor="text1"/>
                <w14:textFill>
                  <w14:solidFill>
                    <w14:schemeClr w14:val="tx1"/>
                  </w14:solidFill>
                </w14:textFill>
              </w:rPr>
              <w:t>）</w:t>
            </w:r>
            <w:r>
              <w:rPr>
                <w:rStyle w:val="45"/>
                <w:color w:val="000000" w:themeColor="text1"/>
                <w14:textFill>
                  <w14:solidFill>
                    <w14:schemeClr w14:val="tx1"/>
                  </w14:solidFill>
                </w14:textFill>
              </w:rPr>
              <w:t>，指标</w:t>
            </w:r>
            <w:r>
              <w:rPr>
                <w:rStyle w:val="45"/>
                <w:rFonts w:hint="eastAsia"/>
                <w:color w:val="000000" w:themeColor="text1"/>
                <w14:textFill>
                  <w14:solidFill>
                    <w14:schemeClr w14:val="tx1"/>
                  </w14:solidFill>
                </w14:textFill>
              </w:rPr>
              <w:t>均</w:t>
            </w:r>
            <w:r>
              <w:rPr>
                <w:rStyle w:val="45"/>
                <w:color w:val="000000" w:themeColor="text1"/>
                <w14:textFill>
                  <w14:solidFill>
                    <w14:schemeClr w14:val="tx1"/>
                  </w14:solidFill>
                </w14:textFill>
              </w:rPr>
              <w:t>满足《地表水环境质量标准》（GB3838-2002）Ⅳ类水质要求。</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根据“固原市水环境分区管控图”，本项目位于水环境一般管控区，本项目在固原市水环境分区管控图中的位置见图1.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水环境一般管控区要求：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本项目产生的废水主要生产废水和生活污水，车辆清洗废水、搅拌机清洗废水经沉淀池处理后回用于生产；生活污水经一体化污水处理设施处理后达到《城市污水再生利用 城市杂用水水质》（GB18920-2020）标准用于厂区洒水抑尘，不外排。</w:t>
            </w:r>
          </w:p>
          <w:p>
            <w:pPr>
              <w:pStyle w:val="39"/>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（3）资源利用上限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项目在运营过程中将消耗一定量的电源、水源、项目资源消耗量相对于区域资源利用总量较少，符合资源利用上限要求。本项目新增用地8</w:t>
            </w:r>
            <w:r>
              <w:rPr>
                <w:color w:val="000000" w:themeColor="text1"/>
                <w14:textFill>
                  <w14:solidFill>
                    <w14:schemeClr w14:val="tx1"/>
                  </w14:solidFill>
                </w14:textFill>
              </w:rPr>
              <w:t>590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，占用土地类型为工业用地，不影响当地土地资源。</w:t>
            </w:r>
          </w:p>
          <w:p>
            <w:pPr>
              <w:pStyle w:val="39"/>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（4）生态环境准入清单</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《固原市人民政府关于实施“三线一单”生态环境分区管控的意见》（固政规发[2021]6号）文件中固原市生态环境准入清单符合性分析见表1.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本项目在</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市环境管控单元图中位置见图1.4。</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本项目位于重点管控单元，项目与</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市生态环境总体准入清单符合性分析见下表1.1。本项目所处具体管控单元名称为</w:t>
            </w:r>
            <w:r>
              <w:rPr>
                <w:rFonts w:hint="eastAsia"/>
                <w:color w:val="000000" w:themeColor="text1"/>
                <w14:textFill>
                  <w14:solidFill>
                    <w14:schemeClr w14:val="tx1"/>
                  </w14:solidFill>
                </w14:textFill>
              </w:rPr>
              <w:t>原州区彭堡镇-中河乡-官厅镇一般管控单元</w:t>
            </w:r>
            <w:r>
              <w:rPr>
                <w:color w:val="000000" w:themeColor="text1"/>
                <w14:textFill>
                  <w14:solidFill>
                    <w14:schemeClr w14:val="tx1"/>
                  </w14:solidFill>
                </w14:textFill>
              </w:rPr>
              <w:t>，项目与</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市环境管控单元生态环境准入清单符合性分析见下表1.2。</w:t>
            </w:r>
          </w:p>
          <w:p>
            <w:pPr>
              <w:pStyle w:val="12"/>
              <w:rPr>
                <w:color w:val="000000" w:themeColor="text1"/>
                <w14:textFill>
                  <w14:solidFill>
                    <w14:schemeClr w14:val="tx1"/>
                  </w14:solidFill>
                </w14:textFill>
              </w:rPr>
            </w:pPr>
            <w:r>
              <w:rPr>
                <w:color w:val="000000" w:themeColor="text1"/>
                <w14:textFill>
                  <w14:solidFill>
                    <w14:schemeClr w14:val="tx1"/>
                  </w14:solidFill>
                </w14:textFill>
              </w:rPr>
              <w:t xml:space="preserve">表1.1  </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市生态环境总体准入清单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869"/>
              <w:gridCol w:w="4352"/>
              <w:gridCol w:w="1454"/>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pct"/>
                  <w:gridSpan w:val="2"/>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管控维度</w:t>
                  </w:r>
                </w:p>
              </w:tc>
              <w:tc>
                <w:tcPr>
                  <w:tcW w:w="2661"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准入要求</w:t>
                  </w:r>
                </w:p>
              </w:tc>
              <w:tc>
                <w:tcPr>
                  <w:tcW w:w="889"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c>
              <w:tc>
                <w:tcPr>
                  <w:tcW w:w="454"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1</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空间布局约束</w:t>
                  </w:r>
                </w:p>
              </w:tc>
              <w:tc>
                <w:tcPr>
                  <w:tcW w:w="531"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1.1</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禁止开发建设活动的要求</w:t>
                  </w:r>
                </w:p>
              </w:tc>
              <w:tc>
                <w:tcPr>
                  <w:tcW w:w="2661"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严禁产能过剩行业新增产能，各开发区主导产业产值占比达到60%以上，严防发达地区淘汰退出的高污染企业落户固原</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bCs/>
                      <w:color w:val="000000" w:themeColor="text1"/>
                      <w14:textFill>
                        <w14:solidFill>
                          <w14:schemeClr w14:val="tx1"/>
                        </w14:solidFill>
                      </w14:textFill>
                    </w:rPr>
                  </w:pPr>
                </w:p>
              </w:tc>
              <w:tc>
                <w:tcPr>
                  <w:tcW w:w="2661"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严禁在“五河”临岸1公里范围内新建“两高一资”项目及相关产业园区</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bCs/>
                      <w:color w:val="000000" w:themeColor="text1"/>
                      <w14:textFill>
                        <w14:solidFill>
                          <w14:schemeClr w14:val="tx1"/>
                        </w14:solidFill>
                      </w14:textFill>
                    </w:rPr>
                  </w:pPr>
                </w:p>
              </w:tc>
              <w:tc>
                <w:tcPr>
                  <w:tcW w:w="2661"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城市建成区一律禁止新建35蒸吨/小时以下燃煤锅炉</w:t>
                  </w:r>
                </w:p>
              </w:tc>
              <w:tc>
                <w:tcPr>
                  <w:tcW w:w="889" w:type="pct"/>
                  <w:vAlign w:val="center"/>
                </w:tcPr>
                <w:p>
                  <w:pPr>
                    <w:pStyle w:val="41"/>
                    <w:jc w:val="center"/>
                    <w:rPr>
                      <w:bCs/>
                      <w:color w:val="000000" w:themeColor="text1"/>
                      <w14:textFill>
                        <w14:solidFill>
                          <w14:schemeClr w14:val="tx1"/>
                        </w14:solidFill>
                      </w14:textFill>
                    </w:rPr>
                  </w:pPr>
                  <w:r>
                    <w:rPr>
                      <w:rFonts w:hint="eastAsia"/>
                      <w:bCs/>
                      <w:iCs/>
                      <w:color w:val="000000" w:themeColor="text1"/>
                      <w14:textFill>
                        <w14:solidFill>
                          <w14:schemeClr w14:val="tx1"/>
                        </w14:solidFill>
                      </w14:textFill>
                    </w:rPr>
                    <w:t>本项目不建设锅炉</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1.2</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限制开发建设活动的要求</w:t>
                  </w:r>
                </w:p>
              </w:tc>
              <w:tc>
                <w:tcPr>
                  <w:tcW w:w="2661"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严格控制在优先保护类耕地集中区域新建有色金属冶炼、石油化工、化工、焦化、电镀、制革等行业企业</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1.3</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不符合空间布局要求活动的退出要求</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在一定过渡期并给予合理补偿的基础上，依法依规关闭或搬迁禁养区内确需关闭或搬迁的畜禽规模养殖场（园区）</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全面取缔保护区违法建设项目，全面解决保护区矿产资源开发等历史遗留问题，自然保护区内全面禁止一切与保护无关的开发建设活动</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对六盘山水源核心区，坚决退出旅游项目，严禁游客进入</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不属于</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城市建成区基本淘汰35蒸吨/小时以下燃煤锅炉</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本项目不建设锅炉</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2</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污染物排放管控</w:t>
                  </w:r>
                </w:p>
              </w:tc>
              <w:tc>
                <w:tcPr>
                  <w:tcW w:w="531"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2.1</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允许排放量要求</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化学需氧量、氨氮、氮氧化物、挥发性有机物排放总量及减排量完成自治区下达任务</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新改扩建耗煤项目（除煤化工、火电）一律实施煤炭减量等量置换，所有新建、改建、扩建耗煤1万吨及以上项目（除热电联产外）一律实施煤炭等量替代</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本项目不消耗煤炭资源</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严格重金属排放项目准入，坚持“减量置换”或“等量置换”原则</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在“五河”干流已覆盖集污管网的区域配套建设污水处理设施，确保所有建制镇和中心村污水处理全覆盖</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火电、水泥等重点行业及燃煤锅炉，严格按照大气污染物排放标准及特别排放限值要求执行</w:t>
                  </w:r>
                </w:p>
              </w:tc>
              <w:tc>
                <w:tcPr>
                  <w:tcW w:w="889" w:type="pct"/>
                  <w:vAlign w:val="center"/>
                </w:tcPr>
                <w:p>
                  <w:pPr>
                    <w:pStyle w:val="41"/>
                    <w:jc w:val="center"/>
                    <w:rPr>
                      <w:bCs/>
                      <w:color w:val="000000" w:themeColor="text1"/>
                      <w14:textFill>
                        <w14:solidFill>
                          <w14:schemeClr w14:val="tx1"/>
                        </w14:solidFill>
                      </w14:textFill>
                    </w:rPr>
                  </w:pPr>
                  <w:r>
                    <w:rPr>
                      <w:rFonts w:hint="eastAsia"/>
                      <w:bCs/>
                      <w:i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到2025年，全市工业固体废弃物综合利用率达到80%，中水利用率达到85%以上</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本项目产生的布袋收尘、废弃混凝土等固体废物均能够综合利用</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restar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A2.2</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现有源提标升级改造</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全市65蒸吨/小时及以上燃煤锅炉全部完成节能和超低排放改造；新建燃气锅炉要同步实现低氮改造。</w:t>
                  </w:r>
                </w:p>
              </w:tc>
              <w:tc>
                <w:tcPr>
                  <w:tcW w:w="889" w:type="pct"/>
                  <w:vAlign w:val="center"/>
                </w:tcPr>
                <w:p>
                  <w:pPr>
                    <w:pStyle w:val="41"/>
                    <w:jc w:val="center"/>
                    <w:rPr>
                      <w:bCs/>
                      <w:color w:val="000000" w:themeColor="text1"/>
                      <w14:textFill>
                        <w14:solidFill>
                          <w14:schemeClr w14:val="tx1"/>
                        </w14:solidFill>
                      </w14:textFill>
                    </w:rPr>
                  </w:pPr>
                  <w:r>
                    <w:rPr>
                      <w:rFonts w:hint="eastAsia"/>
                      <w:bCs/>
                      <w:i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加快农村养殖“出户入园”，落实“一控两减三利用”，减少化肥和农药使用量；实现畜禽粪便、农作物秸秆、农膜资源化利用，到2025年，农业废弃物综合利用率达到94%以上</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3</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环境风险防控</w:t>
                  </w:r>
                </w:p>
              </w:tc>
              <w:tc>
                <w:tcPr>
                  <w:tcW w:w="531"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3.1</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联防联控要求</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在清水河城镇产业带、黄河支流、饮用水源地及其周边范围内的企业开展环境风险排查</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合理布局危险化学品生产装置和仓储设施，严格控制环境风险</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不涉及</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Merge w:val="continue"/>
                  <w:vAlign w:val="center"/>
                </w:tcPr>
                <w:p>
                  <w:pPr>
                    <w:pStyle w:val="41"/>
                    <w:jc w:val="center"/>
                    <w:rPr>
                      <w:color w:val="000000" w:themeColor="text1"/>
                      <w14:textFill>
                        <w14:solidFill>
                          <w14:schemeClr w14:val="tx1"/>
                        </w14:solidFill>
                      </w14:textFill>
                    </w:rPr>
                  </w:pP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实施环境风险分级管理制度，建立“分类管理、分级负责、属地管理”为主的环境应急管理体系；构建突发环境事件应急响应机制和应急指挥系统，实行环保、公安、交通、消防、卫生、安监部门环境应急联动</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本项目已按照要求实施</w:t>
                  </w:r>
                  <w:r>
                    <w:rPr>
                      <w:rFonts w:hint="eastAsia"/>
                      <w:color w:val="000000" w:themeColor="text1"/>
                      <w14:textFill>
                        <w14:solidFill>
                          <w14:schemeClr w14:val="tx1"/>
                        </w14:solidFill>
                      </w14:textFill>
                    </w:rPr>
                    <w:t>环境风险分级管理制度</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A</w:t>
                  </w:r>
                  <w:r>
                    <w:rPr>
                      <w:bCs/>
                      <w:color w:val="000000" w:themeColor="text1"/>
                      <w14:textFill>
                        <w14:solidFill>
                          <w14:schemeClr w14:val="tx1"/>
                        </w14:solidFill>
                      </w14:textFill>
                    </w:rPr>
                    <w:t>4</w:t>
                  </w:r>
                </w:p>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资源利用效率要求</w:t>
                  </w:r>
                </w:p>
              </w:tc>
              <w:tc>
                <w:tcPr>
                  <w:tcW w:w="53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4.1</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能源利用总量及效率要求</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严控煤炭消费总量，实行新（改、扩）建耗煤项目煤炭消费等量或者减量替代</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本项目不消耗煤炭资源</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pStyle w:val="41"/>
                    <w:jc w:val="center"/>
                    <w:rPr>
                      <w:bCs/>
                      <w:color w:val="000000" w:themeColor="text1"/>
                      <w14:textFill>
                        <w14:solidFill>
                          <w14:schemeClr w14:val="tx1"/>
                        </w14:solidFill>
                      </w14:textFill>
                    </w:rPr>
                  </w:pPr>
                </w:p>
              </w:tc>
              <w:tc>
                <w:tcPr>
                  <w:tcW w:w="53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4.2</w:t>
                  </w:r>
                </w:p>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水资源利用总量及效率要求</w:t>
                  </w:r>
                </w:p>
              </w:tc>
              <w:tc>
                <w:tcPr>
                  <w:tcW w:w="266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落实节水指标纳入县（区）政绩考核，对水资源超载地区实行用水和项目“双限批”，到2025年全市用水总量控制在2.89亿立方米，单位GDP用水量较2020年下降 8%。积极推广农业成套综合节水技术，到2025年农田灌溉水有效利用系数达到0.7以上</w:t>
                  </w:r>
                </w:p>
              </w:tc>
              <w:tc>
                <w:tcPr>
                  <w:tcW w:w="889"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本项目用水量较小</w:t>
                  </w:r>
                </w:p>
              </w:tc>
              <w:tc>
                <w:tcPr>
                  <w:tcW w:w="454"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bl>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r>
              <w:rPr>
                <w:color w:val="000000" w:themeColor="text1"/>
                <w14:textFill>
                  <w14:solidFill>
                    <w14:schemeClr w14:val="tx1"/>
                  </w14:solidFill>
                </w14:textFill>
              </w:rPr>
              <w:t xml:space="preserve">表1.2  </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市环境管控单元生态环境准入清单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160"/>
              <w:gridCol w:w="437"/>
              <w:gridCol w:w="3337"/>
              <w:gridCol w:w="1307"/>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环境管控单元名称</w:t>
                  </w:r>
                </w:p>
              </w:tc>
              <w:tc>
                <w:tcPr>
                  <w:tcW w:w="709"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管控单元分类</w:t>
                  </w:r>
                </w:p>
              </w:tc>
              <w:tc>
                <w:tcPr>
                  <w:tcW w:w="2307" w:type="pct"/>
                  <w:gridSpan w:val="2"/>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管控要求</w:t>
                  </w:r>
                </w:p>
              </w:tc>
              <w:tc>
                <w:tcPr>
                  <w:tcW w:w="799"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c>
              <w:tc>
                <w:tcPr>
                  <w:tcW w:w="455"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原州区彭堡镇-中河乡-官厅镇一般管控单元</w:t>
                  </w:r>
                </w:p>
              </w:tc>
              <w:tc>
                <w:tcPr>
                  <w:tcW w:w="709"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一般管控区</w:t>
                  </w:r>
                </w:p>
              </w:tc>
              <w:tc>
                <w:tcPr>
                  <w:tcW w:w="267"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204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1.禁止在水源涵养地、天然林地、草原等植被覆盖度在40%以上和治理程度达70%以上的小流域进行开发建设</w:t>
                  </w:r>
                </w:p>
              </w:tc>
              <w:tc>
                <w:tcPr>
                  <w:tcW w:w="799"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本项目在原有工业用地建设，建设满足产业准入、总量控制、排放标准等要求</w:t>
                  </w:r>
                </w:p>
              </w:tc>
              <w:tc>
                <w:tcPr>
                  <w:tcW w:w="455" w:type="pct"/>
                  <w:vMerge w:val="restar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pct"/>
                  <w:vMerge w:val="continue"/>
                  <w:vAlign w:val="center"/>
                </w:tcPr>
                <w:p>
                  <w:pPr>
                    <w:pStyle w:val="41"/>
                    <w:jc w:val="center"/>
                    <w:rPr>
                      <w:bCs/>
                      <w:color w:val="000000" w:themeColor="text1"/>
                      <w14:textFill>
                        <w14:solidFill>
                          <w14:schemeClr w14:val="tx1"/>
                        </w14:solidFill>
                      </w14:textFill>
                    </w:rPr>
                  </w:pPr>
                </w:p>
              </w:tc>
              <w:tc>
                <w:tcPr>
                  <w:tcW w:w="709" w:type="pct"/>
                  <w:vMerge w:val="continue"/>
                  <w:vAlign w:val="center"/>
                </w:tcPr>
                <w:p>
                  <w:pPr>
                    <w:pStyle w:val="41"/>
                    <w:jc w:val="center"/>
                    <w:rPr>
                      <w:color w:val="000000" w:themeColor="text1"/>
                      <w14:textFill>
                        <w14:solidFill>
                          <w14:schemeClr w14:val="tx1"/>
                        </w14:solidFill>
                      </w14:textFill>
                    </w:rPr>
                  </w:pPr>
                </w:p>
              </w:tc>
              <w:tc>
                <w:tcPr>
                  <w:tcW w:w="267" w:type="pct"/>
                  <w:vMerge w:val="continue"/>
                  <w:vAlign w:val="center"/>
                </w:tcPr>
                <w:p>
                  <w:pPr>
                    <w:pStyle w:val="41"/>
                    <w:jc w:val="center"/>
                    <w:rPr>
                      <w:color w:val="000000" w:themeColor="text1"/>
                      <w14:textFill>
                        <w14:solidFill>
                          <w14:schemeClr w14:val="tx1"/>
                        </w14:solidFill>
                      </w14:textFill>
                    </w:rPr>
                  </w:pPr>
                </w:p>
              </w:tc>
              <w:tc>
                <w:tcPr>
                  <w:tcW w:w="204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2.严格限制占用林地、草地及清水河等河流沿线湿地进行开发建设活动</w:t>
                  </w:r>
                </w:p>
              </w:tc>
              <w:tc>
                <w:tcPr>
                  <w:tcW w:w="799" w:type="pct"/>
                  <w:vMerge w:val="continue"/>
                  <w:vAlign w:val="center"/>
                </w:tcPr>
                <w:p>
                  <w:pPr>
                    <w:pStyle w:val="41"/>
                    <w:jc w:val="center"/>
                    <w:rPr>
                      <w:bCs/>
                      <w:color w:val="000000" w:themeColor="text1"/>
                      <w14:textFill>
                        <w14:solidFill>
                          <w14:schemeClr w14:val="tx1"/>
                        </w14:solidFill>
                      </w14:textFill>
                    </w:rPr>
                  </w:pPr>
                </w:p>
              </w:tc>
              <w:tc>
                <w:tcPr>
                  <w:tcW w:w="455" w:type="pct"/>
                  <w:vMerge w:val="continue"/>
                  <w:vAlign w:val="center"/>
                </w:tcPr>
                <w:p>
                  <w:pPr>
                    <w:pStyle w:val="41"/>
                    <w:jc w:val="center"/>
                    <w:rPr>
                      <w:bCs/>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pct"/>
                  <w:vMerge w:val="continue"/>
                  <w:vAlign w:val="center"/>
                </w:tcPr>
                <w:p>
                  <w:pPr>
                    <w:pStyle w:val="41"/>
                    <w:jc w:val="center"/>
                    <w:rPr>
                      <w:bCs/>
                      <w:color w:val="000000" w:themeColor="text1"/>
                      <w14:textFill>
                        <w14:solidFill>
                          <w14:schemeClr w14:val="tx1"/>
                        </w14:solidFill>
                      </w14:textFill>
                    </w:rPr>
                  </w:pPr>
                </w:p>
              </w:tc>
              <w:tc>
                <w:tcPr>
                  <w:tcW w:w="709" w:type="pct"/>
                  <w:vMerge w:val="continue"/>
                  <w:vAlign w:val="center"/>
                </w:tcPr>
                <w:p>
                  <w:pPr>
                    <w:pStyle w:val="41"/>
                    <w:jc w:val="center"/>
                    <w:rPr>
                      <w:color w:val="000000" w:themeColor="text1"/>
                      <w14:textFill>
                        <w14:solidFill>
                          <w14:schemeClr w14:val="tx1"/>
                        </w14:solidFill>
                      </w14:textFill>
                    </w:rPr>
                  </w:pPr>
                </w:p>
              </w:tc>
              <w:tc>
                <w:tcPr>
                  <w:tcW w:w="267" w:type="pct"/>
                  <w:vMerge w:val="continue"/>
                  <w:vAlign w:val="center"/>
                </w:tcPr>
                <w:p>
                  <w:pPr>
                    <w:pStyle w:val="41"/>
                    <w:jc w:val="center"/>
                    <w:rPr>
                      <w:color w:val="000000" w:themeColor="text1"/>
                      <w14:textFill>
                        <w14:solidFill>
                          <w14:schemeClr w14:val="tx1"/>
                        </w14:solidFill>
                      </w14:textFill>
                    </w:rPr>
                  </w:pPr>
                </w:p>
              </w:tc>
              <w:tc>
                <w:tcPr>
                  <w:tcW w:w="204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3.在满足产业准入、总量控制、排放标准等国家和地方相关管理制度要求的前提下，集约发展</w:t>
                  </w:r>
                </w:p>
              </w:tc>
              <w:tc>
                <w:tcPr>
                  <w:tcW w:w="799" w:type="pct"/>
                  <w:vMerge w:val="continue"/>
                  <w:vAlign w:val="center"/>
                </w:tcPr>
                <w:p>
                  <w:pPr>
                    <w:pStyle w:val="41"/>
                    <w:jc w:val="center"/>
                    <w:rPr>
                      <w:bCs/>
                      <w:color w:val="000000" w:themeColor="text1"/>
                      <w14:textFill>
                        <w14:solidFill>
                          <w14:schemeClr w14:val="tx1"/>
                        </w14:solidFill>
                      </w14:textFill>
                    </w:rPr>
                  </w:pPr>
                </w:p>
              </w:tc>
              <w:tc>
                <w:tcPr>
                  <w:tcW w:w="455" w:type="pct"/>
                  <w:vMerge w:val="continue"/>
                  <w:vAlign w:val="center"/>
                </w:tcPr>
                <w:p>
                  <w:pPr>
                    <w:pStyle w:val="41"/>
                    <w:jc w:val="center"/>
                    <w:rPr>
                      <w:bCs/>
                      <w:color w:val="000000" w:themeColor="text1"/>
                      <w14:textFill>
                        <w14:solidFill>
                          <w14:schemeClr w14:val="tx1"/>
                        </w14:solidFill>
                      </w14:textFill>
                    </w:rPr>
                  </w:pPr>
                </w:p>
              </w:tc>
            </w:tr>
          </w:tbl>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综上所述，本项目符合“三线一单”要求。</w:t>
            </w:r>
          </w:p>
          <w:p>
            <w:pPr>
              <w:pStyle w:val="42"/>
              <w:rPr>
                <w:color w:val="000000" w:themeColor="text1"/>
                <w14:textFill>
                  <w14:solidFill>
                    <w14:schemeClr w14:val="tx1"/>
                  </w14:solidFill>
                </w14:textFill>
              </w:rPr>
            </w:pPr>
            <w:r>
              <w:rPr>
                <w:color w:val="000000" w:themeColor="text1"/>
                <w14:textFill>
                  <w14:solidFill>
                    <w14:schemeClr w14:val="tx1"/>
                  </w14:solidFill>
                </w14:textFill>
              </w:rPr>
              <w:t>3、与</w:t>
            </w:r>
            <w:r>
              <w:rPr>
                <w:rFonts w:hint="eastAsia"/>
                <w:color w:val="000000" w:themeColor="text1"/>
                <w14:textFill>
                  <w14:solidFill>
                    <w14:schemeClr w14:val="tx1"/>
                  </w14:solidFill>
                </w14:textFill>
              </w:rPr>
              <w:t>《固原市国民经济和社会发展第十四个五年规划和2035年远景目标纲要》</w:t>
            </w:r>
            <w:r>
              <w:rPr>
                <w:color w:val="000000" w:themeColor="text1"/>
                <w14:textFill>
                  <w14:solidFill>
                    <w14:schemeClr w14:val="tx1"/>
                  </w14:solidFill>
                </w14:textFill>
              </w:rPr>
              <w:t>符合性分析</w:t>
            </w:r>
          </w:p>
          <w:p>
            <w:pPr>
              <w:pStyle w:val="39"/>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根据《固原市国民经济和社会发展第十四个五年规划和2035年远景目标纲要》第七章 持续加强生态建设和环境保护 坚决守好改善生态环境生命线 第二节 深化重点领域污染防治第一项坚持“四尘同治”，持续打好蓝天保卫战：“对标环境空气质量指标制定管控措施和污染源减排清单，全地域年平均全过程推进煤尘、烟尘、汽尘、扬尘“四尘同治”。“控煤尘”，实行煤炭消费总量控制，严控高耗煤行业新增项目，淘汰不符合国家规定的燃煤锅炉，进一步推进固原市区、四县县城、乡镇所在地和城市周边等重点区域清洁供暖；推进农村清洁取暖，不断降低煤炭消费比重。”</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项目属于</w:t>
            </w:r>
            <w:r>
              <w:rPr>
                <w:rFonts w:hint="eastAsia"/>
                <w:color w:val="000000" w:themeColor="text1"/>
                <w14:textFill>
                  <w14:solidFill>
                    <w14:schemeClr w14:val="tx1"/>
                  </w14:solidFill>
                </w14:textFill>
              </w:rPr>
              <w:t>商品混凝土建设项目</w:t>
            </w:r>
            <w:r>
              <w:rPr>
                <w:color w:val="000000" w:themeColor="text1"/>
                <w14:textFill>
                  <w14:solidFill>
                    <w14:schemeClr w14:val="tx1"/>
                  </w14:solidFill>
                </w14:textFill>
              </w:rPr>
              <w:t>，原辅料均置于筒仓内，原料采用密闭输送方式，烘干、筛分废气采用布袋除尘器处理后排放，厂区道路硬化，洒水抑尘，能够确保本项目大气污染物达标排放。</w:t>
            </w:r>
            <w:r>
              <w:rPr>
                <w:color w:val="000000" w:themeColor="text1"/>
                <w:lang w:bidi="ar"/>
                <w14:textFill>
                  <w14:solidFill>
                    <w14:schemeClr w14:val="tx1"/>
                  </w14:solidFill>
                </w14:textFill>
              </w:rPr>
              <w:t>符合</w:t>
            </w:r>
            <w:r>
              <w:rPr>
                <w:rFonts w:hint="eastAsia"/>
                <w:color w:val="000000" w:themeColor="text1"/>
                <w:lang w:bidi="ar"/>
                <w14:textFill>
                  <w14:solidFill>
                    <w14:schemeClr w14:val="tx1"/>
                  </w14:solidFill>
                </w14:textFill>
              </w:rPr>
              <w:t>《固原市国民经济和社会发展第十四个五年规划和2035年远景目标纲要》</w:t>
            </w:r>
            <w:r>
              <w:rPr>
                <w:color w:val="000000" w:themeColor="text1"/>
                <w:lang w:bidi="ar"/>
                <w14:textFill>
                  <w14:solidFill>
                    <w14:schemeClr w14:val="tx1"/>
                  </w14:solidFill>
                </w14:textFill>
              </w:rPr>
              <w:t>要求。</w:t>
            </w:r>
          </w:p>
          <w:p>
            <w:pPr>
              <w:pStyle w:val="42"/>
              <w:rPr>
                <w:color w:val="000000" w:themeColor="text1"/>
                <w14:textFill>
                  <w14:solidFill>
                    <w14:schemeClr w14:val="tx1"/>
                  </w14:solidFill>
                </w14:textFill>
              </w:rPr>
            </w:pPr>
            <w:r>
              <w:rPr>
                <w:color w:val="000000" w:themeColor="text1"/>
                <w14:textFill>
                  <w14:solidFill>
                    <w14:schemeClr w14:val="tx1"/>
                  </w14:solidFill>
                </w14:textFill>
              </w:rPr>
              <w:t>4、选址合理性</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固原市原州区彭堡镇</w:t>
            </w:r>
            <w:r>
              <w:rPr>
                <w:color w:val="000000" w:themeColor="text1"/>
                <w14:textFill>
                  <w14:solidFill>
                    <w14:schemeClr w14:val="tx1"/>
                  </w14:solidFill>
                </w14:textFill>
              </w:rPr>
              <w:t>，用地性质为工业用地，项目北侧为</w:t>
            </w:r>
            <w:r>
              <w:rPr>
                <w:rFonts w:hint="eastAsia"/>
                <w:color w:val="000000" w:themeColor="text1"/>
                <w14:textFill>
                  <w14:solidFill>
                    <w14:schemeClr w14:val="tx1"/>
                  </w14:solidFill>
                </w14:textFill>
              </w:rPr>
              <w:t>空地</w:t>
            </w:r>
            <w:r>
              <w:rPr>
                <w:color w:val="000000" w:themeColor="text1"/>
                <w14:textFill>
                  <w14:solidFill>
                    <w14:schemeClr w14:val="tx1"/>
                  </w14:solidFill>
                </w14:textFill>
              </w:rPr>
              <w:t>，东侧为</w:t>
            </w:r>
            <w:r>
              <w:rPr>
                <w:rFonts w:hint="eastAsia"/>
                <w:color w:val="000000" w:themeColor="text1"/>
                <w14:textFill>
                  <w14:solidFill>
                    <w14:schemeClr w14:val="tx1"/>
                  </w14:solidFill>
                </w14:textFill>
              </w:rPr>
              <w:t>宁夏固原玉明淀粉有限公司</w:t>
            </w:r>
            <w:r>
              <w:rPr>
                <w:color w:val="000000" w:themeColor="text1"/>
                <w14:textFill>
                  <w14:solidFill>
                    <w14:schemeClr w14:val="tx1"/>
                  </w14:solidFill>
                </w14:textFill>
              </w:rPr>
              <w:t>，南侧为</w:t>
            </w:r>
            <w:r>
              <w:rPr>
                <w:rFonts w:hint="eastAsia"/>
                <w:color w:val="000000" w:themeColor="text1"/>
                <w14:textFill>
                  <w14:solidFill>
                    <w14:schemeClr w14:val="tx1"/>
                  </w14:solidFill>
                </w14:textFill>
              </w:rPr>
              <w:t>空地</w:t>
            </w:r>
            <w:r>
              <w:rPr>
                <w:color w:val="000000" w:themeColor="text1"/>
                <w14:textFill>
                  <w14:solidFill>
                    <w14:schemeClr w14:val="tx1"/>
                  </w14:solidFill>
                </w14:textFill>
              </w:rPr>
              <w:t>，西侧为</w:t>
            </w:r>
            <w:r>
              <w:rPr>
                <w:rFonts w:hint="eastAsia"/>
                <w:color w:val="000000" w:themeColor="text1"/>
                <w14:textFill>
                  <w14:solidFill>
                    <w14:schemeClr w14:val="tx1"/>
                  </w14:solidFill>
                </w14:textFill>
              </w:rPr>
              <w:t>空地</w:t>
            </w:r>
            <w:r>
              <w:rPr>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所在区域无自然保护区、风景名胜区、世界文化遗产和自然遗产地、饮用水源保护区及文物保护单位等敏感目标，项目所在地临近公路，项目区域内交通便利，利于物料转输，周边环境对项目的建设及运行制约因素较少。项目在落实各项环保措施后，废气均可达标排放；废水不外排，不会对区域水环境产生影响；厂界噪声排放满足2类区标准要求；固体废物均合理处置。项目在采取完善的环保措施后，对环境影响较小。因此，项目选址可行。</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0" w:firstLineChars="0"/>
              <w:rPr>
                <w:color w:val="000000" w:themeColor="text1"/>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418" w:right="1418" w:bottom="1418" w:left="1418" w:header="851" w:footer="1077" w:gutter="0"/>
          <w:pgNumType w:start="1"/>
          <w:cols w:space="720" w:num="1"/>
          <w:docGrid w:linePitch="312" w:charSpace="0"/>
        </w:sectPr>
      </w:pPr>
    </w:p>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87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pStyle w:val="13"/>
              <w:adjustRightInd w:val="0"/>
              <w:snapToGrid w:val="0"/>
              <w:spacing w:before="0" w:beforeAutospacing="0" w:after="0" w:afterAutospacing="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建设内容</w:t>
            </w:r>
          </w:p>
        </w:tc>
        <w:tc>
          <w:tcPr>
            <w:tcW w:w="4724" w:type="pct"/>
          </w:tcPr>
          <w:p>
            <w:pPr>
              <w:pStyle w:val="42"/>
              <w:rPr>
                <w:color w:val="000000" w:themeColor="text1"/>
                <w14:textFill>
                  <w14:solidFill>
                    <w14:schemeClr w14:val="tx1"/>
                  </w14:solidFill>
                </w14:textFill>
              </w:rPr>
            </w:pPr>
            <w:r>
              <w:rPr>
                <w:color w:val="000000" w:themeColor="text1"/>
                <w14:textFill>
                  <w14:solidFill>
                    <w14:schemeClr w14:val="tx1"/>
                  </w14:solidFill>
                </w14:textFill>
              </w:rPr>
              <w:t>1、项目组成内容</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14:textFill>
                  <w14:solidFill>
                    <w14:schemeClr w14:val="tx1"/>
                  </w14:solidFill>
                </w14:textFill>
              </w:rPr>
              <w:t>固原市原州区彭堡镇，</w:t>
            </w:r>
            <w:r>
              <w:rPr>
                <w:color w:val="000000" w:themeColor="text1"/>
                <w14:textFill>
                  <w14:solidFill>
                    <w14:schemeClr w14:val="tx1"/>
                  </w14:solidFill>
                </w14:textFill>
              </w:rPr>
              <w:t>项目地理坐标为106°9′51.790″；36°4′7.689″。项目所在地理位置见图2.1。</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本项目总占地面积</w:t>
            </w:r>
            <w:r>
              <w:rPr>
                <w:color w:val="000000" w:themeColor="text1"/>
                <w14:textFill>
                  <w14:solidFill>
                    <w14:schemeClr w14:val="tx1"/>
                  </w14:solidFill>
                </w14:textFill>
              </w:rPr>
              <w:t>8590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，用地性质为工业用地，建设商品混凝土生产线一条，建成后可实现年产10万m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商品混凝土。项目主要包括主体工程、辅助工程、公用工程、储运工程和环保工程组成。</w:t>
            </w:r>
            <w:r>
              <w:rPr>
                <w:color w:val="000000" w:themeColor="text1"/>
                <w14:textFill>
                  <w14:solidFill>
                    <w14:schemeClr w14:val="tx1"/>
                  </w14:solidFill>
                </w14:textFill>
              </w:rPr>
              <w:t>具体内容见下表。</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表2.1  本项目工程组成一览表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438"/>
              <w:gridCol w:w="1359"/>
              <w:gridCol w:w="5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项目组成</w:t>
                  </w:r>
                </w:p>
              </w:tc>
              <w:tc>
                <w:tcPr>
                  <w:tcW w:w="1050" w:type="pct"/>
                  <w:gridSpan w:val="2"/>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工程名称</w:t>
                  </w:r>
                </w:p>
              </w:tc>
              <w:tc>
                <w:tcPr>
                  <w:tcW w:w="3298"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主体工程</w:t>
                  </w: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商品混凝土生产线</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新建1座3</w:t>
                  </w:r>
                  <w:r>
                    <w:rPr>
                      <w:rFonts w:cs="Times New Roman"/>
                      <w:color w:val="000000" w:themeColor="text1"/>
                      <w14:textFill>
                        <w14:solidFill>
                          <w14:schemeClr w14:val="tx1"/>
                        </w14:solidFill>
                      </w14:textFill>
                    </w:rPr>
                    <w:t>00m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搅拌站，设置HZS</w:t>
                  </w:r>
                  <w:r>
                    <w:rPr>
                      <w:rFonts w:cs="Times New Roman"/>
                      <w:color w:val="000000" w:themeColor="text1"/>
                      <w14:textFill>
                        <w14:solidFill>
                          <w14:schemeClr w14:val="tx1"/>
                        </w14:solidFill>
                      </w14:textFill>
                    </w:rPr>
                    <w:t>120R</w:t>
                  </w:r>
                  <w:r>
                    <w:rPr>
                      <w:rFonts w:hint="eastAsia" w:cs="Times New Roman"/>
                      <w:color w:val="000000" w:themeColor="text1"/>
                      <w14:textFill>
                        <w14:solidFill>
                          <w14:schemeClr w14:val="tx1"/>
                        </w14:solidFill>
                      </w14:textFill>
                    </w:rPr>
                    <w:t>混凝土生产线1条，年产商品混凝土</w:t>
                  </w:r>
                  <w:r>
                    <w:rPr>
                      <w:rFonts w:cs="Times New Roman"/>
                      <w:color w:val="000000" w:themeColor="text1"/>
                      <w14:textFill>
                        <w14:solidFill>
                          <w14:schemeClr w14:val="tx1"/>
                        </w14:solidFill>
                      </w14:textFill>
                    </w:rPr>
                    <w:t>10</w:t>
                  </w:r>
                  <w:r>
                    <w:rPr>
                      <w:rFonts w:hint="eastAsia" w:cs="Times New Roman"/>
                      <w:color w:val="000000" w:themeColor="text1"/>
                      <w14:textFill>
                        <w14:solidFill>
                          <w14:schemeClr w14:val="tx1"/>
                        </w14:solidFill>
                      </w14:textFill>
                    </w:rPr>
                    <w:t>万m</w:t>
                  </w:r>
                  <w:r>
                    <w:rPr>
                      <w:rFonts w:hint="eastAsia" w:cs="Times New Roman"/>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砂石料破碎筛分车间</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新建1座</w:t>
                  </w:r>
                  <w:r>
                    <w:rPr>
                      <w:rFonts w:cs="Times New Roman"/>
                      <w:color w:val="000000" w:themeColor="text1"/>
                      <w14:textFill>
                        <w14:solidFill>
                          <w14:schemeClr w14:val="tx1"/>
                        </w14:solidFill>
                      </w14:textFill>
                    </w:rPr>
                    <w:t>4687.95</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全封闭车间，主要用于砂石料破碎筛分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辅助工程</w:t>
                  </w: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停车洗罐区</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设置1</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个砼罐车固定停车位，位于厂区西南侧，主要用于清洗车辆，配备砂浆分离池、洗罐沉淀池各3</w:t>
                  </w:r>
                  <w:r>
                    <w:rPr>
                      <w:rFonts w:cs="Times New Roman"/>
                      <w:color w:val="000000" w:themeColor="text1"/>
                      <w14:textFill>
                        <w14:solidFill>
                          <w14:schemeClr w14:val="tx1"/>
                        </w14:solidFill>
                      </w14:textFill>
                    </w:rPr>
                    <w:t>00m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10</w:t>
                  </w:r>
                  <w:r>
                    <w:rPr>
                      <w:rFonts w:hint="eastAsia" w:cs="Times New Roman"/>
                      <w:color w:val="000000" w:themeColor="text1"/>
                      <w14:textFill>
                        <w14:solidFill>
                          <w14:schemeClr w14:val="tx1"/>
                        </w14:solidFill>
                      </w14:textFill>
                    </w:rPr>
                    <w:t>m×6</w:t>
                  </w:r>
                  <w:r>
                    <w:rPr>
                      <w:rFonts w:cs="Times New Roman"/>
                      <w:color w:val="000000" w:themeColor="text1"/>
                      <w14:textFill>
                        <w14:solidFill>
                          <w14:schemeClr w14:val="tx1"/>
                        </w14:solidFill>
                      </w14:textFill>
                    </w:rPr>
                    <w:t>m</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.5m</w:t>
                  </w:r>
                  <w:r>
                    <w:rPr>
                      <w:rFonts w:hint="eastAsia" w:cs="Times New Roman"/>
                      <w:color w:val="000000" w:themeColor="text1"/>
                      <w14:textFill>
                        <w14:solidFill>
                          <w14:schemeClr w14:val="tx1"/>
                        </w14:solidFill>
                      </w14:textFill>
                    </w:rPr>
                    <w:t>），一座2</w:t>
                  </w:r>
                  <w:r>
                    <w:rPr>
                      <w:rFonts w:cs="Times New Roman"/>
                      <w:color w:val="000000" w:themeColor="text1"/>
                      <w14:textFill>
                        <w14:solidFill>
                          <w14:schemeClr w14:val="tx1"/>
                        </w14:solidFill>
                      </w14:textFill>
                    </w:rPr>
                    <w:t>0m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储水罐，洗车废水沉淀池沉淀后，循环使用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储水池</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搅拌站新增配套3</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储水池一座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维修车间及试验养护室</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新建1座5</w:t>
                  </w:r>
                  <w:r>
                    <w:rPr>
                      <w:rFonts w:cs="Times New Roman"/>
                      <w:color w:val="000000" w:themeColor="text1"/>
                      <w14:textFill>
                        <w14:solidFill>
                          <w14:schemeClr w14:val="tx1"/>
                        </w14:solidFill>
                      </w14:textFill>
                    </w:rPr>
                    <w:t>16m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维修车间及试验养护室，用于设备维修和试验养护工作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办公生活区</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新建1座1</w:t>
                  </w:r>
                  <w:r>
                    <w:rPr>
                      <w:rFonts w:cs="Times New Roman"/>
                      <w:color w:val="000000" w:themeColor="text1"/>
                      <w14:textFill>
                        <w14:solidFill>
                          <w14:schemeClr w14:val="tx1"/>
                        </w14:solidFill>
                      </w14:textFill>
                    </w:rPr>
                    <w:t>248.72m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办公生活区，内设办公室、宿舍、食堂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储运工程</w:t>
                  </w: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水泥筒仓</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新增2座150t水泥筒仓，</w:t>
                  </w:r>
                  <w:r>
                    <w:rPr>
                      <w:rFonts w:hint="eastAsia" w:cs="Times New Roman"/>
                      <w:color w:val="000000" w:themeColor="text1"/>
                      <w14:textFill>
                        <w14:solidFill>
                          <w14:schemeClr w14:val="tx1"/>
                        </w14:solidFill>
                      </w14:textFill>
                    </w:rPr>
                    <w:t>用于储存水泥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粉煤灰筒仓</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新增1座1</w:t>
                  </w:r>
                  <w:r>
                    <w:rPr>
                      <w:rFonts w:cs="Times New Roman"/>
                      <w:color w:val="000000" w:themeColor="text1"/>
                      <w14:textFill>
                        <w14:solidFill>
                          <w14:schemeClr w14:val="tx1"/>
                        </w14:solidFill>
                      </w14:textFill>
                    </w:rPr>
                    <w:t>50t</w:t>
                  </w:r>
                  <w:r>
                    <w:rPr>
                      <w:rFonts w:hint="eastAsia" w:cs="Times New Roman"/>
                      <w:color w:val="000000" w:themeColor="text1"/>
                      <w14:textFill>
                        <w14:solidFill>
                          <w14:schemeClr w14:val="tx1"/>
                        </w14:solidFill>
                      </w14:textFill>
                    </w:rPr>
                    <w:t>粉煤灰筒仓，用于储存粉煤灰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矿粉</w:t>
                  </w:r>
                  <w:r>
                    <w:rPr>
                      <w:rFonts w:cs="Times New Roman"/>
                      <w:color w:val="000000" w:themeColor="text1"/>
                      <w14:textFill>
                        <w14:solidFill>
                          <w14:schemeClr w14:val="tx1"/>
                        </w14:solidFill>
                      </w14:textFill>
                    </w:rPr>
                    <w:t>筒仓</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新增1座150t</w:t>
                  </w:r>
                  <w:r>
                    <w:rPr>
                      <w:rFonts w:hint="eastAsia" w:cs="Times New Roman"/>
                      <w:color w:val="000000" w:themeColor="text1"/>
                      <w14:textFill>
                        <w14:solidFill>
                          <w14:schemeClr w14:val="tx1"/>
                        </w14:solidFill>
                      </w14:textFill>
                    </w:rPr>
                    <w:t>矿粉</w:t>
                  </w:r>
                  <w:r>
                    <w:rPr>
                      <w:rFonts w:cs="Times New Roman"/>
                      <w:color w:val="000000" w:themeColor="text1"/>
                      <w14:textFill>
                        <w14:solidFill>
                          <w14:schemeClr w14:val="tx1"/>
                        </w14:solidFill>
                      </w14:textFill>
                    </w:rPr>
                    <w:t>筒仓，</w:t>
                  </w:r>
                  <w:r>
                    <w:rPr>
                      <w:rFonts w:hint="eastAsia" w:cs="Times New Roman"/>
                      <w:color w:val="000000" w:themeColor="text1"/>
                      <w14:textFill>
                        <w14:solidFill>
                          <w14:schemeClr w14:val="tx1"/>
                        </w14:solidFill>
                      </w14:textFill>
                    </w:rPr>
                    <w:t>用于储存矿粉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原料车间</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建设1座2</w:t>
                  </w:r>
                  <w:r>
                    <w:rPr>
                      <w:rFonts w:cs="Times New Roman"/>
                      <w:color w:val="000000" w:themeColor="text1"/>
                      <w14:textFill>
                        <w14:solidFill>
                          <w14:schemeClr w14:val="tx1"/>
                        </w14:solidFill>
                      </w14:textFill>
                    </w:rPr>
                    <w:t>074</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全封闭料棚，主要用于原料碎石、砂子、石子的分类储存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公用工程</w:t>
                  </w: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本项目用水主要为生产用水、生活用水与食堂用水，用水量为</w:t>
                  </w:r>
                  <w:r>
                    <w:rPr>
                      <w:rFonts w:cs="Times New Roman"/>
                      <w:color w:val="000000" w:themeColor="text1"/>
                      <w14:textFill>
                        <w14:solidFill>
                          <w14:schemeClr w14:val="tx1"/>
                        </w14:solidFill>
                      </w14:textFill>
                    </w:rPr>
                    <w:t>28780.8</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，由市政管网供给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排水</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项目废水主要为生活污水和食堂排水，生产废水经</w:t>
                  </w:r>
                  <w:r>
                    <w:rPr>
                      <w:rFonts w:cs="Times New Roman"/>
                      <w:color w:val="000000" w:themeColor="text1"/>
                      <w14:textFill>
                        <w14:solidFill>
                          <w14:schemeClr w14:val="tx1"/>
                        </w14:solidFill>
                      </w14:textFill>
                    </w:rPr>
                    <w:t>300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砂浆分离池沉淀后循环使用不外排，洗车废水经3</w:t>
                  </w: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洗罐沉淀池沉淀后回用，食堂废水经隔油池（2m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）处理后同生活污水一同排入一体化污水设施（</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），处理后达标后用于厂区洒水抑尘，不外排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供电</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由市政供电系统供给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供暖</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供暖</w:t>
                  </w:r>
                  <w:r>
                    <w:rPr>
                      <w:rFonts w:hint="eastAsia" w:cs="Times New Roman"/>
                      <w:color w:val="000000" w:themeColor="text1"/>
                      <w14:textFill>
                        <w14:solidFill>
                          <w14:schemeClr w14:val="tx1"/>
                        </w14:solidFill>
                      </w14:textFill>
                    </w:rPr>
                    <w:t>主要由空调供暖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环保工程</w:t>
                  </w:r>
                </w:p>
              </w:tc>
              <w:tc>
                <w:tcPr>
                  <w:tcW w:w="256" w:type="pct"/>
                  <w:vMerge w:val="restar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794"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筛分废气</w:t>
                  </w:r>
                </w:p>
              </w:tc>
              <w:tc>
                <w:tcPr>
                  <w:tcW w:w="3298" w:type="pct"/>
                  <w:vMerge w:val="restar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筛分废气、</w:t>
                  </w:r>
                  <w:r>
                    <w:rPr>
                      <w:rFonts w:hint="eastAsia" w:cs="Times New Roman"/>
                      <w:color w:val="000000" w:themeColor="text1"/>
                      <w14:textFill>
                        <w14:solidFill>
                          <w14:schemeClr w14:val="tx1"/>
                        </w14:solidFill>
                      </w14:textFill>
                    </w:rPr>
                    <w:t>物料混合搅拌废气</w:t>
                  </w:r>
                  <w:r>
                    <w:rPr>
                      <w:rFonts w:cs="Times New Roman"/>
                      <w:color w:val="000000" w:themeColor="text1"/>
                      <w14:textFill>
                        <w14:solidFill>
                          <w14:schemeClr w14:val="tx1"/>
                        </w14:solidFill>
                      </w14:textFill>
                    </w:rPr>
                    <w:t>由新增布袋除尘器处理后</w:t>
                  </w:r>
                  <w:r>
                    <w:rPr>
                      <w:rFonts w:hint="eastAsia" w:cs="Times New Roman"/>
                      <w:color w:val="000000" w:themeColor="text1"/>
                      <w14:textFill>
                        <w14:solidFill>
                          <w14:schemeClr w14:val="tx1"/>
                        </w14:solidFill>
                      </w14:textFill>
                    </w:rPr>
                    <w:t>由</w:t>
                  </w:r>
                  <w:r>
                    <w:rPr>
                      <w:rFonts w:cs="Times New Roman"/>
                      <w:color w:val="000000" w:themeColor="text1"/>
                      <w14:textFill>
                        <w14:solidFill>
                          <w14:schemeClr w14:val="tx1"/>
                        </w14:solidFill>
                      </w14:textFill>
                    </w:rPr>
                    <w:t>20</w:t>
                  </w:r>
                  <w:r>
                    <w:rPr>
                      <w:rFonts w:hint="eastAsia" w:cs="Times New Roman"/>
                      <w:color w:val="000000" w:themeColor="text1"/>
                      <w14:textFill>
                        <w14:solidFill>
                          <w14:schemeClr w14:val="tx1"/>
                        </w14:solidFill>
                      </w14:textFill>
                    </w:rPr>
                    <w:t>m高排气筒排放，布袋除尘器收集灰</w:t>
                  </w:r>
                  <w:r>
                    <w:rPr>
                      <w:rFonts w:cs="Times New Roman"/>
                      <w:color w:val="000000" w:themeColor="text1"/>
                      <w14:textFill>
                        <w14:solidFill>
                          <w14:schemeClr w14:val="tx1"/>
                        </w14:solidFill>
                      </w14:textFill>
                    </w:rPr>
                    <w:t>回收至砂仓回收利用于生产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256"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794"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物料混合搅拌</w:t>
                  </w:r>
                  <w:r>
                    <w:rPr>
                      <w:rFonts w:cs="Times New Roman"/>
                      <w:color w:val="000000" w:themeColor="text1"/>
                      <w14:textFill>
                        <w14:solidFill>
                          <w14:schemeClr w14:val="tx1"/>
                        </w14:solidFill>
                      </w14:textFill>
                    </w:rPr>
                    <w:t>废气</w:t>
                  </w:r>
                </w:p>
              </w:tc>
              <w:tc>
                <w:tcPr>
                  <w:tcW w:w="3298" w:type="pct"/>
                  <w:vMerge w:val="continue"/>
                  <w:vAlign w:val="center"/>
                </w:tcPr>
                <w:p>
                  <w:pPr>
                    <w:pStyle w:val="41"/>
                    <w:jc w:val="center"/>
                    <w:rPr>
                      <w:rFonts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256"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794"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筒仓废气</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水泥、粉煤灰筒仓，</w:t>
                  </w:r>
                  <w:r>
                    <w:rPr>
                      <w:rFonts w:hint="eastAsia" w:cs="Times New Roman"/>
                      <w:color w:val="000000" w:themeColor="text1"/>
                      <w14:textFill>
                        <w14:solidFill>
                          <w14:schemeClr w14:val="tx1"/>
                        </w14:solidFill>
                      </w14:textFill>
                    </w:rPr>
                    <w:t>矿粉</w:t>
                  </w:r>
                  <w:r>
                    <w:rPr>
                      <w:rFonts w:cs="Times New Roman"/>
                      <w:color w:val="000000" w:themeColor="text1"/>
                      <w14:textFill>
                        <w14:solidFill>
                          <w14:schemeClr w14:val="tx1"/>
                        </w14:solidFill>
                      </w14:textFill>
                    </w:rPr>
                    <w:t>筒仓废气由筒仓自带除尘器处理后排放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256"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794"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上料废气</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上料口设置</w:t>
                  </w:r>
                  <w:r>
                    <w:rPr>
                      <w:rFonts w:hint="eastAsia" w:cs="Times New Roman"/>
                      <w:color w:val="000000" w:themeColor="text1"/>
                      <w14:textFill>
                        <w14:solidFill>
                          <w14:schemeClr w14:val="tx1"/>
                        </w14:solidFill>
                      </w14:textFill>
                    </w:rPr>
                    <w:t>密闭围挡和布袋除尘器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256"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794"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厨房油烟</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设置一套油烟净化器，处理效率6</w:t>
                  </w:r>
                  <w:r>
                    <w:rPr>
                      <w:rFonts w:cs="Times New Roman"/>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项目废水主要为生活污水和食堂排水，生产废水经</w:t>
                  </w:r>
                  <w:r>
                    <w:rPr>
                      <w:rFonts w:cs="Times New Roman"/>
                      <w:color w:val="000000" w:themeColor="text1"/>
                      <w14:textFill>
                        <w14:solidFill>
                          <w14:schemeClr w14:val="tx1"/>
                        </w14:solidFill>
                      </w14:textFill>
                    </w:rPr>
                    <w:t>300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砂浆分离池沉淀后循环使用不外排，洗车废水经3</w:t>
                  </w: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洗罐沉淀池沉淀后回用，食堂废水经隔油池（2m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）处理后同生活污水一同排入一体化污水设施（</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），处理后达到《城市污水再生利用 城市杂用水水质》（GB18920-2020）标准用于厂区洒水抑尘，不外排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产噪设备安装在生产车间内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w:t>
                  </w:r>
                </w:p>
              </w:tc>
              <w:tc>
                <w:tcPr>
                  <w:tcW w:w="3298"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沉淀残渣、</w:t>
                  </w:r>
                  <w:r>
                    <w:rPr>
                      <w:rFonts w:cs="Times New Roman"/>
                      <w:color w:val="000000" w:themeColor="text1"/>
                      <w14:textFill>
                        <w14:solidFill>
                          <w14:schemeClr w14:val="tx1"/>
                        </w14:solidFill>
                      </w14:textFill>
                    </w:rPr>
                    <w:t>布袋除尘器收集粉尘</w:t>
                  </w:r>
                  <w:r>
                    <w:rPr>
                      <w:rFonts w:hint="eastAsia" w:cs="Times New Roman"/>
                      <w:color w:val="000000" w:themeColor="text1"/>
                      <w14:textFill>
                        <w14:solidFill>
                          <w14:schemeClr w14:val="tx1"/>
                        </w14:solidFill>
                      </w14:textFill>
                    </w:rPr>
                    <w:t>、实验废弃混凝土回用于生产线作为原料使用</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生活垃圾集中收集后，交由环卫部门统一处理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52" w:type="pct"/>
                  <w:vMerge w:val="continue"/>
                  <w:shd w:val="clear" w:color="auto" w:fill="auto"/>
                  <w:vAlign w:val="center"/>
                </w:tcPr>
                <w:p>
                  <w:pPr>
                    <w:pStyle w:val="41"/>
                    <w:jc w:val="center"/>
                    <w:rPr>
                      <w:rFonts w:cs="Times New Roman"/>
                      <w:color w:val="000000" w:themeColor="text1"/>
                      <w14:textFill>
                        <w14:solidFill>
                          <w14:schemeClr w14:val="tx1"/>
                        </w14:solidFill>
                      </w14:textFill>
                    </w:rPr>
                  </w:pPr>
                </w:p>
              </w:tc>
              <w:tc>
                <w:tcPr>
                  <w:tcW w:w="1050" w:type="pct"/>
                  <w:gridSpan w:val="2"/>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w:t>
                  </w:r>
                </w:p>
              </w:tc>
              <w:tc>
                <w:tcPr>
                  <w:tcW w:w="329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生产车间用混凝土做硬化处理</w:t>
                  </w:r>
                  <w:r>
                    <w:rPr>
                      <w:rFonts w:hint="eastAsia" w:cs="Times New Roman"/>
                      <w:color w:val="000000" w:themeColor="text1"/>
                      <w14:textFill>
                        <w14:solidFill>
                          <w14:schemeClr w14:val="tx1"/>
                        </w14:solidFill>
                      </w14:textFill>
                    </w:rPr>
                    <w:t>，砂浆分离池、洗罐沉淀池采取一般防渗，防渗性能达到不低于1.5m厚渗透系数为1.0×10</w:t>
                  </w:r>
                  <w:r>
                    <w:rPr>
                      <w:rFonts w:hint="eastAsia" w:cs="Times New Roman"/>
                      <w:color w:val="000000" w:themeColor="text1"/>
                      <w:vertAlign w:val="superscript"/>
                      <w14:textFill>
                        <w14:solidFill>
                          <w14:schemeClr w14:val="tx1"/>
                        </w14:solidFill>
                      </w14:textFill>
                    </w:rPr>
                    <w:t>-7</w:t>
                  </w:r>
                  <w:r>
                    <w:rPr>
                      <w:rFonts w:hint="eastAsia" w:cs="Times New Roman"/>
                      <w:color w:val="000000" w:themeColor="text1"/>
                      <w14:textFill>
                        <w14:solidFill>
                          <w14:schemeClr w14:val="tx1"/>
                        </w14:solidFill>
                      </w14:textFill>
                    </w:rPr>
                    <w:t>cm/s的黏土层的防渗性能</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2、项目产品方案</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本项目共设1条HZS</w:t>
            </w:r>
            <w:r>
              <w:rPr>
                <w:color w:val="000000" w:themeColor="text1"/>
                <w14:textFill>
                  <w14:solidFill>
                    <w14:schemeClr w14:val="tx1"/>
                  </w14:solidFill>
                </w14:textFill>
              </w:rPr>
              <w:t>120R</w:t>
            </w:r>
            <w:r>
              <w:rPr>
                <w:rFonts w:hint="eastAsia"/>
                <w:color w:val="000000" w:themeColor="text1"/>
                <w14:textFill>
                  <w14:solidFill>
                    <w14:schemeClr w14:val="tx1"/>
                  </w14:solidFill>
                </w14:textFill>
              </w:rPr>
              <w:t>混凝土生产线，年生产商品混凝土</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，主要产品为C15-C50强度等级的普通混凝土，产品质量执行《预拌混凝土》（GB/T14902-2012）要求，具体产品方案详见下表</w:t>
            </w:r>
            <w:r>
              <w:rPr>
                <w:color w:val="000000" w:themeColor="text1"/>
                <w14:textFill>
                  <w14:solidFill>
                    <w14:schemeClr w14:val="tx1"/>
                  </w14:solidFill>
                </w14:textFill>
              </w:rPr>
              <w:t>项目产品方案如下表所示。</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表2.2  项目产品方案</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53"/>
              <w:gridCol w:w="2853"/>
              <w:gridCol w:w="2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7"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产品名称</w:t>
                  </w:r>
                </w:p>
              </w:tc>
              <w:tc>
                <w:tcPr>
                  <w:tcW w:w="1667"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生产量</w:t>
                  </w:r>
                </w:p>
              </w:tc>
              <w:tc>
                <w:tcPr>
                  <w:tcW w:w="1666" w:type="pct"/>
                </w:tcPr>
                <w:p>
                  <w:pPr>
                    <w:pStyle w:val="41"/>
                    <w:jc w:val="cente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7"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商品混凝土</w:t>
                  </w:r>
                </w:p>
              </w:tc>
              <w:tc>
                <w:tcPr>
                  <w:tcW w:w="1667"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10万</w:t>
                  </w:r>
                  <w:r>
                    <w:rPr>
                      <w:rFonts w:hint="eastAsia"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tc>
              <w:tc>
                <w:tcPr>
                  <w:tcW w:w="1666" w:type="pct"/>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C15/C20/C25/C30/C40/C50</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3、原辅材料消耗情况及质量指标</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项目原辅材料消耗情况如下表所示。</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表2.3  项目原辅材料消耗情况</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99"/>
              <w:gridCol w:w="1459"/>
              <w:gridCol w:w="4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935"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原辅材料名称</w:t>
                  </w:r>
                </w:p>
              </w:tc>
              <w:tc>
                <w:tcPr>
                  <w:tcW w:w="851" w:type="pct"/>
                  <w:vAlign w:val="center"/>
                </w:tcPr>
                <w:p>
                  <w:pPr>
                    <w:pStyle w:val="41"/>
                    <w:jc w:val="cente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年消耗量t/a</w:t>
                  </w:r>
                </w:p>
              </w:tc>
              <w:tc>
                <w:tcPr>
                  <w:tcW w:w="2817"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砂子</w:t>
                  </w:r>
                </w:p>
              </w:tc>
              <w:tc>
                <w:tcPr>
                  <w:tcW w:w="851" w:type="pct"/>
                  <w:vAlign w:val="center"/>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100000</w:t>
                  </w:r>
                </w:p>
              </w:tc>
              <w:tc>
                <w:tcPr>
                  <w:tcW w:w="2817" w:type="pct"/>
                  <w:shd w:val="clear" w:color="auto" w:fill="auto"/>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外购，由加盖篷布的运输车辆运至厂区封闭原料库内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石子</w:t>
                  </w:r>
                </w:p>
              </w:tc>
              <w:tc>
                <w:tcPr>
                  <w:tcW w:w="85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0000</w:t>
                  </w:r>
                </w:p>
              </w:tc>
              <w:tc>
                <w:tcPr>
                  <w:tcW w:w="2817" w:type="pct"/>
                  <w:shd w:val="clear" w:color="auto" w:fill="auto"/>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外购，由加盖篷布的运输车辆运至厂区封闭原料库内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水泥</w:t>
                  </w:r>
                </w:p>
              </w:tc>
              <w:tc>
                <w:tcPr>
                  <w:tcW w:w="851" w:type="pct"/>
                  <w:vAlign w:val="center"/>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30000</w:t>
                  </w:r>
                </w:p>
              </w:tc>
              <w:tc>
                <w:tcPr>
                  <w:tcW w:w="2817"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外购，储存于密闭筒仓内，采用气力输送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粉煤灰</w:t>
                  </w:r>
                </w:p>
              </w:tc>
              <w:tc>
                <w:tcPr>
                  <w:tcW w:w="851" w:type="pct"/>
                  <w:vAlign w:val="center"/>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10000</w:t>
                  </w:r>
                </w:p>
              </w:tc>
              <w:tc>
                <w:tcPr>
                  <w:tcW w:w="2817"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外购，储存于密闭筒仓内，采用气力输送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矿粉</w:t>
                  </w:r>
                </w:p>
              </w:tc>
              <w:tc>
                <w:tcPr>
                  <w:tcW w:w="851" w:type="pct"/>
                  <w:vAlign w:val="center"/>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4900</w:t>
                  </w:r>
                </w:p>
              </w:tc>
              <w:tc>
                <w:tcPr>
                  <w:tcW w:w="2817"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外购，储存于密闭筒仓内，采用气力输送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外加剂</w:t>
                  </w:r>
                </w:p>
              </w:tc>
              <w:tc>
                <w:tcPr>
                  <w:tcW w:w="851" w:type="pct"/>
                  <w:vAlign w:val="center"/>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180</w:t>
                  </w:r>
                </w:p>
              </w:tc>
              <w:tc>
                <w:tcPr>
                  <w:tcW w:w="2817"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外购，为萘系减水剂，储存于密闭储罐内，采用气力输送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w:t>
                  </w:r>
                </w:p>
              </w:tc>
              <w:tc>
                <w:tcPr>
                  <w:tcW w:w="851" w:type="pct"/>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28780.8m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2817" w:type="pct"/>
                  <w:shd w:val="clear" w:color="auto" w:fill="auto"/>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8"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8</w:t>
                  </w:r>
                </w:p>
              </w:tc>
              <w:tc>
                <w:tcPr>
                  <w:tcW w:w="93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电</w:t>
                  </w:r>
                </w:p>
              </w:tc>
              <w:tc>
                <w:tcPr>
                  <w:tcW w:w="851" w:type="pct"/>
                </w:tcPr>
                <w:p>
                  <w:pPr>
                    <w:pStyle w:val="41"/>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t>22.4×10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kW·h</w:t>
                  </w:r>
                </w:p>
              </w:tc>
              <w:tc>
                <w:tcPr>
                  <w:tcW w:w="2817" w:type="pct"/>
                  <w:shd w:val="clear" w:color="auto" w:fill="auto"/>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市政供电系统</w:t>
                  </w:r>
                </w:p>
              </w:tc>
            </w:tr>
          </w:tbl>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外加剂：化学名称萘磺酸盐甲醛缩合物，外观为粉剂棕黄色粉末，液体棕褐色粘稠液。固体含量：粉剂＞94%、液体＞40%，净浆流动度≥230mm，硫酸钠含量≤10，氯离子含量≤0.5%。混凝土外加剂常用的主要是萘系高效减水剂，聚羧酸高性能减水剂和脂肪族高效减水剂。萘系高效减水剂：萘系高效减水剂是经化工合成的非引气型高效减水剂。化学名称萘磺酸盐甲醛缩合物，它对于水泥粒子有很强的分散作用。对配制大流态砼，有早强、高强要求的现浇砼和预制构件，有很好的使用效果，可全面提高和改善砼的各种性能，广泛用于公路、桥梁、大坝、港口码头、隧道、电力、水利及民建工程、蒸养及自然养护予制构件等。</w:t>
            </w:r>
          </w:p>
          <w:p>
            <w:pPr>
              <w:pStyle w:val="42"/>
              <w:rPr>
                <w:color w:val="000000" w:themeColor="text1"/>
                <w14:textFill>
                  <w14:solidFill>
                    <w14:schemeClr w14:val="tx1"/>
                  </w14:solidFill>
                </w14:textFill>
              </w:rPr>
            </w:pPr>
            <w:r>
              <w:rPr>
                <w:color w:val="000000" w:themeColor="text1"/>
                <w14:textFill>
                  <w14:solidFill>
                    <w14:schemeClr w14:val="tx1"/>
                  </w14:solidFill>
                </w14:textFill>
              </w:rPr>
              <w:t>4、主要生产设备</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本项目主要生产设备详见下表。</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表2.4  项目生产设备清单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678"/>
              <w:gridCol w:w="2173"/>
              <w:gridCol w:w="1301"/>
              <w:gridCol w:w="1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1565"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设备名称</w:t>
                  </w:r>
                </w:p>
              </w:tc>
              <w:tc>
                <w:tcPr>
                  <w:tcW w:w="1270"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规格型号</w:t>
                  </w:r>
                </w:p>
              </w:tc>
              <w:tc>
                <w:tcPr>
                  <w:tcW w:w="760"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w:t>
                  </w:r>
                </w:p>
              </w:tc>
              <w:tc>
                <w:tcPr>
                  <w:tcW w:w="869" w:type="pct"/>
                  <w:shd w:val="clear" w:color="auto" w:fill="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搅拌主机</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CIFA </w:t>
                  </w:r>
                  <w:r>
                    <w:rPr>
                      <w:rFonts w:hint="eastAsia" w:cs="Times New Roman"/>
                      <w:color w:val="000000" w:themeColor="text1"/>
                      <w14:textFill>
                        <w14:solidFill>
                          <w14:schemeClr w14:val="tx1"/>
                        </w14:solidFill>
                      </w14:textFill>
                    </w:rPr>
                    <w:t>J</w:t>
                  </w:r>
                  <w:r>
                    <w:rPr>
                      <w:rFonts w:cs="Times New Roman"/>
                      <w:color w:val="000000" w:themeColor="text1"/>
                      <w14:textFill>
                        <w14:solidFill>
                          <w14:schemeClr w14:val="tx1"/>
                        </w14:solidFill>
                      </w14:textFill>
                    </w:rPr>
                    <w:t>S2000</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配料机</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斜皮带机</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水称量供给系统</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水泥称量系统</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煤灰称量系统</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矿粉称量系统</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外加剂称量供给系统</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骨料中间仓</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0</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卸料装置</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1</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螺旋输送机</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2</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水泥筒仓</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50</w:t>
                  </w:r>
                  <w:r>
                    <w:rPr>
                      <w:rFonts w:hint="eastAsia" w:cs="Times New Roman"/>
                      <w:color w:val="000000" w:themeColor="text1"/>
                      <w14:textFill>
                        <w14:solidFill>
                          <w14:schemeClr w14:val="tx1"/>
                        </w14:solidFill>
                      </w14:textFill>
                    </w:rPr>
                    <w:t>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粉煤灰筒仓</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50</w:t>
                  </w:r>
                  <w:r>
                    <w:rPr>
                      <w:rFonts w:hint="eastAsia" w:cs="Times New Roman"/>
                      <w:color w:val="000000" w:themeColor="text1"/>
                      <w14:textFill>
                        <w14:solidFill>
                          <w14:schemeClr w14:val="tx1"/>
                        </w14:solidFill>
                      </w14:textFill>
                    </w:rPr>
                    <w:t>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4</w:t>
                  </w:r>
                </w:p>
              </w:tc>
              <w:tc>
                <w:tcPr>
                  <w:tcW w:w="1565"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矿粉筒仓</w:t>
                  </w:r>
                </w:p>
              </w:tc>
              <w:tc>
                <w:tcPr>
                  <w:tcW w:w="127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50</w:t>
                  </w:r>
                  <w:r>
                    <w:rPr>
                      <w:rFonts w:hint="eastAsia" w:cs="Times New Roman"/>
                      <w:color w:val="000000" w:themeColor="text1"/>
                      <w14:textFill>
                        <w14:solidFill>
                          <w14:schemeClr w14:val="tx1"/>
                        </w14:solidFill>
                      </w14:textFill>
                    </w:rPr>
                    <w:t>t</w:t>
                  </w:r>
                </w:p>
              </w:tc>
              <w:tc>
                <w:tcPr>
                  <w:tcW w:w="7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套</w:t>
                  </w:r>
                </w:p>
              </w:tc>
              <w:tc>
                <w:tcPr>
                  <w:tcW w:w="869"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5、公用工程</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（1）给水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本项目用水主要为生活用水、搅拌机清洗用水、运输车辆清洗用水及配料用水。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①生活用水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参照《宁夏回族自治区人民政府办公厅关于印发“宁夏回族自治区有关行业用水定额（修订）的通知”宁政办规发（2020）20号》中机关、企事业管理机构和社会团体用水（包括日常办公、食堂、浴室、锅炉、空调及集体宿舍等），用水定额按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/人·年计，本项目劳动定员</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人，则生活用水量为</w:t>
            </w:r>
            <w:r>
              <w:rPr>
                <w:color w:val="000000" w:themeColor="text1"/>
                <w14:textFill>
                  <w14:solidFill>
                    <w14:schemeClr w14:val="tx1"/>
                  </w14:solidFill>
                </w14:textFill>
              </w:rPr>
              <w:t>750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/a（2</w:t>
            </w:r>
            <w:r>
              <w:rPr>
                <w:color w:val="000000" w:themeColor="text1"/>
                <w14:textFill>
                  <w14:solidFill>
                    <w14:schemeClr w14:val="tx1"/>
                  </w14:solidFill>
                </w14:textFill>
              </w:rPr>
              <w:t>.5m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②搅拌机清洗用水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搅拌机是本项目的主要生产设备，在长时间停止生产时必须冲洗干净。停止生产的原因有生产节奏的问题和设备检修的问题，按搅拌机平均每天冲洗1次，单台每次冲洗水为2.5m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计算，本项目混凝土搅拌站年生产300天，则搅拌机冲洗用水量为750m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/a（2</w:t>
            </w:r>
            <w:r>
              <w:rPr>
                <w:color w:val="000000" w:themeColor="text1"/>
                <w14:textFill>
                  <w14:solidFill>
                    <w14:schemeClr w14:val="tx1"/>
                  </w14:solidFill>
                </w14:textFill>
              </w:rPr>
              <w:t>.5m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③车辆冲洗用水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本项目外购原料运输车在出入厂区门口时会进行清洗。沙子、石子、水泥、粉煤灰、混凝土年运输量为</w:t>
            </w:r>
            <w:r>
              <w:rPr>
                <w:color w:val="000000" w:themeColor="text1"/>
                <w14:textFill>
                  <w14:solidFill>
                    <w14:schemeClr w14:val="tx1"/>
                  </w14:solidFill>
                </w14:textFill>
              </w:rPr>
              <w:t>33.5</w:t>
            </w:r>
            <w:r>
              <w:rPr>
                <w:rFonts w:hint="eastAsia"/>
                <w:color w:val="000000" w:themeColor="text1"/>
                <w14:textFill>
                  <w14:solidFill>
                    <w14:schemeClr w14:val="tx1"/>
                  </w14:solidFill>
                </w14:textFill>
              </w:rPr>
              <w:t>万t，单车每次运输量按50t计算，每年运输车辆为</w:t>
            </w:r>
            <w:r>
              <w:rPr>
                <w:color w:val="000000" w:themeColor="text1"/>
                <w14:textFill>
                  <w14:solidFill>
                    <w14:schemeClr w14:val="tx1"/>
                  </w14:solidFill>
                </w14:textFill>
              </w:rPr>
              <w:t>6702</w:t>
            </w:r>
            <w:r>
              <w:rPr>
                <w:rFonts w:hint="eastAsia"/>
                <w:color w:val="000000" w:themeColor="text1"/>
                <w14:textFill>
                  <w14:solidFill>
                    <w14:schemeClr w14:val="tx1"/>
                  </w14:solidFill>
                </w14:textFill>
              </w:rPr>
              <w:t>车次。车辆轮胎冲洗水量为0.4m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/辆·次，因此车辆冲洗用水量为</w:t>
            </w:r>
            <w:r>
              <w:rPr>
                <w:color w:val="000000" w:themeColor="text1"/>
                <w14:textFill>
                  <w14:solidFill>
                    <w14:schemeClr w14:val="tx1"/>
                  </w14:solidFill>
                </w14:textFill>
              </w:rPr>
              <w:t>2680.8m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pPr>
              <w:pStyle w:val="39"/>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hint="eastAsia"/>
                <w:color w:val="000000" w:themeColor="text1"/>
                <w14:textFill>
                  <w14:solidFill>
                    <w14:schemeClr w14:val="tx1"/>
                  </w14:solidFill>
                </w14:textFill>
              </w:rPr>
              <w:t>配料用水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根据建设单位提供资料，项目混凝土生产线原料配料无需清洗，水为配料工序和搅拌工序用水。生产lm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商品混凝土所需0.21t水，所以年产10万m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混凝土的配料用水量为21000m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/d），除自然蒸发外全部进入产品。</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⑤料场降尘喷洒用水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项目在原料车间四周顶部设置高压喷淋装置，洒水系统可覆盖全原料车间。淋雾喷头一天洒水2次，每次洒水5min，喷头流量为1.2m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/min，料场喷洒用水量为12m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/d（3240m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/a），此部分用水自然耗散，无废水产生。</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（2）排水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本项目生产废水均回用于生产，排水主要为生活污水。</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本项目生活污水产生量按用水量的80%计，则生活污水为2m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/d（600m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.5  本项目</w:t>
            </w:r>
            <w:r>
              <w:rPr>
                <w:rFonts w:hint="eastAsia"/>
                <w:color w:val="000000" w:themeColor="text1"/>
                <w14:textFill>
                  <w14:solidFill>
                    <w14:schemeClr w14:val="tx1"/>
                  </w14:solidFill>
                </w14:textFill>
              </w:rPr>
              <w:t>用</w:t>
            </w:r>
            <w:r>
              <w:rPr>
                <w:color w:val="000000" w:themeColor="text1"/>
                <w14:textFill>
                  <w14:solidFill>
                    <w14:schemeClr w14:val="tx1"/>
                  </w14:solidFill>
                </w14:textFill>
              </w:rPr>
              <w:t>水</w:t>
            </w:r>
            <w:r>
              <w:rPr>
                <w:rFonts w:hint="eastAsia"/>
                <w:color w:val="000000" w:themeColor="text1"/>
                <w14:textFill>
                  <w14:solidFill>
                    <w14:schemeClr w14:val="tx1"/>
                  </w14:solidFill>
                </w14:textFill>
              </w:rPr>
              <w:t>排水</w:t>
            </w:r>
            <w:r>
              <w:rPr>
                <w:color w:val="000000" w:themeColor="text1"/>
                <w14:textFill>
                  <w14:solidFill>
                    <w14:schemeClr w14:val="tx1"/>
                  </w14:solidFill>
                </w14:textFill>
              </w:rPr>
              <w:t>平衡表</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840"/>
              <w:gridCol w:w="808"/>
              <w:gridCol w:w="852"/>
              <w:gridCol w:w="854"/>
              <w:gridCol w:w="998"/>
              <w:gridCol w:w="998"/>
              <w:gridCol w:w="2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用水环节</w:t>
                  </w:r>
                </w:p>
              </w:tc>
              <w:tc>
                <w:tcPr>
                  <w:tcW w:w="491"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总用水量</w:t>
                  </w:r>
                </w:p>
              </w:tc>
              <w:tc>
                <w:tcPr>
                  <w:tcW w:w="472"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新鲜水量</w:t>
                  </w:r>
                </w:p>
              </w:tc>
              <w:tc>
                <w:tcPr>
                  <w:tcW w:w="498"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回用水量</w:t>
                  </w:r>
                </w:p>
              </w:tc>
              <w:tc>
                <w:tcPr>
                  <w:tcW w:w="499"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损耗量</w:t>
                  </w:r>
                </w:p>
              </w:tc>
              <w:tc>
                <w:tcPr>
                  <w:tcW w:w="583"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废水产生量</w:t>
                  </w:r>
                </w:p>
              </w:tc>
              <w:tc>
                <w:tcPr>
                  <w:tcW w:w="583"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废水排放量</w:t>
                  </w:r>
                </w:p>
              </w:tc>
              <w:tc>
                <w:tcPr>
                  <w:tcW w:w="1184"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搅拌机清洗用水</w:t>
                  </w:r>
                </w:p>
              </w:tc>
              <w:tc>
                <w:tcPr>
                  <w:tcW w:w="49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tc>
              <w:tc>
                <w:tcPr>
                  <w:tcW w:w="472"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49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84" w:type="pct"/>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沉淀后回用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车辆冲洗用水</w:t>
                  </w:r>
                </w:p>
              </w:tc>
              <w:tc>
                <w:tcPr>
                  <w:tcW w:w="49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.936</w:t>
                  </w:r>
                </w:p>
              </w:tc>
              <w:tc>
                <w:tcPr>
                  <w:tcW w:w="472"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.787</w:t>
                  </w:r>
                </w:p>
              </w:tc>
              <w:tc>
                <w:tcPr>
                  <w:tcW w:w="49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.149</w:t>
                  </w:r>
                </w:p>
              </w:tc>
              <w:tc>
                <w:tcPr>
                  <w:tcW w:w="49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.781</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.149</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84" w:type="pct"/>
                  <w:vMerge w:val="continue"/>
                  <w:vAlign w:val="center"/>
                </w:tcPr>
                <w:p>
                  <w:pPr>
                    <w:pStyle w:val="41"/>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配料用水</w:t>
                  </w:r>
                </w:p>
              </w:tc>
              <w:tc>
                <w:tcPr>
                  <w:tcW w:w="49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472"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498"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84"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全部进入产品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料场降尘用水</w:t>
                  </w:r>
                </w:p>
              </w:tc>
              <w:tc>
                <w:tcPr>
                  <w:tcW w:w="49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472"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49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9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84"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生活用水（含餐饮废水）</w:t>
                  </w:r>
                </w:p>
              </w:tc>
              <w:tc>
                <w:tcPr>
                  <w:tcW w:w="491"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tc>
              <w:tc>
                <w:tcPr>
                  <w:tcW w:w="472"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tc>
              <w:tc>
                <w:tcPr>
                  <w:tcW w:w="49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49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8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184"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餐饮废水经隔油池处理后与生活污水经一体化污水处理设施处置后回用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491"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95.936</w:t>
                  </w:r>
                </w:p>
              </w:tc>
              <w:tc>
                <w:tcPr>
                  <w:tcW w:w="472"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86.787</w:t>
                  </w:r>
                </w:p>
              </w:tc>
              <w:tc>
                <w:tcPr>
                  <w:tcW w:w="498"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9.149</w:t>
                  </w:r>
                </w:p>
              </w:tc>
              <w:tc>
                <w:tcPr>
                  <w:tcW w:w="499"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84.781</w:t>
                  </w:r>
                </w:p>
              </w:tc>
              <w:tc>
                <w:tcPr>
                  <w:tcW w:w="583"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11.149</w:t>
                  </w:r>
                </w:p>
              </w:tc>
              <w:tc>
                <w:tcPr>
                  <w:tcW w:w="583" w:type="pct"/>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84" w:type="pct"/>
                  <w:vAlign w:val="center"/>
                </w:tcPr>
                <w:p>
                  <w:pPr>
                    <w:pStyle w:val="41"/>
                    <w:jc w:val="center"/>
                    <w:rPr>
                      <w:color w:val="000000" w:themeColor="text1"/>
                      <w14:textFill>
                        <w14:solidFill>
                          <w14:schemeClr w14:val="tx1"/>
                        </w14:solidFill>
                      </w14:textFill>
                    </w:rPr>
                  </w:pPr>
                </w:p>
              </w:tc>
            </w:tr>
          </w:tbl>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12"/>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306pt;width:423.7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项目水平衡图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（3）供暖</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采用空调供暖</w:t>
            </w:r>
            <w:r>
              <w:rPr>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（4）供电</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由市政供电系统供给。</w:t>
            </w:r>
          </w:p>
          <w:p>
            <w:pPr>
              <w:pStyle w:val="42"/>
              <w:rPr>
                <w:color w:val="000000" w:themeColor="text1"/>
                <w14:textFill>
                  <w14:solidFill>
                    <w14:schemeClr w14:val="tx1"/>
                  </w14:solidFill>
                </w14:textFill>
              </w:rPr>
            </w:pPr>
            <w:r>
              <w:rPr>
                <w:color w:val="000000" w:themeColor="text1"/>
                <w14:textFill>
                  <w14:solidFill>
                    <w14:schemeClr w14:val="tx1"/>
                  </w14:solidFill>
                </w14:textFill>
              </w:rPr>
              <w:t>6、平面布置合理性</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宁夏回族自治区固原市原州区彭堡镇。本项目利用厂区内现有空地进行建设，混凝土生产线位于厂区的北部，原料车间位于生产车间内，办公区位于厂区东北侧，充分考虑了生产车间内各装置的衔接关系，力求工艺线路流畅、工艺管线短捷、布置紧凑合理，办公区、生活区与生产区分开布置，同时满足防火、防爆、安全等多方面要求。从总平面的布置看，本项目基本按工艺流畅进行布置，能符合生产工艺流程的要求以缩短物料的输送路线。综上，</w:t>
            </w:r>
            <w:r>
              <w:rPr>
                <w:color w:val="000000" w:themeColor="text1"/>
                <w14:textFill>
                  <w14:solidFill>
                    <w14:schemeClr w14:val="tx1"/>
                  </w14:solidFill>
                </w14:textFill>
              </w:rPr>
              <w:t>项目总平面布局合理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项目平面布置图见2.3。</w:t>
            </w:r>
          </w:p>
          <w:p>
            <w:pPr>
              <w:pStyle w:val="42"/>
              <w:rPr>
                <w:color w:val="000000" w:themeColor="text1"/>
                <w14:textFill>
                  <w14:solidFill>
                    <w14:schemeClr w14:val="tx1"/>
                  </w14:solidFill>
                </w14:textFill>
              </w:rPr>
            </w:pPr>
            <w:r>
              <w:rPr>
                <w:color w:val="000000" w:themeColor="text1"/>
                <w14:textFill>
                  <w14:solidFill>
                    <w14:schemeClr w14:val="tx1"/>
                  </w14:solidFill>
                </w14:textFill>
              </w:rPr>
              <w:t>7、劳动定员</w:t>
            </w:r>
          </w:p>
          <w:p>
            <w:pPr>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本次项目新增劳动定员30</w:t>
            </w:r>
            <w:r>
              <w:rPr>
                <w:rFonts w:hint="eastAsia"/>
                <w:color w:val="000000" w:themeColor="text1"/>
                <w:sz w:val="24"/>
                <w:szCs w:val="20"/>
                <w14:textFill>
                  <w14:solidFill>
                    <w14:schemeClr w14:val="tx1"/>
                  </w14:solidFill>
                </w14:textFill>
              </w:rPr>
              <w:t>人</w:t>
            </w:r>
            <w:r>
              <w:rPr>
                <w:color w:val="000000" w:themeColor="text1"/>
                <w:sz w:val="24"/>
                <w:szCs w:val="20"/>
                <w14:textFill>
                  <w14:solidFill>
                    <w14:schemeClr w14:val="tx1"/>
                  </w14:solidFill>
                </w14:textFill>
              </w:rPr>
              <w:t>，生产时间为8h，年生产天数300d，年运行时数2400h。</w:t>
            </w:r>
          </w:p>
          <w:p>
            <w:pPr>
              <w:pStyle w:val="42"/>
              <w:rPr>
                <w:color w:val="000000" w:themeColor="text1"/>
                <w14:textFill>
                  <w14:solidFill>
                    <w14:schemeClr w14:val="tx1"/>
                  </w14:solidFill>
                </w14:textFill>
              </w:rPr>
            </w:pPr>
            <w:r>
              <w:rPr>
                <w:color w:val="000000" w:themeColor="text1"/>
                <w14:textFill>
                  <w14:solidFill>
                    <w14:schemeClr w14:val="tx1"/>
                  </w14:solidFill>
                </w14:textFill>
              </w:rPr>
              <w:t>8、环保投资估算</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本项目总投资1000万元，环保投资212万元，约占总投资额21.2%。本项目环保投资见下表。</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表2.6  本项目环保投资一览表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52"/>
              <w:gridCol w:w="1130"/>
              <w:gridCol w:w="4345"/>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Align w:val="center"/>
                </w:tcPr>
                <w:p>
                  <w:pPr>
                    <w:pStyle w:val="41"/>
                    <w:jc w:val="center"/>
                    <w:rPr>
                      <w:rFonts w:eastAsia="Times New Roman" w:cs="Times New Roman"/>
                      <w:b/>
                      <w:bCs/>
                      <w:color w:val="000000" w:themeColor="text1"/>
                      <w:lang w:bidi="zh-CN"/>
                      <w14:textFill>
                        <w14:solidFill>
                          <w14:schemeClr w14:val="tx1"/>
                        </w14:solidFill>
                      </w14:textFill>
                    </w:rPr>
                  </w:pPr>
                  <w:r>
                    <w:rPr>
                      <w:rFonts w:cs="Times New Roman"/>
                      <w:b/>
                      <w:bCs/>
                      <w:color w:val="000000" w:themeColor="text1"/>
                      <w:lang w:bidi="zh-CN"/>
                      <w14:textFill>
                        <w14:solidFill>
                          <w14:schemeClr w14:val="tx1"/>
                        </w14:solidFill>
                      </w14:textFill>
                    </w:rPr>
                    <w:t>时段</w:t>
                  </w:r>
                </w:p>
              </w:tc>
              <w:tc>
                <w:tcPr>
                  <w:tcW w:w="673" w:type="pct"/>
                  <w:vAlign w:val="center"/>
                </w:tcPr>
                <w:p>
                  <w:pPr>
                    <w:pStyle w:val="41"/>
                    <w:jc w:val="center"/>
                    <w:rPr>
                      <w:rFonts w:eastAsia="Times New Roman" w:cs="Times New Roman"/>
                      <w:b/>
                      <w:bCs/>
                      <w:color w:val="000000" w:themeColor="text1"/>
                      <w:lang w:bidi="zh-CN"/>
                      <w14:textFill>
                        <w14:solidFill>
                          <w14:schemeClr w14:val="tx1"/>
                        </w14:solidFill>
                      </w14:textFill>
                    </w:rPr>
                  </w:pPr>
                  <w:r>
                    <w:rPr>
                      <w:rFonts w:cs="Times New Roman"/>
                      <w:b/>
                      <w:bCs/>
                      <w:color w:val="000000" w:themeColor="text1"/>
                      <w:lang w:bidi="zh-CN"/>
                      <w14:textFill>
                        <w14:solidFill>
                          <w14:schemeClr w14:val="tx1"/>
                        </w14:solidFill>
                      </w14:textFill>
                    </w:rPr>
                    <w:t>项目</w:t>
                  </w:r>
                </w:p>
              </w:tc>
              <w:tc>
                <w:tcPr>
                  <w:tcW w:w="3199" w:type="pct"/>
                  <w:gridSpan w:val="2"/>
                  <w:vAlign w:val="center"/>
                </w:tcPr>
                <w:p>
                  <w:pPr>
                    <w:pStyle w:val="41"/>
                    <w:jc w:val="center"/>
                    <w:rPr>
                      <w:rFonts w:eastAsia="Times New Roman" w:cs="Times New Roman"/>
                      <w:b/>
                      <w:bCs/>
                      <w:color w:val="000000" w:themeColor="text1"/>
                      <w:lang w:bidi="zh-CN"/>
                      <w14:textFill>
                        <w14:solidFill>
                          <w14:schemeClr w14:val="tx1"/>
                        </w14:solidFill>
                      </w14:textFill>
                    </w:rPr>
                  </w:pPr>
                  <w:r>
                    <w:rPr>
                      <w:rFonts w:cs="Times New Roman"/>
                      <w:b/>
                      <w:bCs/>
                      <w:color w:val="000000" w:themeColor="text1"/>
                      <w:lang w:bidi="zh-CN"/>
                      <w14:textFill>
                        <w14:solidFill>
                          <w14:schemeClr w14:val="tx1"/>
                        </w14:solidFill>
                      </w14:textFill>
                    </w:rPr>
                    <w:t>具体内容</w:t>
                  </w:r>
                </w:p>
              </w:tc>
              <w:tc>
                <w:tcPr>
                  <w:tcW w:w="689" w:type="pct"/>
                  <w:vAlign w:val="center"/>
                </w:tcPr>
                <w:p>
                  <w:pPr>
                    <w:pStyle w:val="41"/>
                    <w:jc w:val="center"/>
                    <w:rPr>
                      <w:rFonts w:eastAsia="Times New Roman" w:cs="Times New Roman"/>
                      <w:b/>
                      <w:bCs/>
                      <w:color w:val="000000" w:themeColor="text1"/>
                      <w:lang w:bidi="zh-CN"/>
                      <w14:textFill>
                        <w14:solidFill>
                          <w14:schemeClr w14:val="tx1"/>
                        </w14:solidFill>
                      </w14:textFill>
                    </w:rPr>
                  </w:pPr>
                  <w:r>
                    <w:rPr>
                      <w:rFonts w:cs="Times New Roman"/>
                      <w:b/>
                      <w:bCs/>
                      <w:color w:val="000000" w:themeColor="text1"/>
                      <w:lang w:bidi="zh-CN"/>
                      <w14:textFill>
                        <w14:solidFill>
                          <w14:schemeClr w14:val="tx1"/>
                        </w14:solidFill>
                      </w14:textFill>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Align w:val="center"/>
                </w:tcPr>
                <w:p>
                  <w:pPr>
                    <w:pStyle w:val="41"/>
                    <w:jc w:val="center"/>
                    <w:rPr>
                      <w:rFonts w:cs="Times New Roman"/>
                      <w:color w:val="000000" w:themeColor="text1"/>
                      <w:lang w:bidi="zh-CN"/>
                      <w14:textFill>
                        <w14:solidFill>
                          <w14:schemeClr w14:val="tx1"/>
                        </w14:solidFill>
                      </w14:textFill>
                    </w:rPr>
                  </w:pPr>
                  <w:r>
                    <w:rPr>
                      <w:rFonts w:hint="eastAsia" w:cs="Times New Roman"/>
                      <w:color w:val="000000" w:themeColor="text1"/>
                      <w:lang w:bidi="zh-CN"/>
                      <w14:textFill>
                        <w14:solidFill>
                          <w14:schemeClr w14:val="tx1"/>
                        </w14:solidFill>
                      </w14:textFill>
                    </w:rPr>
                    <w:t>施工期</w:t>
                  </w:r>
                </w:p>
              </w:tc>
              <w:tc>
                <w:tcPr>
                  <w:tcW w:w="1333" w:type="pct"/>
                  <w:gridSpan w:val="2"/>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废气、废水、噪声、固废</w:t>
                  </w:r>
                </w:p>
              </w:tc>
              <w:tc>
                <w:tcPr>
                  <w:tcW w:w="2539" w:type="pct"/>
                  <w:vAlign w:val="center"/>
                </w:tcPr>
                <w:p>
                  <w:pPr>
                    <w:pStyle w:val="41"/>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施工扬尘防治、施工废水处理、施工噪声防治、施工固废处置等</w:t>
                  </w:r>
                </w:p>
              </w:tc>
              <w:tc>
                <w:tcPr>
                  <w:tcW w:w="689" w:type="pct"/>
                  <w:vAlign w:val="center"/>
                </w:tcPr>
                <w:p>
                  <w:pPr>
                    <w:pStyle w:val="41"/>
                    <w:jc w:val="center"/>
                    <w:rPr>
                      <w:rFonts w:eastAsia="等线" w:cs="Times New Roman"/>
                      <w:color w:val="000000" w:themeColor="text1"/>
                      <w:lang w:bidi="zh-CN"/>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运营期</w:t>
                  </w:r>
                </w:p>
              </w:tc>
              <w:tc>
                <w:tcPr>
                  <w:tcW w:w="673" w:type="pct"/>
                  <w:vMerge w:val="restar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废气治理</w:t>
                  </w:r>
                </w:p>
              </w:tc>
              <w:tc>
                <w:tcPr>
                  <w:tcW w:w="6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筛分废气</w:t>
                  </w:r>
                </w:p>
              </w:tc>
              <w:tc>
                <w:tcPr>
                  <w:tcW w:w="2539" w:type="pct"/>
                  <w:vMerge w:val="restar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筛分废气、</w:t>
                  </w:r>
                  <w:r>
                    <w:rPr>
                      <w:rFonts w:hint="eastAsia" w:cs="Times New Roman"/>
                      <w:color w:val="000000" w:themeColor="text1"/>
                      <w14:textFill>
                        <w14:solidFill>
                          <w14:schemeClr w14:val="tx1"/>
                        </w14:solidFill>
                      </w14:textFill>
                    </w:rPr>
                    <w:t>物料混合搅拌废气</w:t>
                  </w:r>
                  <w:r>
                    <w:rPr>
                      <w:rFonts w:cs="Times New Roman"/>
                      <w:color w:val="000000" w:themeColor="text1"/>
                      <w14:textFill>
                        <w14:solidFill>
                          <w14:schemeClr w14:val="tx1"/>
                        </w14:solidFill>
                      </w14:textFill>
                    </w:rPr>
                    <w:t>由新增布袋除尘器处理后</w:t>
                  </w:r>
                  <w:r>
                    <w:rPr>
                      <w:rFonts w:hint="eastAsia" w:cs="Times New Roman"/>
                      <w:color w:val="000000" w:themeColor="text1"/>
                      <w14:textFill>
                        <w14:solidFill>
                          <w14:schemeClr w14:val="tx1"/>
                        </w14:solidFill>
                      </w14:textFill>
                    </w:rPr>
                    <w:t>由</w:t>
                  </w:r>
                  <w:r>
                    <w:rPr>
                      <w:rFonts w:cs="Times New Roman"/>
                      <w:color w:val="000000" w:themeColor="text1"/>
                      <w14:textFill>
                        <w14:solidFill>
                          <w14:schemeClr w14:val="tx1"/>
                        </w14:solidFill>
                      </w14:textFill>
                    </w:rPr>
                    <w:t>20</w:t>
                  </w:r>
                  <w:r>
                    <w:rPr>
                      <w:rFonts w:hint="eastAsia" w:cs="Times New Roman"/>
                      <w:color w:val="000000" w:themeColor="text1"/>
                      <w14:textFill>
                        <w14:solidFill>
                          <w14:schemeClr w14:val="tx1"/>
                        </w14:solidFill>
                      </w14:textFill>
                    </w:rPr>
                    <w:t>m高排气筒排放，布袋除尘器收集灰</w:t>
                  </w:r>
                  <w:r>
                    <w:rPr>
                      <w:rFonts w:cs="Times New Roman"/>
                      <w:color w:val="000000" w:themeColor="text1"/>
                      <w14:textFill>
                        <w14:solidFill>
                          <w14:schemeClr w14:val="tx1"/>
                        </w14:solidFill>
                      </w14:textFill>
                    </w:rPr>
                    <w:t>回收至砂仓回收利用于生产</w:t>
                  </w:r>
                </w:p>
              </w:tc>
              <w:tc>
                <w:tcPr>
                  <w:tcW w:w="689" w:type="pct"/>
                  <w:vMerge w:val="restart"/>
                  <w:vAlign w:val="center"/>
                </w:tcPr>
                <w:p>
                  <w:pPr>
                    <w:pStyle w:val="41"/>
                    <w:jc w:val="center"/>
                    <w:rPr>
                      <w:rFonts w:eastAsia="等线" w:cs="Times New Roman"/>
                      <w:color w:val="000000" w:themeColor="text1"/>
                      <w:lang w:bidi="zh-CN"/>
                      <w14:textFill>
                        <w14:solidFill>
                          <w14:schemeClr w14:val="tx1"/>
                        </w14:solidFill>
                      </w14:textFill>
                    </w:rPr>
                  </w:pPr>
                  <w:r>
                    <w:rPr>
                      <w:rFonts w:eastAsia="等线" w:cs="Times New Roman"/>
                      <w:color w:val="000000" w:themeColor="text1"/>
                      <w:lang w:bidi="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cs="Times New Roman"/>
                      <w:color w:val="000000" w:themeColor="text1"/>
                      <w:lang w:bidi="zh-CN"/>
                      <w14:textFill>
                        <w14:solidFill>
                          <w14:schemeClr w14:val="tx1"/>
                        </w14:solidFill>
                      </w14:textFill>
                    </w:rPr>
                  </w:pPr>
                </w:p>
              </w:tc>
              <w:tc>
                <w:tcPr>
                  <w:tcW w:w="6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物料混合搅拌废气</w:t>
                  </w:r>
                </w:p>
              </w:tc>
              <w:tc>
                <w:tcPr>
                  <w:tcW w:w="2539" w:type="pct"/>
                  <w:vMerge w:val="continue"/>
                  <w:vAlign w:val="center"/>
                </w:tcPr>
                <w:p>
                  <w:pPr>
                    <w:pStyle w:val="41"/>
                    <w:jc w:val="center"/>
                    <w:rPr>
                      <w:rFonts w:cs="Times New Roman"/>
                      <w:color w:val="000000" w:themeColor="text1"/>
                      <w:lang w:bidi="zh-CN"/>
                      <w14:textFill>
                        <w14:solidFill>
                          <w14:schemeClr w14:val="tx1"/>
                        </w14:solidFill>
                      </w14:textFill>
                    </w:rPr>
                  </w:pPr>
                </w:p>
              </w:tc>
              <w:tc>
                <w:tcPr>
                  <w:tcW w:w="689" w:type="pct"/>
                  <w:vMerge w:val="continue"/>
                  <w:vAlign w:val="center"/>
                </w:tcPr>
                <w:p>
                  <w:pPr>
                    <w:pStyle w:val="41"/>
                    <w:jc w:val="center"/>
                    <w:rPr>
                      <w:rFonts w:eastAsia="等线" w:cs="Times New Roman"/>
                      <w:color w:val="000000" w:themeColor="text1"/>
                      <w:lang w:bidi="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筒仓废气</w:t>
                  </w:r>
                </w:p>
              </w:tc>
              <w:tc>
                <w:tcPr>
                  <w:tcW w:w="2539"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水泥、粉煤灰筒仓，</w:t>
                  </w:r>
                  <w:r>
                    <w:rPr>
                      <w:rFonts w:hint="eastAsia" w:cs="Times New Roman"/>
                      <w:color w:val="000000" w:themeColor="text1"/>
                      <w14:textFill>
                        <w14:solidFill>
                          <w14:schemeClr w14:val="tx1"/>
                        </w14:solidFill>
                      </w14:textFill>
                    </w:rPr>
                    <w:t>矿粉</w:t>
                  </w:r>
                  <w:r>
                    <w:rPr>
                      <w:rFonts w:cs="Times New Roman"/>
                      <w:color w:val="000000" w:themeColor="text1"/>
                      <w14:textFill>
                        <w14:solidFill>
                          <w14:schemeClr w14:val="tx1"/>
                        </w14:solidFill>
                      </w14:textFill>
                    </w:rPr>
                    <w:t>筒仓废气由筒仓自带除尘器处理后排放</w:t>
                  </w:r>
                </w:p>
              </w:tc>
              <w:tc>
                <w:tcPr>
                  <w:tcW w:w="689" w:type="pct"/>
                  <w:vAlign w:val="center"/>
                </w:tcPr>
                <w:p>
                  <w:pPr>
                    <w:pStyle w:val="41"/>
                    <w:jc w:val="center"/>
                    <w:rPr>
                      <w:rFonts w:eastAsia="等线" w:cs="Times New Roman"/>
                      <w:color w:val="000000" w:themeColor="text1"/>
                      <w:lang w:bidi="zh-CN"/>
                      <w14:textFill>
                        <w14:solidFill>
                          <w14:schemeClr w14:val="tx1"/>
                        </w14:solidFill>
                      </w14:textFill>
                    </w:rPr>
                  </w:pPr>
                  <w:r>
                    <w:rPr>
                      <w:rFonts w:eastAsia="等线" w:cs="Times New Roman"/>
                      <w:color w:val="000000" w:themeColor="text1"/>
                      <w:lang w:bidi="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60" w:type="pct"/>
                  <w:shd w:val="clear" w:color="auto" w:fill="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上料废气</w:t>
                  </w:r>
                </w:p>
              </w:tc>
              <w:tc>
                <w:tcPr>
                  <w:tcW w:w="2539"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上料口设置</w:t>
                  </w:r>
                  <w:r>
                    <w:rPr>
                      <w:rFonts w:hint="eastAsia" w:cs="Times New Roman"/>
                      <w:color w:val="000000" w:themeColor="text1"/>
                      <w14:textFill>
                        <w14:solidFill>
                          <w14:schemeClr w14:val="tx1"/>
                        </w14:solidFill>
                      </w14:textFill>
                    </w:rPr>
                    <w:t>密闭围挡和布袋除尘器</w:t>
                  </w:r>
                </w:p>
              </w:tc>
              <w:tc>
                <w:tcPr>
                  <w:tcW w:w="689" w:type="pct"/>
                  <w:vAlign w:val="center"/>
                </w:tcPr>
                <w:p>
                  <w:pPr>
                    <w:pStyle w:val="41"/>
                    <w:jc w:val="center"/>
                    <w:rPr>
                      <w:rFonts w:eastAsia="等线" w:cs="Times New Roman"/>
                      <w:color w:val="000000" w:themeColor="text1"/>
                      <w:lang w:bidi="zh-CN"/>
                      <w14:textFill>
                        <w14:solidFill>
                          <w14:schemeClr w14:val="tx1"/>
                        </w14:solidFill>
                      </w14:textFill>
                    </w:rPr>
                  </w:pPr>
                  <w:r>
                    <w:rPr>
                      <w:rFonts w:eastAsia="等线" w:cs="Times New Roman"/>
                      <w:color w:val="000000" w:themeColor="text1"/>
                      <w:lang w:bidi="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60" w:type="pct"/>
                  <w:shd w:val="clear" w:color="auto" w:fill="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厨房油烟</w:t>
                  </w:r>
                </w:p>
              </w:tc>
              <w:tc>
                <w:tcPr>
                  <w:tcW w:w="2539"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设置一套油烟净化器，处理效率6</w:t>
                  </w:r>
                  <w:r>
                    <w:rPr>
                      <w:rFonts w:cs="Times New Roman"/>
                      <w:color w:val="000000" w:themeColor="text1"/>
                      <w14:textFill>
                        <w14:solidFill>
                          <w14:schemeClr w14:val="tx1"/>
                        </w14:solidFill>
                      </w14:textFill>
                    </w:rPr>
                    <w:t>5%</w:t>
                  </w:r>
                </w:p>
              </w:tc>
              <w:tc>
                <w:tcPr>
                  <w:tcW w:w="689" w:type="pct"/>
                  <w:vAlign w:val="center"/>
                </w:tcPr>
                <w:p>
                  <w:pPr>
                    <w:pStyle w:val="41"/>
                    <w:jc w:val="center"/>
                    <w:rPr>
                      <w:rFonts w:eastAsia="等线" w:cs="Times New Roman"/>
                      <w:color w:val="000000" w:themeColor="text1"/>
                      <w:lang w:bidi="zh-CN"/>
                      <w14:textFill>
                        <w14:solidFill>
                          <w14:schemeClr w14:val="tx1"/>
                        </w14:solidFill>
                      </w14:textFill>
                    </w:rPr>
                  </w:pPr>
                  <w:r>
                    <w:rPr>
                      <w:rFonts w:hint="eastAsia" w:eastAsia="等线" w:cs="Times New Roman"/>
                      <w:color w:val="000000" w:themeColor="text1"/>
                      <w:lang w:bidi="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restart"/>
                  <w:vAlign w:val="center"/>
                </w:tcPr>
                <w:p>
                  <w:pPr>
                    <w:pStyle w:val="41"/>
                    <w:jc w:val="center"/>
                    <w:rPr>
                      <w:rFonts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废水处理</w:t>
                  </w:r>
                </w:p>
              </w:tc>
              <w:tc>
                <w:tcPr>
                  <w:tcW w:w="660" w:type="pct"/>
                  <w:vAlign w:val="center"/>
                </w:tcPr>
                <w:p>
                  <w:pPr>
                    <w:pStyle w:val="41"/>
                    <w:jc w:val="center"/>
                    <w:rPr>
                      <w:rFonts w:cs="Times New Roman"/>
                      <w:color w:val="000000" w:themeColor="text1"/>
                      <w:lang w:bidi="zh-CN"/>
                      <w14:textFill>
                        <w14:solidFill>
                          <w14:schemeClr w14:val="tx1"/>
                        </w14:solidFill>
                      </w14:textFill>
                    </w:rPr>
                  </w:pPr>
                  <w:r>
                    <w:rPr>
                      <w:rFonts w:hint="eastAsia" w:cs="Times New Roman"/>
                      <w:color w:val="000000" w:themeColor="text1"/>
                      <w:lang w:bidi="zh-CN"/>
                      <w14:textFill>
                        <w14:solidFill>
                          <w14:schemeClr w14:val="tx1"/>
                        </w14:solidFill>
                      </w14:textFill>
                    </w:rPr>
                    <w:t>生产废水</w:t>
                  </w:r>
                </w:p>
              </w:tc>
              <w:tc>
                <w:tcPr>
                  <w:tcW w:w="2539" w:type="pc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生产废水经</w:t>
                  </w:r>
                  <w:r>
                    <w:rPr>
                      <w:rFonts w:cs="Times New Roman"/>
                      <w:color w:val="000000" w:themeColor="text1"/>
                      <w14:textFill>
                        <w14:solidFill>
                          <w14:schemeClr w14:val="tx1"/>
                        </w14:solidFill>
                      </w14:textFill>
                    </w:rPr>
                    <w:t>300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砂浆分离池沉淀后循环使用不外排，洗车废水经3</w:t>
                  </w: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洗罐沉淀池沉淀后回用</w:t>
                  </w:r>
                </w:p>
              </w:tc>
              <w:tc>
                <w:tcPr>
                  <w:tcW w:w="689"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60"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生活污水</w:t>
                  </w:r>
                </w:p>
              </w:tc>
              <w:tc>
                <w:tcPr>
                  <w:tcW w:w="253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hint="eastAsia" w:cs="Times New Roman"/>
                      <w:color w:val="000000" w:themeColor="text1"/>
                      <w14:textFill>
                        <w14:solidFill>
                          <w14:schemeClr w14:val="tx1"/>
                        </w14:solidFill>
                      </w14:textFill>
                    </w:rPr>
                    <w:t>食堂废水经隔油池（2m</w:t>
                  </w:r>
                  <w:r>
                    <w:rPr>
                      <w:rFonts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）处理后同生活污水一同排入一体化污水设施（</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），处理后达到《城市污水再生利用 城市杂用水水质》（GB18920-2020）标准用于厂区洒水抑尘，不外排</w:t>
                  </w:r>
                </w:p>
              </w:tc>
              <w:tc>
                <w:tcPr>
                  <w:tcW w:w="689" w:type="pct"/>
                  <w:vAlign w:val="center"/>
                </w:tcPr>
                <w:p>
                  <w:pPr>
                    <w:pStyle w:val="41"/>
                    <w:jc w:val="center"/>
                    <w:rPr>
                      <w:rFonts w:cs="Times New Roman" w:eastAsiaTheme="minorEastAsia"/>
                      <w:color w:val="000000" w:themeColor="text1"/>
                      <w:lang w:bidi="zh-CN"/>
                      <w14:textFill>
                        <w14:solidFill>
                          <w14:schemeClr w14:val="tx1"/>
                        </w14:solidFill>
                      </w14:textFill>
                    </w:rPr>
                  </w:pPr>
                  <w:r>
                    <w:rPr>
                      <w:rFonts w:hint="eastAsia" w:cs="Times New Roman" w:eastAsiaTheme="minorEastAsia"/>
                      <w:color w:val="000000" w:themeColor="text1"/>
                      <w:lang w:bidi="zh-CN"/>
                      <w14:textFill>
                        <w14:solidFill>
                          <w14:schemeClr w14:val="tx1"/>
                        </w14:solidFill>
                      </w14:textFill>
                    </w:rPr>
                    <w:t>1</w:t>
                  </w:r>
                  <w:r>
                    <w:rPr>
                      <w:rFonts w:cs="Times New Roman" w:eastAsiaTheme="minorEastAsia"/>
                      <w:color w:val="000000" w:themeColor="text1"/>
                      <w:lang w:bidi="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restar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固废处理</w:t>
                  </w:r>
                </w:p>
              </w:tc>
              <w:tc>
                <w:tcPr>
                  <w:tcW w:w="660"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生活垃圾</w:t>
                  </w:r>
                </w:p>
              </w:tc>
              <w:tc>
                <w:tcPr>
                  <w:tcW w:w="253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生活垃圾依托现有设施，收集后由市政环卫部门统一清运，设置垃圾收集箱若干</w:t>
                  </w:r>
                </w:p>
              </w:tc>
              <w:tc>
                <w:tcPr>
                  <w:tcW w:w="68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60"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一般工业固废</w:t>
                  </w:r>
                </w:p>
              </w:tc>
              <w:tc>
                <w:tcPr>
                  <w:tcW w:w="2539" w:type="pct"/>
                  <w:vAlign w:val="center"/>
                </w:tcPr>
                <w:p>
                  <w:pPr>
                    <w:pStyle w:val="41"/>
                    <w:jc w:val="center"/>
                    <w:rPr>
                      <w:rFonts w:cs="Times New Roman"/>
                      <w:color w:val="000000" w:themeColor="text1"/>
                      <w:lang w:bidi="zh-CN"/>
                      <w14:textFill>
                        <w14:solidFill>
                          <w14:schemeClr w14:val="tx1"/>
                        </w14:solidFill>
                      </w14:textFill>
                    </w:rPr>
                  </w:pPr>
                  <w:r>
                    <w:rPr>
                      <w:rFonts w:hint="eastAsia" w:cs="Times New Roman"/>
                      <w:color w:val="000000" w:themeColor="text1"/>
                      <w:lang w:bidi="zh-CN"/>
                      <w14:textFill>
                        <w14:solidFill>
                          <w14:schemeClr w14:val="tx1"/>
                        </w14:solidFill>
                      </w14:textFill>
                    </w:rPr>
                    <w:t>沉淀残渣、布袋除尘器收集粉尘、实验废弃混凝土回用于生产线作为原料使用。</w:t>
                  </w:r>
                </w:p>
              </w:tc>
              <w:tc>
                <w:tcPr>
                  <w:tcW w:w="68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噪声处理</w:t>
                  </w:r>
                </w:p>
              </w:tc>
              <w:tc>
                <w:tcPr>
                  <w:tcW w:w="3199" w:type="pct"/>
                  <w:gridSpan w:val="2"/>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产噪设备安装在生产车间内</w:t>
                  </w:r>
                </w:p>
              </w:tc>
              <w:tc>
                <w:tcPr>
                  <w:tcW w:w="68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eastAsia="Times New Roman" w:cs="Times New Roman"/>
                      <w:color w:val="000000" w:themeColor="text1"/>
                      <w:lang w:bidi="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地下水污染防治</w:t>
                  </w:r>
                </w:p>
              </w:tc>
              <w:tc>
                <w:tcPr>
                  <w:tcW w:w="660"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地下水防渗</w:t>
                  </w:r>
                </w:p>
              </w:tc>
              <w:tc>
                <w:tcPr>
                  <w:tcW w:w="253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hint="eastAsia" w:cs="Times New Roman"/>
                      <w:color w:val="000000" w:themeColor="text1"/>
                      <w:lang w:bidi="zh-CN"/>
                      <w14:textFill>
                        <w14:solidFill>
                          <w14:schemeClr w14:val="tx1"/>
                        </w14:solidFill>
                      </w14:textFill>
                    </w:rPr>
                    <w:t>生产车间用混凝土做硬化处理，砂浆分离池、洗罐沉淀池采取一般防渗，防渗性能达到不低于1.5m厚渗透系数为1.0×10</w:t>
                  </w:r>
                  <w:r>
                    <w:rPr>
                      <w:rFonts w:hint="eastAsia" w:cs="Times New Roman"/>
                      <w:color w:val="000000" w:themeColor="text1"/>
                      <w:vertAlign w:val="superscript"/>
                      <w:lang w:bidi="zh-CN"/>
                      <w14:textFill>
                        <w14:solidFill>
                          <w14:schemeClr w14:val="tx1"/>
                        </w14:solidFill>
                      </w14:textFill>
                    </w:rPr>
                    <w:t>-7</w:t>
                  </w:r>
                  <w:r>
                    <w:rPr>
                      <w:rFonts w:hint="eastAsia" w:cs="Times New Roman"/>
                      <w:color w:val="000000" w:themeColor="text1"/>
                      <w:lang w:bidi="zh-CN"/>
                      <w14:textFill>
                        <w14:solidFill>
                          <w14:schemeClr w14:val="tx1"/>
                        </w14:solidFill>
                      </w14:textFill>
                    </w:rPr>
                    <w:t>cm/s的黏土层的防渗性能</w:t>
                  </w:r>
                </w:p>
              </w:tc>
              <w:tc>
                <w:tcPr>
                  <w:tcW w:w="68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eastAsia="Times New Roman" w:cs="Times New Roman"/>
                      <w:color w:val="000000" w:themeColor="text1"/>
                      <w:lang w:bidi="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vAlign w:val="center"/>
                </w:tcPr>
                <w:p>
                  <w:pPr>
                    <w:pStyle w:val="41"/>
                    <w:jc w:val="center"/>
                    <w:rPr>
                      <w:rFonts w:eastAsia="Times New Roman" w:cs="Times New Roman"/>
                      <w:color w:val="000000" w:themeColor="text1"/>
                      <w:lang w:bidi="zh-CN"/>
                      <w14:textFill>
                        <w14:solidFill>
                          <w14:schemeClr w14:val="tx1"/>
                        </w14:solidFill>
                      </w14:textFill>
                    </w:rPr>
                  </w:pPr>
                </w:p>
              </w:tc>
              <w:tc>
                <w:tcPr>
                  <w:tcW w:w="673"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环境监测</w:t>
                  </w:r>
                </w:p>
              </w:tc>
              <w:tc>
                <w:tcPr>
                  <w:tcW w:w="660"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自行监测</w:t>
                  </w:r>
                </w:p>
              </w:tc>
              <w:tc>
                <w:tcPr>
                  <w:tcW w:w="253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按要求定期开展企业自行监测</w:t>
                  </w:r>
                </w:p>
              </w:tc>
              <w:tc>
                <w:tcPr>
                  <w:tcW w:w="689" w:type="pct"/>
                  <w:vAlign w:val="center"/>
                </w:tcPr>
                <w:p>
                  <w:pPr>
                    <w:pStyle w:val="41"/>
                    <w:jc w:val="center"/>
                    <w:rPr>
                      <w:rFonts w:eastAsia="Times New Roman" w:cs="Times New Roman"/>
                      <w:color w:val="000000" w:themeColor="text1"/>
                      <w:lang w:bidi="zh-CN"/>
                      <w14:textFill>
                        <w14:solidFill>
                          <w14:schemeClr w14:val="tx1"/>
                        </w14:solidFill>
                      </w14:textFill>
                    </w:rPr>
                  </w:pPr>
                  <w:r>
                    <w:rPr>
                      <w:rFonts w:eastAsia="Times New Roman" w:cs="Times New Roman"/>
                      <w:color w:val="000000" w:themeColor="text1"/>
                      <w:lang w:bidi="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11" w:type="pct"/>
                  <w:gridSpan w:val="4"/>
                  <w:vAlign w:val="center"/>
                </w:tcPr>
                <w:p>
                  <w:pPr>
                    <w:pStyle w:val="41"/>
                    <w:jc w:val="center"/>
                    <w:rPr>
                      <w:rFonts w:eastAsia="Times New Roman" w:cs="Times New Roman"/>
                      <w:color w:val="000000" w:themeColor="text1"/>
                      <w:lang w:bidi="zh-CN"/>
                      <w14:textFill>
                        <w14:solidFill>
                          <w14:schemeClr w14:val="tx1"/>
                        </w14:solidFill>
                      </w14:textFill>
                    </w:rPr>
                  </w:pPr>
                  <w:r>
                    <w:rPr>
                      <w:rFonts w:cs="Times New Roman"/>
                      <w:color w:val="000000" w:themeColor="text1"/>
                      <w:lang w:bidi="zh-CN"/>
                      <w14:textFill>
                        <w14:solidFill>
                          <w14:schemeClr w14:val="tx1"/>
                        </w14:solidFill>
                      </w14:textFill>
                    </w:rPr>
                    <w:t>合计</w:t>
                  </w:r>
                </w:p>
              </w:tc>
              <w:tc>
                <w:tcPr>
                  <w:tcW w:w="689" w:type="pct"/>
                  <w:vAlign w:val="center"/>
                </w:tcPr>
                <w:p>
                  <w:pPr>
                    <w:pStyle w:val="41"/>
                    <w:jc w:val="center"/>
                    <w:rPr>
                      <w:rFonts w:eastAsia="等线" w:cs="Times New Roman"/>
                      <w:color w:val="000000" w:themeColor="text1"/>
                      <w:lang w:bidi="zh-CN"/>
                      <w14:textFill>
                        <w14:solidFill>
                          <w14:schemeClr w14:val="tx1"/>
                        </w14:solidFill>
                      </w14:textFill>
                    </w:rPr>
                  </w:pPr>
                  <w:r>
                    <w:rPr>
                      <w:rFonts w:eastAsia="等线" w:cs="Times New Roman"/>
                      <w:color w:val="000000" w:themeColor="text1"/>
                      <w:lang w:bidi="zh-CN"/>
                      <w14:textFill>
                        <w14:solidFill>
                          <w14:schemeClr w14:val="tx1"/>
                        </w14:solidFill>
                      </w14:textFill>
                    </w:rPr>
                    <w:t>212</w:t>
                  </w:r>
                </w:p>
              </w:tc>
            </w:tr>
          </w:tbl>
          <w:p>
            <w:pPr>
              <w:pStyle w:val="39"/>
              <w:ind w:firstLine="0" w:firstLineChars="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pStyle w:val="13"/>
              <w:adjustRightInd w:val="0"/>
              <w:snapToGrid w:val="0"/>
              <w:spacing w:before="0" w:beforeAutospacing="0" w:after="0" w:afterAutospacing="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工艺流程和产排污环节</w:t>
            </w:r>
          </w:p>
        </w:tc>
        <w:tc>
          <w:tcPr>
            <w:tcW w:w="4724" w:type="pct"/>
          </w:tcPr>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1、施工期工艺流程简述</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项目建设过程分为建筑厂房施工、设备安装调试、试运营、竣工验收等。在建设期间各种施工活动会对环境造成一定的影响，其项目建设工艺流程及产污环节示意图见图2.4。</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12"/>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3999230" cy="1973580"/>
                  <wp:effectExtent l="0" t="0" r="0" b="762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19297" cy="1983645"/>
                          </a:xfrm>
                          <a:prstGeom prst="rect">
                            <a:avLst/>
                          </a:prstGeom>
                        </pic:spPr>
                      </pic:pic>
                    </a:graphicData>
                  </a:graphic>
                </wp:inline>
              </w:drawing>
            </w:r>
          </w:p>
          <w:p>
            <w:pPr>
              <w:pStyle w:val="12"/>
              <w:rPr>
                <w:color w:val="000000" w:themeColor="text1"/>
                <w14:textFill>
                  <w14:solidFill>
                    <w14:schemeClr w14:val="tx1"/>
                  </w14:solidFill>
                </w14:textFill>
              </w:rPr>
            </w:pPr>
            <w:r>
              <w:rPr>
                <w:color w:val="000000" w:themeColor="text1"/>
                <w14:textFill>
                  <w14:solidFill>
                    <w14:schemeClr w14:val="tx1"/>
                  </w14:solidFill>
                </w14:textFill>
              </w:rPr>
              <w:t>图2.4  项目施工期工艺流程</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（1）施工期废气</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本项目施工期对大气环境产生的影响主要来自施工设备废气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过程中设备和汽车产生的废气主要为燃油尾气，属于间歇性排放源，并且排放量小所以对环境影响很小。施工期主要的大气环境影响污染物为粉尘，施工粉尘的污染程度与风速、粉尘粒径、粉尘含湿量等因素有关。其中风速对粉尘的污染程度影响最大。风速增大，产生的含尘量呈正比或级数增加，粉尘污染范围也相应扩大。因此，必须通过加强管理，并采取适当防护措施来减少施工过程中的扬尘污染。</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（2）施工期废水</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施工生活污水的主要为施工人员盥洗水，项目厂区工程施工期约为2个月，由于工程施工进展的不同阶段施工现场工程量不同，施工期的不同阶段施工场地的施工人员数量有一定的不确定性，以平均每天在厂区施工场地的施工人员约10人，施工人员生活用水量按每人每天100L计，污水产出系数0.85，则厂区施工生活污水产生量约为0.85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/d，其中主要污染物为COD、石油类、SS等。若废水排入外环境，将对环境产生一定影响。针对上述施工期废水，项目施工方</w:t>
            </w:r>
            <w:r>
              <w:rPr>
                <w:rFonts w:hint="eastAsia"/>
                <w:color w:val="000000" w:themeColor="text1"/>
                <w14:textFill>
                  <w14:solidFill>
                    <w14:schemeClr w14:val="tx1"/>
                  </w14:solidFill>
                </w14:textFill>
              </w:rPr>
              <w:t>依托现有工程废水设施</w:t>
            </w:r>
            <w:r>
              <w:rPr>
                <w:color w:val="000000" w:themeColor="text1"/>
                <w14:textFill>
                  <w14:solidFill>
                    <w14:schemeClr w14:val="tx1"/>
                  </w14:solidFill>
                </w14:textFill>
              </w:rPr>
              <w:t>，将施工废水沉淀处理，回用于施工场地洒水、道路洒水、设备冲洗水等施工用水，对周边环境影响不大。</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（3）施工期噪声</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本项目建设过程中涉及的施工机械设备主要有运输车辆等。在不同施工阶段所使用的机械不同，其产生的噪声强度也不同。本项目施工作业噪声不可避免，只要施工单位做好防噪减振工作，对周围环境影响轻微。</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（4）施工期固废</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施工期的固废主要有施工人员产生的生活垃圾和各种建筑垃圾等。</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生活垃圾以人均每天产生0.35kg计算，施工人数10人，施工期为2个月，则施工期产生的生活垃圾约0.84t，集中收集后由环卫部门统一清运。</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项目场地已经平整，则项目产生施工期固体废物为建筑垃圾为废弃钢材，产量较少，统一收集后外售综合利用。</w:t>
            </w:r>
          </w:p>
          <w:p>
            <w:pPr>
              <w:pStyle w:val="42"/>
              <w:rPr>
                <w:color w:val="000000" w:themeColor="text1"/>
                <w14:textFill>
                  <w14:solidFill>
                    <w14:schemeClr w14:val="tx1"/>
                  </w14:solidFill>
                </w14:textFill>
              </w:rPr>
            </w:pPr>
            <w:r>
              <w:rPr>
                <w:color w:val="000000" w:themeColor="text1"/>
                <w14:textFill>
                  <w14:solidFill>
                    <w14:schemeClr w14:val="tx1"/>
                  </w14:solidFill>
                </w14:textFill>
              </w:rPr>
              <w:t>2、运营期工艺流程</w:t>
            </w:r>
          </w:p>
          <w:p>
            <w:pPr>
              <w:pStyle w:val="12"/>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374.55pt;width:420.25pt;" o:ole="t" filled="f" o:preferrelative="t" stroked="f" coordsize="21600,21600">
                  <v:path/>
                  <v:fill on="f" focussize="0,0"/>
                  <v:stroke on="f" joinstyle="miter"/>
                  <v:imagedata r:id="rId12" o:title=""/>
                  <o:lock v:ext="edit" aspectratio="f"/>
                  <w10:wrap type="none"/>
                  <w10:anchorlock/>
                </v:shape>
                <o:OLEObject Type="Embed" ProgID="Visio.Drawing.15" ShapeID="_x0000_i1026" DrawAspect="Content" ObjectID="_1468075726" r:id="rId11">
                  <o:LockedField>false</o:LockedField>
                </o:OLEObject>
              </w:object>
            </w:r>
          </w:p>
          <w:p>
            <w:pPr>
              <w:pStyle w:val="12"/>
              <w:spacing w:line="360" w:lineRule="auto"/>
              <w:rPr>
                <w:color w:val="000000" w:themeColor="text1"/>
                <w14:textFill>
                  <w14:solidFill>
                    <w14:schemeClr w14:val="tx1"/>
                  </w14:solidFill>
                </w14:textFill>
              </w:rPr>
            </w:pPr>
            <w:r>
              <w:rPr>
                <w:color w:val="000000" w:themeColor="text1"/>
                <w14:textFill>
                  <w14:solidFill>
                    <w14:schemeClr w14:val="tx1"/>
                  </w14:solidFill>
                </w14:textFill>
              </w:rPr>
              <w:t>图2.5  生产工艺流程及产污环节图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生产原料主要为碎石、砂、水泥、粉煤灰、外加剂和水。本项目所有生产工序为物理过程，系统流程分为 4 个阶段：原料准备、配料、投料、搅拌和卸料。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（1）原料准备</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用水由市政管网提供，其他原辅材料（砂石、水泥、粉煤灰及外加剂）均为按需外购，由车辆运送至厂区暂存，其中外加剂为罐装液体，储存于拌合站筒仓内；砂、石料由普通货车运输至砂石料筛分车间进行筛分，筛分后运输至全封闭原料车间，分类暂存于原料车间内；水泥、粉煤灰为粉料，由全密闭罐车运输至厂区，粉料通过全密闭管道由罐车内部负压输送至粉料筒仓暂存。同时本项目贮存筒仓顶端均设置仓顶除尘器，以收集排出的粉尘。</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（2）配料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由电脑控制，按照不同型号混凝土的原料配比，对原材料进行正确称量。技术人员在计算机的帮助下，各种型号的混凝土在生产之前必须在实验室里反复实验，已达到各种原辅料之间的最佳配比，进而按先进、合理、经济的配方进行配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（3）投料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砂、石存放于砂石堆场，生产时皮带机转运，计量后直接进入搅拌机，水泥、粉煤灰由螺旋机输送至相应的原料仓中，经计量后单独加入搅拌机中，液态外加剂由计量系统抽入搅拌机；水由清水称量系统抽入供给，所有原辅料称量后一起送至搅拌机内。</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（4）搅拌、卸料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投入搅拌机中的原料经过充分的搅拌，使水泥和砂子、石子的亲和力达到最大。搅拌到程序设定时间，主机自动开门卸料。整个生产过程由计算机控制，生产出的混凝土由搅拌车运送到各个施工现场，泵车将混凝土泵送到工程的具体部位。</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运营期工艺产排污节点</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835"/>
              <w:gridCol w:w="709"/>
              <w:gridCol w:w="1984"/>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2835"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污染物名称</w:t>
                  </w:r>
                </w:p>
              </w:tc>
              <w:tc>
                <w:tcPr>
                  <w:tcW w:w="709"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984"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产污工序</w:t>
                  </w:r>
                </w:p>
              </w:tc>
              <w:tc>
                <w:tcPr>
                  <w:tcW w:w="2145"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水泥筒仓顶部呼吸孔粉尘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1</w:t>
                  </w:r>
                </w:p>
              </w:tc>
              <w:tc>
                <w:tcPr>
                  <w:tcW w:w="1984" w:type="dxa"/>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水泥、粉煤灰、矿粉筒仓</w:t>
                  </w:r>
                </w:p>
              </w:tc>
              <w:tc>
                <w:tcPr>
                  <w:tcW w:w="2145" w:type="dxa"/>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粉煤灰筒仓顶部呼吸孔粉尘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2</w:t>
                  </w:r>
                </w:p>
              </w:tc>
              <w:tc>
                <w:tcPr>
                  <w:tcW w:w="1984" w:type="dxa"/>
                  <w:vMerge w:val="continue"/>
                  <w:vAlign w:val="center"/>
                </w:tcPr>
                <w:p>
                  <w:pPr>
                    <w:pStyle w:val="41"/>
                    <w:jc w:val="center"/>
                    <w:rPr>
                      <w:color w:val="000000" w:themeColor="text1"/>
                      <w14:textFill>
                        <w14:solidFill>
                          <w14:schemeClr w14:val="tx1"/>
                        </w14:solidFill>
                      </w14:textFill>
                    </w:rPr>
                  </w:pPr>
                </w:p>
              </w:tc>
              <w:tc>
                <w:tcPr>
                  <w:tcW w:w="2145" w:type="dxa"/>
                  <w:vMerge w:val="continue"/>
                  <w:vAlign w:val="center"/>
                </w:tcPr>
                <w:p>
                  <w:pPr>
                    <w:pStyle w:val="41"/>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矿粉筒仓顶部呼吸孔粉尘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3</w:t>
                  </w:r>
                </w:p>
              </w:tc>
              <w:tc>
                <w:tcPr>
                  <w:tcW w:w="1984" w:type="dxa"/>
                  <w:vMerge w:val="continue"/>
                  <w:vAlign w:val="center"/>
                </w:tcPr>
                <w:p>
                  <w:pPr>
                    <w:pStyle w:val="41"/>
                    <w:jc w:val="center"/>
                    <w:rPr>
                      <w:color w:val="000000" w:themeColor="text1"/>
                      <w14:textFill>
                        <w14:solidFill>
                          <w14:schemeClr w14:val="tx1"/>
                        </w14:solidFill>
                      </w14:textFill>
                    </w:rPr>
                  </w:pPr>
                </w:p>
              </w:tc>
              <w:tc>
                <w:tcPr>
                  <w:tcW w:w="2145" w:type="dxa"/>
                  <w:vMerge w:val="continue"/>
                  <w:vAlign w:val="center"/>
                </w:tcPr>
                <w:p>
                  <w:pPr>
                    <w:pStyle w:val="41"/>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商品混凝土搅拌工序粉尘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4</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混凝土搅拌机搅拌</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砂石料装卸粉尘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5</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砂石料装卸</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上料、计量、投料过程</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6</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上料、计量、投料</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砂石料破碎筛分粉尘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7</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砂石料筛分</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食堂油烟</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8</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油烟</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36" w:type="dxa"/>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搅拌机清洗废水</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1</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搅拌机清洗</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车辆清洗废水</w:t>
                  </w:r>
                </w:p>
              </w:tc>
              <w:tc>
                <w:tcPr>
                  <w:tcW w:w="709" w:type="dxa"/>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2</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车辆清洗</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3</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、N</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各生产设备运行</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除尘器收尘</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1</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水泥、粉煤灰、矿粉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沉淀池沉渣</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2</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生产废水沉淀</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石料、泥沙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预混废料</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3</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预混实验</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pPr>
                    <w:pStyle w:val="41"/>
                    <w:jc w:val="center"/>
                    <w:rPr>
                      <w:color w:val="000000" w:themeColor="text1"/>
                      <w14:textFill>
                        <w14:solidFill>
                          <w14:schemeClr w14:val="tx1"/>
                        </w14:solidFill>
                      </w14:textFill>
                    </w:rPr>
                  </w:pPr>
                </w:p>
              </w:tc>
              <w:tc>
                <w:tcPr>
                  <w:tcW w:w="283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709"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4</w:t>
                  </w:r>
                </w:p>
              </w:tc>
              <w:tc>
                <w:tcPr>
                  <w:tcW w:w="19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员工生活</w:t>
                  </w:r>
                </w:p>
              </w:tc>
              <w:tc>
                <w:tcPr>
                  <w:tcW w:w="214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（5）物料平衡</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项目物料平衡见下表所示。</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项目物料平衡表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276"/>
              <w:gridCol w:w="1276"/>
              <w:gridCol w:w="2268"/>
              <w:gridCol w:w="1417"/>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9" w:type="dxa"/>
                  <w:gridSpan w:val="3"/>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投入</w:t>
                  </w:r>
                </w:p>
              </w:tc>
              <w:tc>
                <w:tcPr>
                  <w:tcW w:w="4700" w:type="dxa"/>
                  <w:gridSpan w:val="3"/>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276"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输入量</w:t>
                  </w:r>
                </w:p>
              </w:tc>
              <w:tc>
                <w:tcPr>
                  <w:tcW w:w="1276"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2268"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417"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产出量</w:t>
                  </w:r>
                </w:p>
              </w:tc>
              <w:tc>
                <w:tcPr>
                  <w:tcW w:w="1015"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砂子</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100000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产品：混凝土</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36000</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石子</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.5873</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30000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除尘器收集尘</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5.5087</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粉煤灰</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沉淀泥沙</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.06</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矿粉</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4900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预混废料</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731.3</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外加剂</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损耗水</w:t>
                  </w:r>
                </w:p>
              </w:tc>
              <w:tc>
                <w:tcPr>
                  <w:tcW w:w="141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1684.3</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4430.8</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p>
              </w:tc>
              <w:tc>
                <w:tcPr>
                  <w:tcW w:w="1417" w:type="dxa"/>
                  <w:vAlign w:val="center"/>
                </w:tcPr>
                <w:p>
                  <w:pPr>
                    <w:pStyle w:val="41"/>
                    <w:jc w:val="center"/>
                    <w:rPr>
                      <w:color w:val="000000" w:themeColor="text1"/>
                      <w14:textFill>
                        <w14:solidFill>
                          <w14:schemeClr w14:val="tx1"/>
                        </w14:solidFill>
                      </w14:textFill>
                    </w:rPr>
                  </w:pPr>
                </w:p>
              </w:tc>
              <w:tc>
                <w:tcPr>
                  <w:tcW w:w="1015" w:type="dxa"/>
                  <w:vAlign w:val="center"/>
                </w:tcPr>
                <w:p>
                  <w:pPr>
                    <w:pStyle w:val="41"/>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76" w:type="dxa"/>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259510.8</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268"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17" w:type="dxa"/>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259510.8</w:t>
                  </w:r>
                </w:p>
              </w:tc>
              <w:tc>
                <w:tcPr>
                  <w:tcW w:w="101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r>
          </w:tbl>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color w:val="000000" w:themeColor="text1"/>
                <w:kern w:val="2"/>
                <w:sz w:val="21"/>
                <w:szCs w:val="21"/>
                <w14:textFill>
                  <w14:solidFill>
                    <w14:schemeClr w14:val="tx1"/>
                  </w14:solidFill>
                </w14:textFill>
              </w:rPr>
              <w:t>与项目有关的原有环境污染问题</w:t>
            </w:r>
          </w:p>
        </w:tc>
        <w:tc>
          <w:tcPr>
            <w:tcW w:w="4724" w:type="pct"/>
          </w:tcPr>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本项目为新建项目，原厂址为空地，不存在原有环境污染问题。</w:t>
            </w:r>
          </w:p>
        </w:tc>
      </w:tr>
    </w:tbl>
    <w:p>
      <w:pPr>
        <w:pStyle w:val="13"/>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418" w:right="1418" w:bottom="1418" w:left="1418" w:header="851" w:footer="851" w:gutter="0"/>
          <w:cols w:space="720" w:num="1"/>
          <w:docGrid w:linePitch="312" w:charSpace="0"/>
        </w:sectPr>
      </w:pPr>
    </w:p>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8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区域环境质量现状</w:t>
            </w:r>
          </w:p>
        </w:tc>
        <w:tc>
          <w:tcPr>
            <w:tcW w:w="4724" w:type="pct"/>
            <w:vAlign w:val="center"/>
          </w:tcPr>
          <w:p>
            <w:pPr>
              <w:pStyle w:val="42"/>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、环境空气质量现状监测与评价</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项目所在区域达标判定</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中6.2.1.1规定“项目所在区域达标判定，优先采用国家或地方生态环境主管部门公开发布的评价基准年环境，质量公告或环境质量报告中的数据或结论”以及6.2.1.3规定“评价范围内没有环境空气质量监测网数据或公开发布的环境空气质量现状数据的，可选择符合HJ664规定，并且与评价范围地理位置邻近，地形、气候条件相近的环境空气质量城市点或区域点监测数据”。</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本项目所在行政区划属于</w:t>
            </w:r>
            <w:r>
              <w:rPr>
                <w:rFonts w:hint="eastAsia"/>
                <w:color w:val="000000" w:themeColor="text1"/>
                <w14:textFill>
                  <w14:solidFill>
                    <w14:schemeClr w14:val="tx1"/>
                  </w14:solidFill>
                </w14:textFill>
              </w:rPr>
              <w:t>固原市原州</w:t>
            </w:r>
            <w:r>
              <w:rPr>
                <w:color w:val="000000" w:themeColor="text1"/>
                <w14:textFill>
                  <w14:solidFill>
                    <w14:schemeClr w14:val="tx1"/>
                  </w14:solidFill>
                </w14:textFill>
              </w:rPr>
              <w:t>区，因此本次评价采用</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市环境空气质量数据进行分析。</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市2021年PM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年均浓度，CO相应百分位数24h平均质量浓度，O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相应百分位数8h平均质量浓度均引用《2021年宁夏生态环境质量状况报告》（PM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为剔除沙尘天气后）中公布数据。2021年</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市区域环境空气质量评价见下表3.1。</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表3.1  2021年</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市区域环境空气质量现状评价表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448"/>
              <w:gridCol w:w="1241"/>
              <w:gridCol w:w="1241"/>
              <w:gridCol w:w="982"/>
              <w:gridCol w:w="750"/>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1430"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年评价指标</w:t>
                  </w:r>
                </w:p>
              </w:tc>
              <w:tc>
                <w:tcPr>
                  <w:tcW w:w="725"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标准值/（µg/m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725"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现状浓度/（µg/m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574"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占标率/%</w:t>
                  </w:r>
                </w:p>
              </w:tc>
              <w:tc>
                <w:tcPr>
                  <w:tcW w:w="438"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超标</w:t>
                  </w:r>
                </w:p>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倍数</w:t>
                  </w:r>
                </w:p>
              </w:tc>
              <w:tc>
                <w:tcPr>
                  <w:tcW w:w="554"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达标</w:t>
                  </w:r>
                </w:p>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p>
              </w:tc>
              <w:tc>
                <w:tcPr>
                  <w:tcW w:w="143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年平均</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60</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w:t>
                  </w:r>
                </w:p>
              </w:tc>
              <w:tc>
                <w:tcPr>
                  <w:tcW w:w="57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8.33</w:t>
                  </w:r>
                </w:p>
              </w:tc>
              <w:tc>
                <w:tcPr>
                  <w:tcW w:w="438"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2</w:t>
                  </w:r>
                </w:p>
              </w:tc>
              <w:tc>
                <w:tcPr>
                  <w:tcW w:w="143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年平均</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40</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21</w:t>
                  </w:r>
                </w:p>
              </w:tc>
              <w:tc>
                <w:tcPr>
                  <w:tcW w:w="57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52.50</w:t>
                  </w:r>
                </w:p>
              </w:tc>
              <w:tc>
                <w:tcPr>
                  <w:tcW w:w="438"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10</w:t>
                  </w:r>
                </w:p>
              </w:tc>
              <w:tc>
                <w:tcPr>
                  <w:tcW w:w="143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年平均</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70</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45</w:t>
                  </w:r>
                </w:p>
              </w:tc>
              <w:tc>
                <w:tcPr>
                  <w:tcW w:w="57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64.28</w:t>
                  </w:r>
                </w:p>
              </w:tc>
              <w:tc>
                <w:tcPr>
                  <w:tcW w:w="438"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2.5</w:t>
                  </w:r>
                </w:p>
              </w:tc>
              <w:tc>
                <w:tcPr>
                  <w:tcW w:w="143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年平均</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35</w:t>
                  </w:r>
                </w:p>
              </w:tc>
              <w:tc>
                <w:tcPr>
                  <w:tcW w:w="725"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20</w:t>
                  </w:r>
                </w:p>
              </w:tc>
              <w:tc>
                <w:tcPr>
                  <w:tcW w:w="57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57.14</w:t>
                  </w:r>
                </w:p>
              </w:tc>
              <w:tc>
                <w:tcPr>
                  <w:tcW w:w="438"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w:t>
                  </w:r>
                </w:p>
              </w:tc>
              <w:tc>
                <w:tcPr>
                  <w:tcW w:w="143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24h平均第95百分位数</w:t>
                  </w:r>
                </w:p>
              </w:tc>
              <w:tc>
                <w:tcPr>
                  <w:tcW w:w="725"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725"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57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25.00</w:t>
                  </w:r>
                </w:p>
              </w:tc>
              <w:tc>
                <w:tcPr>
                  <w:tcW w:w="43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p>
              </w:tc>
              <w:tc>
                <w:tcPr>
                  <w:tcW w:w="143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日最大8h滑动平均值的第90百分位数</w:t>
                  </w:r>
                </w:p>
              </w:tc>
              <w:tc>
                <w:tcPr>
                  <w:tcW w:w="725"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160</w:t>
                  </w:r>
                </w:p>
              </w:tc>
              <w:tc>
                <w:tcPr>
                  <w:tcW w:w="725"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133</w:t>
                  </w:r>
                </w:p>
              </w:tc>
              <w:tc>
                <w:tcPr>
                  <w:tcW w:w="57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83.12</w:t>
                  </w:r>
                </w:p>
              </w:tc>
              <w:tc>
                <w:tcPr>
                  <w:tcW w:w="43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54"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5000" w:type="pct"/>
                  <w:gridSpan w:val="7"/>
                  <w:vAlign w:val="center"/>
                </w:tcPr>
                <w:p>
                  <w:pPr>
                    <w:pStyle w:val="4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注：1、CO现状浓度和标准值单位均为mg/m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pStyle w:val="4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2、现状浓度中PM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2.5</w:t>
                  </w:r>
                  <w:r>
                    <w:rPr>
                      <w:rFonts w:cs="Times New Roman"/>
                      <w:color w:val="000000" w:themeColor="text1"/>
                      <w14:textFill>
                        <w14:solidFill>
                          <w14:schemeClr w14:val="tx1"/>
                        </w14:solidFill>
                      </w14:textFill>
                    </w:rPr>
                    <w:t>为剔除沙尘天气后的数值。</w:t>
                  </w:r>
                </w:p>
                <w:p>
                  <w:pPr>
                    <w:pStyle w:val="4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3、《2021年宁夏生态环境质量状况报告》中未公布SO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2.5</w:t>
                  </w:r>
                  <w:r>
                    <w:rPr>
                      <w:rFonts w:cs="Times New Roman"/>
                      <w:color w:val="000000" w:themeColor="text1"/>
                      <w14:textFill>
                        <w14:solidFill>
                          <w14:schemeClr w14:val="tx1"/>
                        </w14:solidFill>
                      </w14:textFill>
                    </w:rPr>
                    <w:t>相应百分位数24h平均浓度，故未评价上述污染物相应百分位数24h平均浓度达标情况。</w:t>
                  </w:r>
                </w:p>
              </w:tc>
            </w:tr>
          </w:tbl>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根据表3.1可知，</w:t>
            </w:r>
            <w:r>
              <w:rPr>
                <w:rFonts w:hint="eastAsia"/>
                <w:color w:val="000000" w:themeColor="text1"/>
                <w14:textFill>
                  <w14:solidFill>
                    <w14:schemeClr w14:val="tx1"/>
                  </w14:solidFill>
                </w14:textFill>
              </w:rPr>
              <w:t>固原市</w:t>
            </w:r>
            <w:r>
              <w:rPr>
                <w:color w:val="000000" w:themeColor="text1"/>
                <w14:textFill>
                  <w14:solidFill>
                    <w14:schemeClr w14:val="tx1"/>
                  </w14:solidFill>
                </w14:textFill>
              </w:rPr>
              <w:t>2021年PM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、CO的年均浓度和O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日最大8h滑动平均值的第90百分位数浓度值均满足《环境空气质量标准》（GB3095-2012）中二级标准要求。综上所述，2021年</w:t>
            </w:r>
            <w:r>
              <w:rPr>
                <w:rFonts w:hint="eastAsia"/>
                <w:color w:val="000000" w:themeColor="text1"/>
                <w14:textFill>
                  <w14:solidFill>
                    <w14:schemeClr w14:val="tx1"/>
                  </w14:solidFill>
                </w14:textFill>
              </w:rPr>
              <w:t>固原</w:t>
            </w:r>
            <w:r>
              <w:rPr>
                <w:color w:val="000000" w:themeColor="text1"/>
                <w14:textFill>
                  <w14:solidFill>
                    <w14:schemeClr w14:val="tx1"/>
                  </w14:solidFill>
                </w14:textFill>
              </w:rPr>
              <w:t>市属于《环境影响评价技术导则 大气环境》（HJ2.2-2018）中规定的达标区。</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其他污染物环境质量现状</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本次评价委托宁夏中环国安咨询有限公司于202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日~202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日对本项目环境质量现状进行监测。</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根据《宁夏恒强建材有限公司年产10万立方米商品混凝土建设项目检验检测报告》（中环（检）字[2022]第8</w:t>
            </w:r>
            <w:r>
              <w:rPr>
                <w:color w:val="000000" w:themeColor="text1"/>
                <w14:textFill>
                  <w14:solidFill>
                    <w14:schemeClr w14:val="tx1"/>
                  </w14:solidFill>
                </w14:textFill>
              </w:rPr>
              <w:t>83</w:t>
            </w:r>
            <w:r>
              <w:rPr>
                <w:rFonts w:hint="eastAsia"/>
                <w:color w:val="000000" w:themeColor="text1"/>
                <w14:textFill>
                  <w14:solidFill>
                    <w14:schemeClr w14:val="tx1"/>
                  </w14:solidFill>
                </w14:textFill>
              </w:rPr>
              <w:t>号）中监测数据，监测点位见图</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监测点布设情况见表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环境空气质量监测布点</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2619"/>
              <w:gridCol w:w="2975"/>
              <w:gridCol w:w="2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编号</w:t>
                  </w:r>
                </w:p>
              </w:tc>
              <w:tc>
                <w:tcPr>
                  <w:tcW w:w="153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监测点位名称</w:t>
                  </w:r>
                </w:p>
              </w:tc>
              <w:tc>
                <w:tcPr>
                  <w:tcW w:w="1738"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与本项目厂址相对位置关系</w:t>
                  </w:r>
                </w:p>
              </w:tc>
              <w:tc>
                <w:tcPr>
                  <w:tcW w:w="125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G1</w:t>
                  </w:r>
                </w:p>
              </w:tc>
              <w:tc>
                <w:tcPr>
                  <w:tcW w:w="153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厂界内北侧</w:t>
                  </w:r>
                </w:p>
              </w:tc>
              <w:tc>
                <w:tcPr>
                  <w:tcW w:w="173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5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TSP </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（2）监测时间及频次</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监测时间：202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日~202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日，连续监测3天。监测频次详见下表。</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监测频次一览表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020"/>
              <w:gridCol w:w="4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118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取值时间</w:t>
                  </w:r>
                </w:p>
              </w:tc>
              <w:tc>
                <w:tcPr>
                  <w:tcW w:w="2794"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频次要求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vAlign w:val="center"/>
                </w:tcPr>
                <w:p>
                  <w:pPr>
                    <w:pStyle w:val="41"/>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TSP</w:t>
                  </w:r>
                </w:p>
              </w:tc>
              <w:tc>
                <w:tcPr>
                  <w:tcW w:w="1180" w:type="pct"/>
                  <w:vAlign w:val="center"/>
                </w:tcPr>
                <w:p>
                  <w:pPr>
                    <w:pStyle w:val="41"/>
                    <w:jc w:val="center"/>
                    <w:rPr>
                      <w:color w:val="000000" w:themeColor="text1"/>
                      <w14:textFill>
                        <w14:solidFill>
                          <w14:schemeClr w14:val="tx1"/>
                        </w14:solidFill>
                      </w14:textFill>
                    </w:rPr>
                  </w:pPr>
                  <w:r>
                    <w:rPr>
                      <w:rFonts w:eastAsia="黑体"/>
                      <w:color w:val="000000" w:themeColor="text1"/>
                      <w14:textFill>
                        <w14:solidFill>
                          <w14:schemeClr w14:val="tx1"/>
                        </w14:solidFill>
                      </w14:textFill>
                    </w:rPr>
                    <w:t>24</w:t>
                  </w:r>
                  <w:r>
                    <w:rPr>
                      <w:rFonts w:hint="eastAsia"/>
                      <w:color w:val="000000" w:themeColor="text1"/>
                      <w14:textFill>
                        <w14:solidFill>
                          <w14:schemeClr w14:val="tx1"/>
                        </w14:solidFill>
                      </w14:textFill>
                    </w:rPr>
                    <w:t>小时均值</w:t>
                  </w:r>
                </w:p>
              </w:tc>
              <w:tc>
                <w:tcPr>
                  <w:tcW w:w="2794"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日均值连续监测，每日至少</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小时采样时间</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（3）同步气象观测资料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气象观测资料见表3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监测期间气象参数</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208"/>
              <w:gridCol w:w="1210"/>
              <w:gridCol w:w="1378"/>
              <w:gridCol w:w="1037"/>
              <w:gridCol w:w="1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8"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日期</w:t>
                  </w:r>
                </w:p>
              </w:tc>
              <w:tc>
                <w:tcPr>
                  <w:tcW w:w="1290"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时间</w:t>
                  </w:r>
                </w:p>
              </w:tc>
              <w:tc>
                <w:tcPr>
                  <w:tcW w:w="707"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温度（℃）</w:t>
                  </w:r>
                </w:p>
              </w:tc>
              <w:tc>
                <w:tcPr>
                  <w:tcW w:w="805"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气压（kPa）</w:t>
                  </w:r>
                </w:p>
              </w:tc>
              <w:tc>
                <w:tcPr>
                  <w:tcW w:w="606"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风向</w:t>
                  </w:r>
                </w:p>
              </w:tc>
              <w:tc>
                <w:tcPr>
                  <w:tcW w:w="734"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风速（m/s）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2022.12.</w:t>
                  </w:r>
                  <w:r>
                    <w:rPr>
                      <w:color w:val="000000" w:themeColor="text1"/>
                      <w14:textFill>
                        <w14:solidFill>
                          <w14:schemeClr w14:val="tx1"/>
                        </w14:solidFill>
                      </w14:textFill>
                    </w:rPr>
                    <w:t>10</w:t>
                  </w:r>
                </w:p>
              </w:tc>
              <w:tc>
                <w:tcPr>
                  <w:tcW w:w="12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10:00-次日10:00</w:t>
                  </w:r>
                </w:p>
              </w:tc>
              <w:tc>
                <w:tcPr>
                  <w:tcW w:w="707"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05"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82.15</w:t>
                  </w:r>
                </w:p>
              </w:tc>
              <w:tc>
                <w:tcPr>
                  <w:tcW w:w="606"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N</w:t>
                  </w:r>
                </w:p>
              </w:tc>
              <w:tc>
                <w:tcPr>
                  <w:tcW w:w="734"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2022.12.</w:t>
                  </w:r>
                  <w:r>
                    <w:rPr>
                      <w:color w:val="000000" w:themeColor="text1"/>
                      <w14:textFill>
                        <w14:solidFill>
                          <w14:schemeClr w14:val="tx1"/>
                        </w14:solidFill>
                      </w14:textFill>
                    </w:rPr>
                    <w:t>11</w:t>
                  </w:r>
                </w:p>
              </w:tc>
              <w:tc>
                <w:tcPr>
                  <w:tcW w:w="12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10:10-次日10:10</w:t>
                  </w:r>
                </w:p>
              </w:tc>
              <w:tc>
                <w:tcPr>
                  <w:tcW w:w="707"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805"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82.19</w:t>
                  </w:r>
                </w:p>
              </w:tc>
              <w:tc>
                <w:tcPr>
                  <w:tcW w:w="606"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NW</w:t>
                  </w:r>
                </w:p>
              </w:tc>
              <w:tc>
                <w:tcPr>
                  <w:tcW w:w="734"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2022.12.</w:t>
                  </w:r>
                  <w:r>
                    <w:rPr>
                      <w:color w:val="000000" w:themeColor="text1"/>
                      <w14:textFill>
                        <w14:solidFill>
                          <w14:schemeClr w14:val="tx1"/>
                        </w14:solidFill>
                      </w14:textFill>
                    </w:rPr>
                    <w:t>12</w:t>
                  </w:r>
                </w:p>
              </w:tc>
              <w:tc>
                <w:tcPr>
                  <w:tcW w:w="129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10:20-次日10:20</w:t>
                  </w:r>
                </w:p>
              </w:tc>
              <w:tc>
                <w:tcPr>
                  <w:tcW w:w="707"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-9.4</w:t>
                  </w:r>
                </w:p>
              </w:tc>
              <w:tc>
                <w:tcPr>
                  <w:tcW w:w="805"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82.19</w:t>
                  </w:r>
                </w:p>
              </w:tc>
              <w:tc>
                <w:tcPr>
                  <w:tcW w:w="606"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N</w:t>
                  </w:r>
                </w:p>
              </w:tc>
              <w:tc>
                <w:tcPr>
                  <w:tcW w:w="734"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2.0</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（4）监测结果</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环境空气质量现状监测结果统计分析见表3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p>
          <w:p>
            <w:pPr>
              <w:pStyle w:val="12"/>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环境空气质量现状监测结果统计分析表 单位：ug/m</w:t>
            </w:r>
            <w:r>
              <w:rPr>
                <w:rFonts w:hint="eastAsia"/>
                <w:color w:val="000000" w:themeColor="text1"/>
                <w:vertAlign w:val="superscript"/>
                <w14:textFill>
                  <w14:solidFill>
                    <w14:schemeClr w14:val="tx1"/>
                  </w14:solidFill>
                </w14:textFill>
              </w:rPr>
              <w:t>3</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26"/>
              <w:gridCol w:w="1426"/>
              <w:gridCol w:w="1427"/>
              <w:gridCol w:w="1427"/>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3" w:type="pct"/>
                  <w:vMerge w:val="restar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2500" w:type="pct"/>
                  <w:gridSpan w:val="3"/>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监测时间</w:t>
                  </w:r>
                </w:p>
              </w:tc>
              <w:tc>
                <w:tcPr>
                  <w:tcW w:w="834" w:type="pct"/>
                  <w:vMerge w:val="restar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标准值</w:t>
                  </w:r>
                </w:p>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ug/m</w:t>
                  </w:r>
                  <w:r>
                    <w:rPr>
                      <w:rFonts w:hint="eastAsia"/>
                      <w:b/>
                      <w:bCs/>
                      <w:color w:val="000000" w:themeColor="text1"/>
                      <w:vertAlign w:val="superscript"/>
                      <w14:textFill>
                        <w14:solidFill>
                          <w14:schemeClr w14:val="tx1"/>
                        </w14:solidFill>
                      </w14:textFill>
                    </w:rPr>
                    <w:t>3</w:t>
                  </w:r>
                </w:p>
              </w:tc>
              <w:tc>
                <w:tcPr>
                  <w:tcW w:w="833" w:type="pct"/>
                  <w:vMerge w:val="restar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3" w:type="pct"/>
                  <w:vMerge w:val="continue"/>
                  <w:vAlign w:val="center"/>
                </w:tcPr>
                <w:p>
                  <w:pPr>
                    <w:pStyle w:val="41"/>
                    <w:jc w:val="center"/>
                    <w:rPr>
                      <w:color w:val="000000" w:themeColor="text1"/>
                      <w14:textFill>
                        <w14:solidFill>
                          <w14:schemeClr w14:val="tx1"/>
                        </w14:solidFill>
                      </w14:textFill>
                    </w:rPr>
                  </w:pPr>
                </w:p>
              </w:tc>
              <w:tc>
                <w:tcPr>
                  <w:tcW w:w="833"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2.10</w:t>
                  </w:r>
                </w:p>
              </w:tc>
              <w:tc>
                <w:tcPr>
                  <w:tcW w:w="833"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2.11</w:t>
                  </w:r>
                </w:p>
              </w:tc>
              <w:tc>
                <w:tcPr>
                  <w:tcW w:w="834"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2.12</w:t>
                  </w:r>
                </w:p>
              </w:tc>
              <w:tc>
                <w:tcPr>
                  <w:tcW w:w="834" w:type="pct"/>
                  <w:vMerge w:val="continue"/>
                  <w:vAlign w:val="center"/>
                </w:tcPr>
                <w:p>
                  <w:pPr>
                    <w:pStyle w:val="41"/>
                    <w:jc w:val="center"/>
                    <w:rPr>
                      <w:color w:val="000000" w:themeColor="text1"/>
                      <w14:textFill>
                        <w14:solidFill>
                          <w14:schemeClr w14:val="tx1"/>
                        </w14:solidFill>
                      </w14:textFill>
                    </w:rPr>
                  </w:pPr>
                </w:p>
              </w:tc>
              <w:tc>
                <w:tcPr>
                  <w:tcW w:w="833" w:type="pct"/>
                  <w:vMerge w:val="continue"/>
                  <w:vAlign w:val="center"/>
                </w:tcPr>
                <w:p>
                  <w:pPr>
                    <w:pStyle w:val="41"/>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SP</w:t>
                  </w:r>
                </w:p>
              </w:tc>
              <w:tc>
                <w:tcPr>
                  <w:tcW w:w="833"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216</w:t>
                  </w:r>
                </w:p>
              </w:tc>
              <w:tc>
                <w:tcPr>
                  <w:tcW w:w="833"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219</w:t>
                  </w:r>
                </w:p>
              </w:tc>
              <w:tc>
                <w:tcPr>
                  <w:tcW w:w="834"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226</w:t>
                  </w:r>
                </w:p>
              </w:tc>
              <w:tc>
                <w:tcPr>
                  <w:tcW w:w="834"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w:t>
                  </w:r>
                </w:p>
              </w:tc>
              <w:tc>
                <w:tcPr>
                  <w:tcW w:w="833"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根据监测结果可知，TSP 24h平均浓度范围2</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ug/m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，满足《环境空气质量标准》（GB3095-2012）二级标准。</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1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48910" cy="34582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53640" cy="3461850"/>
                          </a:xfrm>
                          <a:prstGeom prst="rect">
                            <a:avLst/>
                          </a:prstGeom>
                          <a:noFill/>
                        </pic:spPr>
                      </pic:pic>
                    </a:graphicData>
                  </a:graphic>
                </wp:inline>
              </w:drawing>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现状监测点位布置图</w:t>
            </w:r>
          </w:p>
          <w:p>
            <w:pPr>
              <w:pStyle w:val="42"/>
              <w:rPr>
                <w:color w:val="000000" w:themeColor="text1"/>
                <w14:textFill>
                  <w14:solidFill>
                    <w14:schemeClr w14:val="tx1"/>
                  </w14:solidFill>
                </w14:textFill>
              </w:rPr>
            </w:pPr>
            <w:r>
              <w:rPr>
                <w:color w:val="000000" w:themeColor="text1"/>
                <w14:textFill>
                  <w14:solidFill>
                    <w14:schemeClr w14:val="tx1"/>
                  </w14:solidFill>
                </w14:textFill>
              </w:rPr>
              <w:t>2、地表水环境质量现状监测</w:t>
            </w:r>
          </w:p>
          <w:p>
            <w:pPr>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Style w:val="45"/>
                <w:color w:val="000000" w:themeColor="text1"/>
                <w14:textFill>
                  <w14:solidFill>
                    <w14:schemeClr w14:val="tx1"/>
                  </w14:solidFill>
                </w14:textFill>
              </w:rPr>
              <w:t>距离本项目的最近的地表水体为项目</w:t>
            </w:r>
            <w:r>
              <w:rPr>
                <w:rStyle w:val="45"/>
                <w:rFonts w:hint="eastAsia"/>
                <w:color w:val="000000" w:themeColor="text1"/>
                <w14:textFill>
                  <w14:solidFill>
                    <w14:schemeClr w14:val="tx1"/>
                  </w14:solidFill>
                </w14:textFill>
              </w:rPr>
              <w:t>西</w:t>
            </w:r>
            <w:r>
              <w:rPr>
                <w:rStyle w:val="45"/>
                <w:color w:val="000000" w:themeColor="text1"/>
                <w14:textFill>
                  <w14:solidFill>
                    <w14:schemeClr w14:val="tx1"/>
                  </w14:solidFill>
                </w14:textFill>
              </w:rPr>
              <w:t>侧3.4km处的</w:t>
            </w:r>
            <w:r>
              <w:rPr>
                <w:rStyle w:val="45"/>
                <w:rFonts w:hint="eastAsia"/>
                <w:color w:val="000000" w:themeColor="text1"/>
                <w14:textFill>
                  <w14:solidFill>
                    <w14:schemeClr w14:val="tx1"/>
                  </w14:solidFill>
                </w14:textFill>
              </w:rPr>
              <w:t>冬至</w:t>
            </w:r>
            <w:r>
              <w:rPr>
                <w:rStyle w:val="45"/>
                <w:color w:val="000000" w:themeColor="text1"/>
                <w14:textFill>
                  <w14:solidFill>
                    <w14:schemeClr w14:val="tx1"/>
                  </w14:solidFill>
                </w14:textFill>
              </w:rPr>
              <w:t>河</w:t>
            </w:r>
            <w:r>
              <w:rPr>
                <w:rStyle w:val="45"/>
                <w:rFonts w:hint="eastAsia"/>
                <w:color w:val="000000" w:themeColor="text1"/>
                <w14:textFill>
                  <w14:solidFill>
                    <w14:schemeClr w14:val="tx1"/>
                  </w14:solidFill>
                </w14:textFill>
              </w:rPr>
              <w:t>为清水河支流</w:t>
            </w:r>
            <w:r>
              <w:rPr>
                <w:rStyle w:val="45"/>
                <w:color w:val="000000" w:themeColor="text1"/>
                <w14:textFill>
                  <w14:solidFill>
                    <w14:schemeClr w14:val="tx1"/>
                  </w14:solidFill>
                </w14:textFill>
              </w:rPr>
              <w:t>，根据《2021年宁夏生态环境质量状况》</w:t>
            </w:r>
            <w:bookmarkStart w:id="2" w:name="_Hlk62834796"/>
            <w:r>
              <w:rPr>
                <w:rStyle w:val="45"/>
                <w:rFonts w:hint="eastAsia"/>
                <w:color w:val="000000" w:themeColor="text1"/>
                <w14:textFill>
                  <w14:solidFill>
                    <w14:schemeClr w14:val="tx1"/>
                  </w14:solidFill>
                </w14:textFill>
              </w:rPr>
              <w:t>清水河（冬至河入清水河</w:t>
            </w:r>
            <w:r>
              <w:rPr>
                <w:rStyle w:val="45"/>
                <w:color w:val="000000" w:themeColor="text1"/>
                <w14:textFill>
                  <w14:solidFill>
                    <w14:schemeClr w14:val="tx1"/>
                  </w14:solidFill>
                </w14:textFill>
              </w:rPr>
              <w:t>断面</w:t>
            </w:r>
            <w:r>
              <w:rPr>
                <w:rStyle w:val="45"/>
                <w:rFonts w:hint="eastAsia"/>
                <w:color w:val="000000" w:themeColor="text1"/>
                <w14:textFill>
                  <w14:solidFill>
                    <w14:schemeClr w14:val="tx1"/>
                  </w14:solidFill>
                </w14:textFill>
              </w:rPr>
              <w:t>）</w:t>
            </w:r>
            <w:r>
              <w:rPr>
                <w:rStyle w:val="45"/>
                <w:color w:val="000000" w:themeColor="text1"/>
                <w14:textFill>
                  <w14:solidFill>
                    <w14:schemeClr w14:val="tx1"/>
                  </w14:solidFill>
                </w14:textFill>
              </w:rPr>
              <w:t>，指标</w:t>
            </w:r>
            <w:r>
              <w:rPr>
                <w:rStyle w:val="45"/>
                <w:rFonts w:hint="eastAsia"/>
                <w:color w:val="000000" w:themeColor="text1"/>
                <w14:textFill>
                  <w14:solidFill>
                    <w14:schemeClr w14:val="tx1"/>
                  </w14:solidFill>
                </w14:textFill>
              </w:rPr>
              <w:t>均</w:t>
            </w:r>
            <w:r>
              <w:rPr>
                <w:rStyle w:val="45"/>
                <w:color w:val="000000" w:themeColor="text1"/>
                <w14:textFill>
                  <w14:solidFill>
                    <w14:schemeClr w14:val="tx1"/>
                  </w14:solidFill>
                </w14:textFill>
              </w:rPr>
              <w:t>满足《地表水环境质量标准》（GB3838-2002）Ⅳ类水质要求。</w:t>
            </w:r>
          </w:p>
          <w:bookmarkEnd w:id="2"/>
          <w:p>
            <w:pPr>
              <w:pStyle w:val="12"/>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3、声环境质量</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声环境质量现状监测要求，“厂界外周边50米范围内存在声环境保护目标的建设项目，应监测保护目标声环境质量现状并评价达标情况。各点位应监测昼夜间噪声，监测时间不少于1天，项目夜间不生产则仅监测昼间噪声”。本项目厂界外50m范围内无声环境保护目标，本次不开展声环境质量现状监测。</w:t>
            </w:r>
          </w:p>
          <w:p>
            <w:pPr>
              <w:pStyle w:val="42"/>
              <w:rPr>
                <w:color w:val="000000" w:themeColor="text1"/>
                <w:szCs w:val="22"/>
                <w14:textFill>
                  <w14:solidFill>
                    <w14:schemeClr w14:val="tx1"/>
                  </w14:solidFill>
                </w14:textFill>
              </w:rPr>
            </w:pPr>
            <w:r>
              <w:rPr>
                <w:color w:val="000000" w:themeColor="text1"/>
                <w14:textFill>
                  <w14:solidFill>
                    <w14:schemeClr w14:val="tx1"/>
                  </w14:solidFill>
                </w14:textFill>
              </w:rPr>
              <w:t>4、生态环境状况</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本项目在原有工业用地建设，现有厂区已做土地平整，</w:t>
            </w:r>
            <w:r>
              <w:rPr>
                <w:color w:val="000000" w:themeColor="text1"/>
                <w14:textFill>
                  <w14:solidFill>
                    <w14:schemeClr w14:val="tx1"/>
                  </w14:solidFill>
                </w14:textFill>
              </w:rPr>
              <w:t>根据《建设项目环境影响报告表编制技术指南（污染影响类）（试行）》</w:t>
            </w:r>
            <w:r>
              <w:rPr>
                <w:rFonts w:hint="eastAsia"/>
                <w:color w:val="000000" w:themeColor="text1"/>
                <w14:textFill>
                  <w14:solidFill>
                    <w14:schemeClr w14:val="tx1"/>
                  </w14:solidFill>
                </w14:textFill>
              </w:rPr>
              <w:t>，不需要进行生态环境现状调查。</w:t>
            </w:r>
          </w:p>
          <w:p>
            <w:pPr>
              <w:pStyle w:val="12"/>
              <w:spacing w:line="360" w:lineRule="auto"/>
              <w:jc w:val="left"/>
              <w:rPr>
                <w:color w:val="000000" w:themeColor="text1"/>
                <w:szCs w:val="40"/>
                <w14:textFill>
                  <w14:solidFill>
                    <w14:schemeClr w14:val="tx1"/>
                  </w14:solidFill>
                </w14:textFill>
              </w:rPr>
            </w:pPr>
            <w:r>
              <w:rPr>
                <w:color w:val="000000" w:themeColor="text1"/>
                <w:szCs w:val="40"/>
                <w14:textFill>
                  <w14:solidFill>
                    <w14:schemeClr w14:val="tx1"/>
                  </w14:solidFill>
                </w14:textFill>
              </w:rPr>
              <w:t>5、地下水环境</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根据《建设项目环境影响报告表编制技术指南（污染影响类）（试行）》本项目不会对地下水环境造成污染，可不开展地下水评价及环境质量现状调查。</w:t>
            </w:r>
          </w:p>
          <w:p>
            <w:pPr>
              <w:pStyle w:val="42"/>
              <w:rPr>
                <w:color w:val="000000" w:themeColor="text1"/>
                <w:szCs w:val="22"/>
                <w14:textFill>
                  <w14:solidFill>
                    <w14:schemeClr w14:val="tx1"/>
                  </w14:solidFill>
                </w14:textFill>
              </w:rPr>
            </w:pPr>
            <w:r>
              <w:rPr>
                <w:color w:val="000000" w:themeColor="text1"/>
                <w14:textFill>
                  <w14:solidFill>
                    <w14:schemeClr w14:val="tx1"/>
                  </w14:solidFill>
                </w14:textFill>
              </w:rPr>
              <w:t>6、土壤环境</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根据《建设项目环境影响报告表编制技术指南（污染影响类）（试行）》本项目不会对土壤环境造成污染，可不开展土壤评价及环境质量现状调查。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环境保护目标</w:t>
            </w:r>
          </w:p>
        </w:tc>
        <w:tc>
          <w:tcPr>
            <w:tcW w:w="4724" w:type="pct"/>
          </w:tcPr>
          <w:p>
            <w:pPr>
              <w:pStyle w:val="42"/>
              <w:rPr>
                <w:color w:val="000000" w:themeColor="text1"/>
                <w14:textFill>
                  <w14:solidFill>
                    <w14:schemeClr w14:val="tx1"/>
                  </w14:solidFill>
                </w14:textFill>
              </w:rPr>
            </w:pPr>
            <w:r>
              <w:rPr>
                <w:color w:val="000000" w:themeColor="text1"/>
                <w14:textFill>
                  <w14:solidFill>
                    <w14:schemeClr w14:val="tx1"/>
                  </w14:solidFill>
                </w14:textFill>
              </w:rPr>
              <w:t>7、项目周边概况</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根据《建设项目环境影响报告表编制技术指南污染影响类》（试行）环境保护目标：</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大气环境，厂界外500m范围内的自然保护区、风景名胜、居住区、文化区和农村地区中人群较集中的区域等。</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声环境，厂界外50m范围内声环境保护目标。</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地下水环境，厂界外500m范围内的地下水集中式饮用水水源和热水、矿泉水、温泉等特殊地下水资源。</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生态环境，产业园区外建设项目新增用地，说明新增用地范围内生态环境保护目标。</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14:textFill>
                  <w14:solidFill>
                    <w14:schemeClr w14:val="tx1"/>
                  </w14:solidFill>
                </w14:textFill>
              </w:rPr>
              <w:t>固原市原州区彭堡镇，周围无环境保护目标</w:t>
            </w: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tcMar>
              <w:left w:w="28" w:type="dxa"/>
              <w:right w:w="28" w:type="dxa"/>
            </w:tcMar>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污染物排放控制标准</w:t>
            </w:r>
          </w:p>
        </w:tc>
        <w:tc>
          <w:tcPr>
            <w:tcW w:w="4724" w:type="pct"/>
          </w:tcPr>
          <w:p>
            <w:pPr>
              <w:pStyle w:val="42"/>
              <w:rPr>
                <w:color w:val="000000" w:themeColor="text1"/>
                <w14:textFill>
                  <w14:solidFill>
                    <w14:schemeClr w14:val="tx1"/>
                  </w14:solidFill>
                </w14:textFill>
              </w:rPr>
            </w:pPr>
            <w:r>
              <w:rPr>
                <w:color w:val="000000" w:themeColor="text1"/>
                <w14:textFill>
                  <w14:solidFill>
                    <w14:schemeClr w14:val="tx1"/>
                  </w14:solidFill>
                </w14:textFill>
              </w:rPr>
              <w:t>1、废气排放标准</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本项目大气污染物排放执行《水泥工业大气污染物排放标准》（GB4915-2013）表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6中的相关要求，餐厅油烟执行《饮食业油烟排放标准（试行）》（GB18483-2001）表17中的相关标准，具体限值见下表。</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项目废气污染物排放评价因子执行标准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746"/>
              <w:gridCol w:w="1135"/>
              <w:gridCol w:w="1777"/>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7"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污染类型</w:t>
                  </w:r>
                </w:p>
              </w:tc>
              <w:tc>
                <w:tcPr>
                  <w:tcW w:w="1020"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污染源</w:t>
                  </w:r>
                </w:p>
              </w:tc>
              <w:tc>
                <w:tcPr>
                  <w:tcW w:w="663"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污染因子</w:t>
                  </w:r>
                </w:p>
              </w:tc>
              <w:tc>
                <w:tcPr>
                  <w:tcW w:w="1038"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排放浓度m</w:t>
                  </w:r>
                  <w:r>
                    <w:rPr>
                      <w:b/>
                      <w:bCs/>
                      <w:color w:val="000000" w:themeColor="text1"/>
                      <w14:textFill>
                        <w14:solidFill>
                          <w14:schemeClr w14:val="tx1"/>
                        </w14:solidFill>
                      </w14:textFill>
                    </w:rPr>
                    <w:t>g/m</w:t>
                  </w:r>
                  <w:r>
                    <w:rPr>
                      <w:b/>
                      <w:bCs/>
                      <w:color w:val="000000" w:themeColor="text1"/>
                      <w:vertAlign w:val="superscript"/>
                      <w14:textFill>
                        <w14:solidFill>
                          <w14:schemeClr w14:val="tx1"/>
                        </w14:solidFill>
                      </w14:textFill>
                    </w:rPr>
                    <w:t>3</w:t>
                  </w:r>
                </w:p>
              </w:tc>
              <w:tc>
                <w:tcPr>
                  <w:tcW w:w="1632" w:type="pct"/>
                  <w:vAlign w:val="center"/>
                </w:tcPr>
                <w:p>
                  <w:pPr>
                    <w:pStyle w:val="41"/>
                    <w:jc w:val="center"/>
                    <w:rPr>
                      <w:b/>
                      <w:bCs/>
                      <w:color w:val="000000" w:themeColor="text1"/>
                      <w14:textFill>
                        <w14:solidFill>
                          <w14:schemeClr w14:val="tx1"/>
                        </w14:solidFill>
                      </w14:textFill>
                    </w:rPr>
                  </w:pPr>
                  <w:r>
                    <w:rPr>
                      <w:b/>
                      <w:bCs/>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47" w:type="pct"/>
                  <w:vMerge w:val="restart"/>
                  <w:vAlign w:val="center"/>
                </w:tcPr>
                <w:p>
                  <w:pPr>
                    <w:pStyle w:val="41"/>
                    <w:jc w:val="center"/>
                    <w:rPr>
                      <w:bCs/>
                      <w:color w:val="000000" w:themeColor="text1"/>
                      <w14:textFill>
                        <w14:solidFill>
                          <w14:schemeClr w14:val="tx1"/>
                        </w14:solidFill>
                      </w14:textFill>
                    </w:rPr>
                  </w:pPr>
                  <w:r>
                    <w:rPr>
                      <w:bCs/>
                      <w:color w:val="000000" w:themeColor="text1"/>
                      <w14:textFill>
                        <w14:solidFill>
                          <w14:schemeClr w14:val="tx1"/>
                        </w14:solidFill>
                      </w14:textFill>
                    </w:rPr>
                    <w:t>废气</w:t>
                  </w:r>
                </w:p>
              </w:tc>
              <w:tc>
                <w:tcPr>
                  <w:tcW w:w="1020"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水泥仓及其它通风设备</w:t>
                  </w:r>
                </w:p>
              </w:tc>
              <w:tc>
                <w:tcPr>
                  <w:tcW w:w="663"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颗粒物</w:t>
                  </w:r>
                </w:p>
              </w:tc>
              <w:tc>
                <w:tcPr>
                  <w:tcW w:w="1038"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0</w:t>
                  </w:r>
                </w:p>
              </w:tc>
              <w:tc>
                <w:tcPr>
                  <w:tcW w:w="1632" w:type="pct"/>
                  <w:vMerge w:val="restart"/>
                  <w:vAlign w:val="center"/>
                </w:tcPr>
                <w:p>
                  <w:pPr>
                    <w:pStyle w:val="41"/>
                    <w:jc w:val="center"/>
                    <w:rPr>
                      <w:bCs/>
                      <w:color w:val="000000" w:themeColor="text1"/>
                      <w14:textFill>
                        <w14:solidFill>
                          <w14:schemeClr w14:val="tx1"/>
                        </w14:solidFill>
                      </w14:textFill>
                    </w:rPr>
                  </w:pPr>
                  <w:r>
                    <w:rPr>
                      <w:rFonts w:hint="eastAsia"/>
                      <w:color w:val="000000" w:themeColor="text1"/>
                      <w14:textFill>
                        <w14:solidFill>
                          <w14:schemeClr w14:val="tx1"/>
                        </w14:solidFill>
                      </w14:textFill>
                    </w:rPr>
                    <w:t>《水泥工业大气污染物排放标准》（GB4915-2013）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vAlign w:val="center"/>
                </w:tcPr>
                <w:p>
                  <w:pPr>
                    <w:pStyle w:val="41"/>
                    <w:jc w:val="center"/>
                    <w:rPr>
                      <w:bCs/>
                      <w:color w:val="000000" w:themeColor="text1"/>
                      <w14:textFill>
                        <w14:solidFill>
                          <w14:schemeClr w14:val="tx1"/>
                        </w14:solidFill>
                      </w14:textFill>
                    </w:rPr>
                  </w:pPr>
                </w:p>
              </w:tc>
              <w:tc>
                <w:tcPr>
                  <w:tcW w:w="1020" w:type="pct"/>
                  <w:vAlign w:val="center"/>
                </w:tcPr>
                <w:p>
                  <w:pPr>
                    <w:pStyle w:val="41"/>
                    <w:jc w:val="center"/>
                    <w:rPr>
                      <w:bCs/>
                      <w:color w:val="000000" w:themeColor="text1"/>
                      <w14:textFill>
                        <w14:solidFill>
                          <w14:schemeClr w14:val="tx1"/>
                        </w14:solidFill>
                      </w14:textFill>
                    </w:rPr>
                  </w:pPr>
                  <w:r>
                    <w:rPr>
                      <w:bCs/>
                      <w:color w:val="000000" w:themeColor="text1"/>
                      <w14:textFill>
                        <w14:solidFill>
                          <w14:schemeClr w14:val="tx1"/>
                        </w14:solidFill>
                      </w14:textFill>
                    </w:rPr>
                    <w:t>厂界</w:t>
                  </w:r>
                </w:p>
              </w:tc>
              <w:tc>
                <w:tcPr>
                  <w:tcW w:w="663" w:type="pct"/>
                  <w:vAlign w:val="center"/>
                </w:tcPr>
                <w:p>
                  <w:pPr>
                    <w:pStyle w:val="41"/>
                    <w:jc w:val="center"/>
                    <w:rPr>
                      <w:bCs/>
                      <w:color w:val="000000" w:themeColor="text1"/>
                      <w14:textFill>
                        <w14:solidFill>
                          <w14:schemeClr w14:val="tx1"/>
                        </w14:solidFill>
                      </w14:textFill>
                    </w:rPr>
                  </w:pPr>
                  <w:r>
                    <w:rPr>
                      <w:bCs/>
                      <w:color w:val="000000" w:themeColor="text1"/>
                      <w14:textFill>
                        <w14:solidFill>
                          <w14:schemeClr w14:val="tx1"/>
                        </w14:solidFill>
                      </w14:textFill>
                    </w:rPr>
                    <w:t>颗粒物</w:t>
                  </w:r>
                </w:p>
              </w:tc>
              <w:tc>
                <w:tcPr>
                  <w:tcW w:w="1038" w:type="pct"/>
                  <w:vAlign w:val="center"/>
                </w:tcPr>
                <w:p>
                  <w:pPr>
                    <w:pStyle w:val="41"/>
                    <w:jc w:val="center"/>
                    <w:rPr>
                      <w:bCs/>
                      <w:color w:val="000000" w:themeColor="text1"/>
                      <w14:textFill>
                        <w14:solidFill>
                          <w14:schemeClr w14:val="tx1"/>
                        </w14:solidFill>
                      </w14:textFill>
                    </w:rPr>
                  </w:pPr>
                  <w:r>
                    <w:rPr>
                      <w:bCs/>
                      <w:color w:val="000000" w:themeColor="text1"/>
                      <w14:textFill>
                        <w14:solidFill>
                          <w14:schemeClr w14:val="tx1"/>
                        </w14:solidFill>
                      </w14:textFill>
                    </w:rPr>
                    <w:t>0.5</w:t>
                  </w:r>
                </w:p>
              </w:tc>
              <w:tc>
                <w:tcPr>
                  <w:tcW w:w="1632" w:type="pct"/>
                  <w:vMerge w:val="continue"/>
                  <w:vAlign w:val="center"/>
                </w:tcPr>
                <w:p>
                  <w:pPr>
                    <w:pStyle w:val="41"/>
                    <w:jc w:val="center"/>
                    <w:rPr>
                      <w:bCs/>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647" w:type="pct"/>
                  <w:vMerge w:val="continue"/>
                  <w:vAlign w:val="center"/>
                </w:tcPr>
                <w:p>
                  <w:pPr>
                    <w:pStyle w:val="41"/>
                    <w:jc w:val="center"/>
                    <w:rPr>
                      <w:bCs/>
                      <w:color w:val="000000" w:themeColor="text1"/>
                      <w14:textFill>
                        <w14:solidFill>
                          <w14:schemeClr w14:val="tx1"/>
                        </w14:solidFill>
                      </w14:textFill>
                    </w:rPr>
                  </w:pPr>
                </w:p>
              </w:tc>
              <w:tc>
                <w:tcPr>
                  <w:tcW w:w="1020"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食堂油烟</w:t>
                  </w:r>
                </w:p>
              </w:tc>
              <w:tc>
                <w:tcPr>
                  <w:tcW w:w="663"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油烟</w:t>
                  </w:r>
                </w:p>
              </w:tc>
              <w:tc>
                <w:tcPr>
                  <w:tcW w:w="1038"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.0</w:t>
                  </w:r>
                </w:p>
              </w:tc>
              <w:tc>
                <w:tcPr>
                  <w:tcW w:w="1632" w:type="pct"/>
                  <w:vAlign w:val="center"/>
                </w:tcPr>
                <w:p>
                  <w:pPr>
                    <w:pStyle w:val="41"/>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《饮食业油烟排放标准（试行）》（GB18483-2001）</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2、噪声排放标准</w:t>
            </w:r>
          </w:p>
          <w:p>
            <w:pPr>
              <w:adjustRightInd w:val="0"/>
              <w:snapToGrid w:val="0"/>
              <w:spacing w:line="360" w:lineRule="auto"/>
              <w:ind w:firstLine="480" w:firstLineChars="200"/>
              <w:rPr>
                <w:snapToGrid w:val="0"/>
                <w:color w:val="000000" w:themeColor="text1"/>
                <w:kern w:val="0"/>
                <w:sz w:val="24"/>
                <w:szCs w:val="20"/>
                <w14:textFill>
                  <w14:solidFill>
                    <w14:schemeClr w14:val="tx1"/>
                  </w14:solidFill>
                </w14:textFill>
              </w:rPr>
            </w:pPr>
            <w:r>
              <w:rPr>
                <w:rFonts w:hint="eastAsia"/>
                <w:snapToGrid w:val="0"/>
                <w:color w:val="000000" w:themeColor="text1"/>
                <w:kern w:val="0"/>
                <w:sz w:val="24"/>
                <w:szCs w:val="20"/>
                <w14:textFill>
                  <w14:solidFill>
                    <w14:schemeClr w14:val="tx1"/>
                  </w14:solidFill>
                </w14:textFill>
              </w:rPr>
              <w:t>施工期噪声执行《建筑施工场界环境噪声排放标准》（GB12523-2011），详见下表。</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 xml:space="preserve">建筑施工场界环境噪声排放标准值 </w:t>
            </w:r>
            <w:r>
              <w:rPr>
                <w:color w:val="000000" w:themeColor="text1"/>
                <w14:textFill>
                  <w14:solidFill>
                    <w14:schemeClr w14:val="tx1"/>
                  </w14:solidFill>
                </w14:textFill>
              </w:rPr>
              <w:t xml:space="preserve"> 单位：dB(A)</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4"/>
              <w:gridCol w:w="1276"/>
              <w:gridCol w:w="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84"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执行标准</w:t>
                  </w:r>
                </w:p>
              </w:tc>
              <w:tc>
                <w:tcPr>
                  <w:tcW w:w="1276"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昼间</w:t>
                  </w:r>
                </w:p>
              </w:tc>
              <w:tc>
                <w:tcPr>
                  <w:tcW w:w="865"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84"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《建筑施工场界环境噪声排放标准》（GB12523-2011）</w:t>
                  </w:r>
                </w:p>
              </w:tc>
              <w:tc>
                <w:tcPr>
                  <w:tcW w:w="1276"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w:t>
                  </w:r>
                </w:p>
              </w:tc>
              <w:tc>
                <w:tcPr>
                  <w:tcW w:w="865"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r>
          </w:tbl>
          <w:p>
            <w:pPr>
              <w:adjustRightInd w:val="0"/>
              <w:snapToGri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运营期厂界噪声执行《工业企业厂界环境噪声排放标准》(GB12348-2008)2类区标准，具体见表3.4。</w:t>
            </w: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szCs w:val="20"/>
                <w14:textFill>
                  <w14:solidFill>
                    <w14:schemeClr w14:val="tx1"/>
                  </w14:solidFill>
                </w14:textFill>
              </w:rPr>
            </w:pPr>
            <w:r>
              <w:rPr>
                <w:color w:val="000000" w:themeColor="text1"/>
                <w14:textFill>
                  <w14:solidFill>
                    <w14:schemeClr w14:val="tx1"/>
                  </w14:solidFill>
                </w14:textFill>
              </w:rPr>
              <w:t>表3.4  工业企</w:t>
            </w:r>
            <w:r>
              <w:rPr>
                <w:color w:val="000000" w:themeColor="text1"/>
                <w:szCs w:val="20"/>
                <w14:textFill>
                  <w14:solidFill>
                    <w14:schemeClr w14:val="tx1"/>
                  </w14:solidFill>
                </w14:textFill>
              </w:rPr>
              <w:t xml:space="preserve">业厂界环境噪声排放标准  </w:t>
            </w:r>
            <w:r>
              <w:rPr>
                <w:color w:val="000000" w:themeColor="text1"/>
                <w14:textFill>
                  <w14:solidFill>
                    <w14:schemeClr w14:val="tx1"/>
                  </w14:solidFill>
                </w14:textFill>
              </w:rPr>
              <w:t>单位：dB(A)</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53"/>
              <w:gridCol w:w="2853"/>
              <w:gridCol w:w="2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7"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标准类别</w:t>
                  </w:r>
                </w:p>
              </w:tc>
              <w:tc>
                <w:tcPr>
                  <w:tcW w:w="1667"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昼间</w:t>
                  </w:r>
                </w:p>
              </w:tc>
              <w:tc>
                <w:tcPr>
                  <w:tcW w:w="1666"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7"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2类</w:t>
                  </w:r>
                </w:p>
              </w:tc>
              <w:tc>
                <w:tcPr>
                  <w:tcW w:w="1667"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w:t>
                  </w:r>
                </w:p>
              </w:tc>
              <w:tc>
                <w:tcPr>
                  <w:tcW w:w="1666"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3、废水</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生活污水经一体化污水处理设施处置后达到《城市污水再生利用 城市杂用水水质》（GB18920-2020）标准用于厂区洒水抑尘。不外排。</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《城市污水再生利用 城市杂用水水质》（GB18920-2020）标准</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62"/>
              <w:gridCol w:w="4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4163" w:type="dxa"/>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道路清扫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g/L</w:t>
                  </w:r>
                  <w:r>
                    <w:rPr>
                      <w:rFonts w:hint="eastAsia"/>
                      <w:color w:val="000000" w:themeColor="text1"/>
                      <w14:textFill>
                        <w14:solidFill>
                          <w14:schemeClr w14:val="tx1"/>
                        </w14:solidFill>
                      </w14:textFill>
                    </w:rPr>
                    <w:t>）</w:t>
                  </w:r>
                </w:p>
              </w:tc>
              <w:tc>
                <w:tcPr>
                  <w:tcW w:w="4163"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g/L</w:t>
                  </w:r>
                  <w:r>
                    <w:rPr>
                      <w:rFonts w:hint="eastAsia"/>
                      <w:color w:val="000000" w:themeColor="text1"/>
                      <w14:textFill>
                        <w14:solidFill>
                          <w14:schemeClr w14:val="tx1"/>
                        </w14:solidFill>
                      </w14:textFill>
                    </w:rPr>
                    <w:t>）</w:t>
                  </w:r>
                </w:p>
              </w:tc>
              <w:tc>
                <w:tcPr>
                  <w:tcW w:w="4163"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62"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溶解性总固体（m</w:t>
                  </w:r>
                  <w:r>
                    <w:rPr>
                      <w:color w:val="000000" w:themeColor="text1"/>
                      <w14:textFill>
                        <w14:solidFill>
                          <w14:schemeClr w14:val="tx1"/>
                        </w14:solidFill>
                      </w14:textFill>
                    </w:rPr>
                    <w:t>g/L</w:t>
                  </w:r>
                  <w:r>
                    <w:rPr>
                      <w:rFonts w:hint="eastAsia"/>
                      <w:color w:val="000000" w:themeColor="text1"/>
                      <w14:textFill>
                        <w14:solidFill>
                          <w14:schemeClr w14:val="tx1"/>
                        </w14:solidFill>
                      </w14:textFill>
                    </w:rPr>
                    <w:t>）</w:t>
                  </w:r>
                </w:p>
              </w:tc>
              <w:tc>
                <w:tcPr>
                  <w:tcW w:w="4163" w:type="dxa"/>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4、固废</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本项目一般固体废物贮存过程应满足相应防渗漏、防雨淋、防扬尘等环境保护要求。</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总量控制指标</w:t>
            </w:r>
          </w:p>
        </w:tc>
        <w:tc>
          <w:tcPr>
            <w:tcW w:w="4724" w:type="pct"/>
          </w:tcPr>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按照国家及省、市环保管理部门要求的总量控制目标，结合项目所处地理位置、当地环境质量现状水平、工程污染物排放特点，确定本项目总量控制因子为：烟（粉）尘。</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本项目颗粒物总量建议为0.5873t/a</w:t>
            </w:r>
            <w:r>
              <w:rPr>
                <w:rFonts w:hint="eastAsia"/>
                <w:color w:val="000000" w:themeColor="text1"/>
                <w14:textFill>
                  <w14:solidFill>
                    <w14:schemeClr w14:val="tx1"/>
                  </w14:solidFill>
                </w14:textFill>
              </w:rPr>
              <w:t>。</w:t>
            </w:r>
          </w:p>
        </w:tc>
      </w:tr>
    </w:tbl>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 w:type="pc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bCs/>
                <w:color w:val="000000" w:themeColor="text1"/>
                <w:kern w:val="2"/>
                <w:sz w:val="21"/>
                <w:szCs w:val="21"/>
                <w14:textFill>
                  <w14:solidFill>
                    <w14:schemeClr w14:val="tx1"/>
                  </w14:solidFill>
                </w14:textFill>
              </w:rPr>
            </w:pPr>
            <w:r>
              <w:rPr>
                <w:rFonts w:ascii="Times New Roman" w:hAnsi="Times New Roman"/>
                <w:b/>
                <w:bCs/>
                <w:color w:val="000000" w:themeColor="text1"/>
                <w:kern w:val="2"/>
                <w:sz w:val="21"/>
                <w:szCs w:val="21"/>
                <w14:textFill>
                  <w14:solidFill>
                    <w14:schemeClr w14:val="tx1"/>
                  </w14:solidFill>
                </w14:textFill>
              </w:rPr>
              <w:t>施工期环境保护措施</w:t>
            </w:r>
          </w:p>
        </w:tc>
        <w:tc>
          <w:tcPr>
            <w:tcW w:w="4770" w:type="pct"/>
          </w:tcPr>
          <w:p>
            <w:pPr>
              <w:pStyle w:val="42"/>
              <w:rPr>
                <w:color w:val="000000" w:themeColor="text1"/>
                <w14:textFill>
                  <w14:solidFill>
                    <w14:schemeClr w14:val="tx1"/>
                  </w14:solidFill>
                </w14:textFill>
              </w:rPr>
            </w:pPr>
            <w:bookmarkStart w:id="3" w:name="_Toc5880"/>
            <w:r>
              <w:rPr>
                <w:color w:val="000000" w:themeColor="text1"/>
                <w14:textFill>
                  <w14:solidFill>
                    <w14:schemeClr w14:val="tx1"/>
                  </w14:solidFill>
                </w14:textFill>
              </w:rPr>
              <w:t>1</w:t>
            </w: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环境空气影响分析</w:t>
            </w:r>
            <w:bookmarkEnd w:id="3"/>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（1）大气环境影响因素分析</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对大气环境产生的影响主要来自厂区建筑材料装卸、堆放产生的扬尘；交通运输等引起的扬尘；建筑施工产生的粉尘；施工设备、汽车产生的废气等。施工过程中设备和汽车产生的废气主要为燃油尾气，属于间歇性排放源，并且排放量小，所以对周围大气环境影响很小，因此项目施工期主要的大气环境影响污染物为粉尘。</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施工粉尘的污染程度与风速、粉尘粒径、粉尘含湿量等因素有关。其中风速对粉尘的污染程度影响最大。风速增大，产生的含尘量呈正比或级数增加，粉尘污染范围也相应扩大。因此，必须通过加强管理，并采取适当防护措施来减少施工过程中的扬尘污染。</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（2）减缓措施</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加强施工机械的使用管理和保养维修，合理降低使用次数，提高机械使用效率，降低废气排放，减轻燃油施工机械排放的废气对环境空气的影响；</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运土车辆应加篷布遮盖，严禁超重、超高装载，运输车辆进入施工场地应低速、限速行驶，以减少产尘量；使用商品混凝土或散装水泥，对产生扬尘的施工作业点设洒水装置，抑制粉尘散发和运输中的二次扬尘；</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减少砂石等材料在施工现场的堆放数量。及时清理多余土方、每天及时清扫掉落地面的尘土等措施，减少扬尘污染；</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在运输车辆进出厂区时及时清扫车身、轮胎上的泥土，防止造成运输过程中的二次污染；</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对厂区内运输路面定期洒水，减少扬尘污染；</w:t>
            </w:r>
          </w:p>
          <w:p>
            <w:pPr>
              <w:pStyle w:val="39"/>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合理安排工程进度，交叉作业，缩短施工时间。</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本项目工程量较小，施工过程只要采取切实可行的污染防治措施及科学的管理办法，可使施工扬尘影响降低至较低水平。施工期对大气环境影响只是局部的、短暂的，属可接受程度。</w:t>
            </w:r>
            <w:bookmarkStart w:id="4" w:name="_Toc447702918"/>
            <w:bookmarkStart w:id="5" w:name="_Toc11938"/>
          </w:p>
          <w:p>
            <w:pPr>
              <w:pStyle w:val="42"/>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施工期水环境影响分析</w:t>
            </w:r>
            <w:bookmarkEnd w:id="4"/>
            <w:bookmarkEnd w:id="5"/>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施工期废水主要来自项目施工人员的生活污水、施工过程中会产生少量场地冲洗水和机械设备清洗废水等。生活污水依托现有污水处理设施进行处理，施工废水均只含有少量的泥沙等，将施工废水沉淀处理，全部回用于施工场地洒水、道路洒水、设备冲洗水等施工用水，不外排。</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因此，项目施工期对周围水环境影响较小。</w:t>
            </w:r>
          </w:p>
          <w:p>
            <w:pPr>
              <w:pStyle w:val="42"/>
              <w:rPr>
                <w:color w:val="000000" w:themeColor="text1"/>
                <w14:textFill>
                  <w14:solidFill>
                    <w14:schemeClr w14:val="tx1"/>
                  </w14:solidFill>
                </w14:textFill>
              </w:rPr>
            </w:pPr>
            <w:bookmarkStart w:id="6" w:name="_Toc3902"/>
            <w:bookmarkStart w:id="7" w:name="_Toc447702919"/>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施工期声环境影响预测与评价</w:t>
            </w:r>
            <w:bookmarkEnd w:id="6"/>
            <w:bookmarkEnd w:id="7"/>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（1）声环境影响分析</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建设过程中涉及的施工机械设备主要有装载机、搅拌机、运输车辆等。在不同施工阶段所使用的机械不同，其产生的噪声强度也不同，故难以对其进行定量的预测。因此，本次评价以《建筑施工场界环境噪声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GB12523-2011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的规定为分析标准，分析施工阶段噪声环境影响。</w:t>
            </w:r>
            <w:r>
              <w:rPr>
                <w:rFonts w:hint="eastAsia"/>
                <w:color w:val="000000" w:themeColor="text1"/>
                <w14:textFill>
                  <w14:solidFill>
                    <w14:schemeClr w14:val="tx1"/>
                  </w14:solidFill>
                </w14:textFill>
              </w:rPr>
              <w:t>本项目施工期间，在昼间与施工场地距离40m的地方可符合规定的噪声限值；在夜间与施工场地距离200m的地方可符合规定的噪声限值。据现场调查，厂区200m范围内无常住居民，仅为附近企业员工，项目夜间不施工，白天施工时将项目主要产噪设备安放在施工区东北部，厂区东西跨度和南北跨度较大，对周围企业影响较小。因此，项目施工期噪声对周围环境影响较小。</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（2）减缓措施</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本项目施工作业噪声不可避免，只要施工单位做好防噪减振工作，对周围环境影响轻微。为减轻施工噪声的环境影响，建议采取的措施如下:</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①合理安排施工作业时间，夜间不进行施工作业；</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②尽量选用低噪声机械设备或自带隔声、消声的设备；</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③施工机械应尽可能放置于对厂界外声环境影响最小的地点；</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④做好施工机械的维护和保养，有效降低机械设备运转的噪声源强，控制汽车鸣笛；</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⑤合理安排强噪声施工机械的工作频次，合理调配车辆来往行车密度；</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⑥做好劳动保护工作，为强噪声源施工机械操作人员配备必要的防护耳塞或耳罩。</w:t>
            </w:r>
            <w:bookmarkStart w:id="8" w:name="_Toc447702920"/>
            <w:bookmarkStart w:id="9" w:name="_Toc1485"/>
          </w:p>
          <w:p>
            <w:pPr>
              <w:pStyle w:val="42"/>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施工期固体废物影响分析</w:t>
            </w:r>
            <w:bookmarkEnd w:id="8"/>
            <w:bookmarkEnd w:id="9"/>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（1）生活垃圾</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施工人员平均每人排放生活垃圾约0.5kg/d，施工期间，生活垃圾经分类、统一收集后，定期由施工单位交由园区环卫部门处置，不会对周围环境造成明显的影响。</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（2）建筑垃圾</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建筑垃圾主要包括施工过程地基处理和建材损耗、内部装修阶段产生的少量砂土石块、水泥、废金属、钢筋、铁丝等。建筑垃圾如果不采取措施进行严格管理，将对周围环境产生不良影响，不仅影响区域景观，而且会引起扬尘等环境问题。因此，施工期的固体废物应进行分类集中堆存，能回收利用的部分，由回收商进行收购，重复利用，不能回收利用的部分运至指定的建筑垃圾堆放点，禁止与生活垃圾混合处置，禁止随意丢弃，并及时采取相应的处理或处置措施，避免因长期堆放对水体或空气质量造成影响。</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在采取以上措施后，本项目施工期固体废物对环境影响较小。施工结束后施工固体废物影响即终止。</w:t>
            </w:r>
          </w:p>
          <w:p>
            <w:pPr>
              <w:pStyle w:val="42"/>
              <w:rPr>
                <w:color w:val="000000" w:themeColor="text1"/>
                <w14:textFill>
                  <w14:solidFill>
                    <w14:schemeClr w14:val="tx1"/>
                  </w14:solidFill>
                </w14:textFill>
              </w:rPr>
            </w:pPr>
            <w:bookmarkStart w:id="10" w:name="_Toc447702921"/>
            <w:bookmarkStart w:id="11" w:name="_Toc27498"/>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生态环境影响分析</w:t>
            </w:r>
            <w:bookmarkEnd w:id="10"/>
            <w:bookmarkEnd w:id="11"/>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在原有工业用地建设，</w:t>
            </w:r>
            <w:r>
              <w:rPr>
                <w:color w:val="000000" w:themeColor="text1"/>
                <w14:textFill>
                  <w14:solidFill>
                    <w14:schemeClr w14:val="tx1"/>
                  </w14:solidFill>
                </w14:textFill>
              </w:rPr>
              <w:t>现有厂区已做土地平整，因此，施工期对当地植被的影响较小。</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本项目施工期也会扰动施工区域周边土壤结构，但其影响范围和程度均有限，因此对土壤的影响很小。综上，施工期对生态环境影响较小</w:t>
            </w: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 w:type="pct"/>
            <w:tcMar>
              <w:left w:w="28" w:type="dxa"/>
              <w:right w:w="28" w:type="dxa"/>
            </w:tcMar>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运营期环境影响和保护措施</w:t>
            </w:r>
          </w:p>
        </w:tc>
        <w:tc>
          <w:tcPr>
            <w:tcW w:w="4770" w:type="pct"/>
            <w:vAlign w:val="center"/>
          </w:tcPr>
          <w:p>
            <w:pPr>
              <w:pStyle w:val="42"/>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废气环境影响和保护措施</w:t>
            </w:r>
          </w:p>
          <w:p>
            <w:pPr>
              <w:pStyle w:val="42"/>
              <w:rPr>
                <w:color w:val="000000" w:themeColor="text1"/>
                <w14:textFill>
                  <w14:solidFill>
                    <w14:schemeClr w14:val="tx1"/>
                  </w14:solidFill>
                </w14:textFill>
              </w:rPr>
            </w:pPr>
            <w:r>
              <w:rPr>
                <w:color w:val="000000" w:themeColor="text1"/>
                <w14:textFill>
                  <w14:solidFill>
                    <w14:schemeClr w14:val="tx1"/>
                  </w14:solidFill>
                </w14:textFill>
              </w:rPr>
              <w:t>1.1 废气</w:t>
            </w:r>
            <w:r>
              <w:rPr>
                <w:rFonts w:hint="eastAsia"/>
                <w:color w:val="000000" w:themeColor="text1"/>
                <w14:textFill>
                  <w14:solidFill>
                    <w14:schemeClr w14:val="tx1"/>
                  </w14:solidFill>
                </w14:textFill>
              </w:rPr>
              <w:t>污染源核算情况</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本项目废气污染源参考《污染源源强核算技术指南 准则》（HJ884-2018）和《污染源源强核算技术指南 水泥工业》（HJ886-2018）。</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本项目废气污染源主要为各类装置工艺废气及原料使用过程中排放废气等，各类污染物产生情况分述如下：</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水泥筒仓顶部呼吸孔粉尘（G1），粉煤灰筒仓顶部呼吸孔粉尘（G2）</w:t>
            </w:r>
            <w:r>
              <w:rPr>
                <w:rFonts w:hint="eastAsia"/>
                <w:color w:val="000000" w:themeColor="text1"/>
                <w14:textFill>
                  <w14:solidFill>
                    <w14:schemeClr w14:val="tx1"/>
                  </w14:solidFill>
                </w14:textFill>
              </w:rPr>
              <w:t>，矿粉筒仓顶部呼吸孔粉尘（G</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本项目粉料（粉煤灰和水泥</w:t>
            </w:r>
            <w:r>
              <w:rPr>
                <w:rFonts w:hint="eastAsia"/>
                <w:color w:val="000000" w:themeColor="text1"/>
                <w14:textFill>
                  <w14:solidFill>
                    <w14:schemeClr w14:val="tx1"/>
                  </w14:solidFill>
                </w14:textFill>
              </w:rPr>
              <w:t>、矿粉</w:t>
            </w:r>
            <w:r>
              <w:rPr>
                <w:color w:val="000000" w:themeColor="text1"/>
                <w14:textFill>
                  <w14:solidFill>
                    <w14:schemeClr w14:val="tx1"/>
                  </w14:solidFill>
                </w14:textFill>
              </w:rPr>
              <w:t>）采用粉料筒仓存储，粉料筒仓气孔处产生呼吸粉尘，主要是由运输散装粉料的罐车向筒仓内加注粉料时，需排出筒仓内的空气而形成正压引起的。本项目筒仓顶部有气孔，输送过程中，运输罐车上风机送风，通过气力将散装粉料通过密封罐送至筒仓，仓内气压通过仓顶气孔排放，充装过程中，空气从脉冲布袋中排出，同时粉尘被带出，大部分被脉冲布袋除尘器拦截，随布袋的抖动落回仓内，部分极细微的粉尘透过布袋进入空气中。本项目共1条全自动商品混凝土生产线，共设置2个水泥筒仓、1个粉煤灰筒仓</w:t>
            </w:r>
            <w:r>
              <w:rPr>
                <w:rFonts w:hint="eastAsia"/>
                <w:color w:val="000000" w:themeColor="text1"/>
                <w14:textFill>
                  <w14:solidFill>
                    <w14:schemeClr w14:val="tx1"/>
                  </w14:solidFill>
                </w14:textFill>
              </w:rPr>
              <w:t>、一个矿粉筒仓</w:t>
            </w:r>
            <w:r>
              <w:rPr>
                <w:color w:val="000000" w:themeColor="text1"/>
                <w14:textFill>
                  <w14:solidFill>
                    <w14:schemeClr w14:val="tx1"/>
                  </w14:solidFill>
                </w14:textFill>
              </w:rPr>
              <w:t>，年储存水泥3万t/a，年储存粉煤灰1</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，年储存矿粉4</w:t>
            </w:r>
            <w:r>
              <w:rPr>
                <w:color w:val="000000" w:themeColor="text1"/>
                <w14:textFill>
                  <w14:solidFill>
                    <w14:schemeClr w14:val="tx1"/>
                  </w14:solidFill>
                </w14:textFill>
              </w:rPr>
              <w:t>900t/a。参照《散逸性工业粉尘控制技术》（J.A.奥里蒙，中国环境科学出版社）关于筒仓进料过程中逸散尘的排放因子0.12kg/t。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全厂水泥仓粉尘产生量为</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t/a。本项目水泥通过罐车进行输送，输送量按50t/车计，卸料时间约0.5h/车，计算可得水泥上料所需时间为300h。全厂共设置2个水泥仓，则单个水泥仓上料时间为150h。单个水泥仓粉尘产生量为1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8t/a，产生速率为</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kg/h，筒仓仓顶设脉冲袋式除尘器，上料时水泥由气力输灰泵泵至筒仓，风量为5000m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/h，水泥仓粉尘产生浓度为</w:t>
            </w:r>
            <w:r>
              <w:rPr>
                <w:color w:val="000000" w:themeColor="text1"/>
                <w14:textFill>
                  <w14:solidFill>
                    <w14:schemeClr w14:val="tx1"/>
                  </w14:solidFill>
                </w14:textFill>
              </w:rPr>
              <w:t>2400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。筒仓排气口设置有脉冲式布袋除尘器，除尘效率为99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%，处理后粉尘排放量为0.0</w:t>
            </w:r>
            <w:r>
              <w:rPr>
                <w:color w:val="000000" w:themeColor="text1"/>
                <w14:textFill>
                  <w14:solidFill>
                    <w14:schemeClr w14:val="tx1"/>
                  </w14:solidFill>
                </w14:textFill>
              </w:rPr>
              <w:t>072</w:t>
            </w:r>
            <w:r>
              <w:rPr>
                <w:rFonts w:hint="eastAsia"/>
                <w:color w:val="000000" w:themeColor="text1"/>
                <w14:textFill>
                  <w14:solidFill>
                    <w14:schemeClr w14:val="tx1"/>
                  </w14:solidFill>
                </w14:textFill>
              </w:rPr>
              <w:t>t/a，排放速率为0.0</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kg/h，排放浓度为</w:t>
            </w:r>
            <w:r>
              <w:rPr>
                <w:color w:val="000000" w:themeColor="text1"/>
                <w14:textFill>
                  <w14:solidFill>
                    <w14:schemeClr w14:val="tx1"/>
                  </w14:solidFill>
                </w14:textFill>
              </w:rPr>
              <w:t>9.6</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，处理后经2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m的排气筒排放。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粉煤灰仓粉尘产生量为1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2t/a，粉煤灰通过罐车进行输送，输送量按50t/车计，卸料时间约0.5h/车，计算可得粉煤灰上料所需时间为100h，产生速率为12kg/h，筒仓仓顶设脉冲袋式除尘器，上料时粉煤灰由气力输灰泵泵至筒仓，风量为5000m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/h，粉煤灰筒仓粉尘产生浓度为2400mg/m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。筒仓排气口设置有脉冲式布袋除尘器，除尘效率为99.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%，处理后粉尘排放量为0.0</w:t>
            </w:r>
            <w:r>
              <w:rPr>
                <w:color w:val="000000" w:themeColor="text1"/>
                <w14:textFill>
                  <w14:solidFill>
                    <w14:schemeClr w14:val="tx1"/>
                  </w14:solidFill>
                </w14:textFill>
              </w:rPr>
              <w:t>048</w:t>
            </w:r>
            <w:r>
              <w:rPr>
                <w:rFonts w:hint="eastAsia"/>
                <w:color w:val="000000" w:themeColor="text1"/>
                <w14:textFill>
                  <w14:solidFill>
                    <w14:schemeClr w14:val="tx1"/>
                  </w14:solidFill>
                </w14:textFill>
              </w:rPr>
              <w:t>t/a，排放速率为0.0</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kg/h，排放浓度为</w:t>
            </w:r>
            <w:r>
              <w:rPr>
                <w:color w:val="000000" w:themeColor="text1"/>
                <w14:textFill>
                  <w14:solidFill>
                    <w14:schemeClr w14:val="tx1"/>
                  </w14:solidFill>
                </w14:textFill>
              </w:rPr>
              <w:t>9.6</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，经2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m高的排气筒排放。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矿粉仓粉尘产生量为</w:t>
            </w:r>
            <w:r>
              <w:rPr>
                <w:color w:val="000000" w:themeColor="text1"/>
                <w14:textFill>
                  <w14:solidFill>
                    <w14:schemeClr w14:val="tx1"/>
                  </w14:solidFill>
                </w14:textFill>
              </w:rPr>
              <w:t>0.588</w:t>
            </w:r>
            <w:r>
              <w:rPr>
                <w:rFonts w:hint="eastAsia"/>
                <w:color w:val="000000" w:themeColor="text1"/>
                <w14:textFill>
                  <w14:solidFill>
                    <w14:schemeClr w14:val="tx1"/>
                  </w14:solidFill>
                </w14:textFill>
              </w:rPr>
              <w:t>t/a，矿粉通过罐车进行输送，输送量按50t/车计，卸料时间约0.5h/车，计算可得矿粉上料所需时间为</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h，产生速率为12kg/h，筒仓仓顶设脉冲袋式除尘器，上料时矿粉由气力输灰泵泵至筒仓，风量为5000m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/h，矿粉筒仓粉尘产生浓度为2400mg/m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。筒仓排气口设置有脉冲式布袋除尘器，除尘效率为99.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%，处理后粉尘排放量为</w:t>
            </w:r>
            <w:r>
              <w:rPr>
                <w:color w:val="000000" w:themeColor="text1"/>
                <w14:textFill>
                  <w14:solidFill>
                    <w14:schemeClr w14:val="tx1"/>
                  </w14:solidFill>
                </w14:textFill>
              </w:rPr>
              <w:t>0.0024</w:t>
            </w:r>
            <w:r>
              <w:rPr>
                <w:rFonts w:hint="eastAsia"/>
                <w:color w:val="000000" w:themeColor="text1"/>
                <w14:textFill>
                  <w14:solidFill>
                    <w14:schemeClr w14:val="tx1"/>
                  </w14:solidFill>
                </w14:textFill>
              </w:rPr>
              <w:t>t/a，排放速率为0.0</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kg/h，排放浓度为</w:t>
            </w:r>
            <w:r>
              <w:rPr>
                <w:color w:val="000000" w:themeColor="text1"/>
                <w14:textFill>
                  <w14:solidFill>
                    <w14:schemeClr w14:val="tx1"/>
                  </w14:solidFill>
                </w14:textFill>
              </w:rPr>
              <w:t>9.6</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，经2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m高的排气筒排放。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全厂水泥仓、粉煤灰仓及矿粉仓粉尘排放浓度满足《水泥工业大气污染物排放标准》（GB4915-2013）特别排放浓度10mg/m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的要求。</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）商品混凝土搅拌工序粉尘（G</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共1条标准化商品混凝土生产线，设置1台搅拌机。各种物料在混合搅拌时，小粒径颗粒物会飘散形成粉尘。根据工业源产排污核算方法和系数手册——《3021水泥制品制造（含3022砼结构构件制造、3029其他水泥类似制品制造）行业系数手册》，颗粒物产污系数为0.1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kg/t-产品。搅拌机配套建设1台脉冲式布袋除尘器（除尘效率99.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%，风量</w:t>
            </w:r>
            <w:r>
              <w:rPr>
                <w:color w:val="000000" w:themeColor="text1"/>
                <w14:textFill>
                  <w14:solidFill>
                    <w14:schemeClr w14:val="tx1"/>
                  </w14:solidFill>
                </w14:textFill>
              </w:rPr>
              <w:t>20000m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/h），处理后的尾气由一根20m高（内径0.8m）的排气筒排放，每天有效最大工作时数按7h计，年搅拌时间为1680h。全厂年产10万m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商品混凝土（折算约23.6万吨），则搅拌粉尘产生量为30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68t/a，产生速率为18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26kg/h，产生浓度为</w:t>
            </w:r>
            <w:r>
              <w:rPr>
                <w:color w:val="000000" w:themeColor="text1"/>
                <w14:textFill>
                  <w14:solidFill>
                    <w14:schemeClr w14:val="tx1"/>
                  </w14:solidFill>
                </w14:textFill>
              </w:rPr>
              <w:t>913.1</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，搅拌粉尘经袋式除尘器处理，处理后的搅拌系统粉尘排放量为0.</w:t>
            </w:r>
            <w:r>
              <w:rPr>
                <w:color w:val="000000" w:themeColor="text1"/>
                <w14:textFill>
                  <w14:solidFill>
                    <w14:schemeClr w14:val="tx1"/>
                  </w14:solidFill>
                </w14:textFill>
              </w:rPr>
              <w:t>1227</w:t>
            </w:r>
            <w:r>
              <w:rPr>
                <w:rFonts w:hint="eastAsia"/>
                <w:color w:val="000000" w:themeColor="text1"/>
                <w14:textFill>
                  <w14:solidFill>
                    <w14:schemeClr w14:val="tx1"/>
                  </w14:solidFill>
                </w14:textFill>
              </w:rPr>
              <w:t>t/a，排放速率为0.</w:t>
            </w:r>
            <w:r>
              <w:rPr>
                <w:color w:val="000000" w:themeColor="text1"/>
                <w14:textFill>
                  <w14:solidFill>
                    <w14:schemeClr w14:val="tx1"/>
                  </w14:solidFill>
                </w14:textFill>
              </w:rPr>
              <w:t>073</w:t>
            </w:r>
            <w:r>
              <w:rPr>
                <w:rFonts w:hint="eastAsia"/>
                <w:color w:val="000000" w:themeColor="text1"/>
                <w14:textFill>
                  <w14:solidFill>
                    <w14:schemeClr w14:val="tx1"/>
                  </w14:solidFill>
                </w14:textFill>
              </w:rPr>
              <w:t>kg/h，排放浓度为</w:t>
            </w:r>
            <w:r>
              <w:rPr>
                <w:color w:val="000000" w:themeColor="text1"/>
                <w14:textFill>
                  <w14:solidFill>
                    <w14:schemeClr w14:val="tx1"/>
                  </w14:solidFill>
                </w14:textFill>
              </w:rPr>
              <w:t>3.6524</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，由除尘器排气口排放。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）砂石料装卸粉尘（G</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本项目设置封闭式原料车间，在封闭式车间堆场内进行砂、石料卸料并分区储存。砂石料投料口封闭设置。砂石料卸料扬尘（G</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）产生量参考煤炭装卸起尘量计算公式，如下：</w:t>
            </w:r>
          </w:p>
          <w:p>
            <w:pPr>
              <w:pStyle w:val="1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71750" cy="461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649319" cy="475190"/>
                          </a:xfrm>
                          <a:prstGeom prst="rect">
                            <a:avLst/>
                          </a:prstGeom>
                        </pic:spPr>
                      </pic:pic>
                    </a:graphicData>
                  </a:graphic>
                </wp:inline>
              </w:drawing>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式中：Q</w:t>
            </w:r>
            <w:r>
              <w:rPr>
                <w:rFonts w:hint="eastAsia"/>
                <w:color w:val="000000" w:themeColor="text1"/>
                <w:vertAlign w:val="subscript"/>
                <w14:textFill>
                  <w14:solidFill>
                    <w14:schemeClr w14:val="tx1"/>
                  </w14:solidFill>
                </w14:textFill>
              </w:rPr>
              <w:t>ij</w:t>
            </w:r>
            <w:r>
              <w:rPr>
                <w:rFonts w:hint="eastAsia"/>
                <w:color w:val="000000" w:themeColor="text1"/>
                <w14:textFill>
                  <w14:solidFill>
                    <w14:schemeClr w14:val="tx1"/>
                  </w14:solidFill>
                </w14:textFill>
              </w:rPr>
              <w:t>——不同设备风速条件下的起尘量，kg/a；</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H——装卸平均高度，m；</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——某一设备年装卸量，t；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——50m上空的风速，m/s；</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W——物料含水量，%；</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——不同风速的频率；</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α——大气降雨修正系数。</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卸料扬尘计算参数一览表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891"/>
              <w:gridCol w:w="1040"/>
              <w:gridCol w:w="5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参数符号</w:t>
                  </w:r>
                </w:p>
              </w:tc>
              <w:tc>
                <w:tcPr>
                  <w:tcW w:w="520"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607"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取值</w:t>
                  </w:r>
                </w:p>
              </w:tc>
              <w:tc>
                <w:tcPr>
                  <w:tcW w:w="3218" w:type="pct"/>
                  <w:vAlign w:val="center"/>
                </w:tcPr>
                <w:p>
                  <w:pPr>
                    <w:pStyle w:val="41"/>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选值依据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t>
                  </w:r>
                </w:p>
              </w:tc>
              <w:tc>
                <w:tcPr>
                  <w:tcW w:w="520"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m</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卡车卸料离地高1.5m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i</w:t>
                  </w:r>
                </w:p>
              </w:tc>
              <w:tc>
                <w:tcPr>
                  <w:tcW w:w="520"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t</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90000</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每年卸料量均为砂石料年用量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55"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w:t>
                  </w:r>
                  <w:r>
                    <w:rPr>
                      <w:color w:val="000000" w:themeColor="text1"/>
                      <w14:textFill>
                        <w14:solidFill>
                          <w14:schemeClr w14:val="tx1"/>
                        </w14:solidFill>
                      </w14:textFill>
                    </w:rPr>
                    <w:t>i</w:t>
                  </w:r>
                </w:p>
              </w:tc>
              <w:tc>
                <w:tcPr>
                  <w:tcW w:w="52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color w:val="000000" w:themeColor="text1"/>
                      <w14:textFill>
                        <w14:solidFill>
                          <w14:schemeClr w14:val="tx1"/>
                        </w14:solidFill>
                      </w14:textFill>
                    </w:rPr>
                    <w:t>/s</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全封闭原料库内为静风条件，风速＜0.5m/s，取0.5m/s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W</w:t>
                  </w:r>
                </w:p>
              </w:tc>
              <w:tc>
                <w:tcPr>
                  <w:tcW w:w="52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原料在产地已经过水洗、干燥，含水率约10%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fi</w:t>
                  </w:r>
                </w:p>
              </w:tc>
              <w:tc>
                <w:tcPr>
                  <w:tcW w:w="52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封闭原料库保持为静风条件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α</w:t>
                  </w:r>
                </w:p>
              </w:tc>
              <w:tc>
                <w:tcPr>
                  <w:tcW w:w="520"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.10</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喷洒水雾降尘将降低粉尘产生量，去除率约90%，因此系数为0.10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Qij</w:t>
                  </w:r>
                </w:p>
              </w:tc>
              <w:tc>
                <w:tcPr>
                  <w:tcW w:w="520" w:type="pct"/>
                  <w:vAlign w:val="center"/>
                </w:tcPr>
                <w:p>
                  <w:pPr>
                    <w:pStyle w:val="41"/>
                    <w:jc w:val="center"/>
                    <w:rPr>
                      <w:color w:val="000000" w:themeColor="text1"/>
                      <w14:textFill>
                        <w14:solidFill>
                          <w14:schemeClr w14:val="tx1"/>
                        </w14:solidFill>
                      </w14:textFill>
                    </w:rPr>
                  </w:pPr>
                  <w:r>
                    <w:rPr>
                      <w:color w:val="000000" w:themeColor="text1"/>
                      <w14:textFill>
                        <w14:solidFill>
                          <w14:schemeClr w14:val="tx1"/>
                        </w14:solidFill>
                      </w14:textFill>
                    </w:rPr>
                    <w:t>kg/a</w:t>
                  </w:r>
                </w:p>
              </w:tc>
              <w:tc>
                <w:tcPr>
                  <w:tcW w:w="607"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27.586</w:t>
                  </w:r>
                </w:p>
              </w:tc>
              <w:tc>
                <w:tcPr>
                  <w:tcW w:w="3218" w:type="pct"/>
                  <w:vAlign w:val="center"/>
                </w:tcPr>
                <w:p>
                  <w:pPr>
                    <w:pStyle w:val="4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在选用水洗后的砂石料、采取封闭原料库存储并落实喷洒水雾降尘措施前提下，砂石料卸料扬尘（G</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）产生量为</w:t>
            </w:r>
            <w:r>
              <w:rPr>
                <w:color w:val="000000" w:themeColor="text1"/>
                <w14:textFill>
                  <w14:solidFill>
                    <w14:schemeClr w14:val="tx1"/>
                  </w14:solidFill>
                </w14:textFill>
              </w:rPr>
              <w:t>0.628</w:t>
            </w:r>
            <w:r>
              <w:rPr>
                <w:rFonts w:hint="eastAsia"/>
                <w:color w:val="000000" w:themeColor="text1"/>
                <w14:textFill>
                  <w14:solidFill>
                    <w14:schemeClr w14:val="tx1"/>
                  </w14:solidFill>
                </w14:textFill>
              </w:rPr>
              <w:t>t/a。砂石卸料全部在封闭原料库内进行，抑尘效率以90%计，则砂石装卸扬尘排放量为0.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t/a。</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）上料、计量、投料过程（G</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砂石料由装载机从原料推存区运至斗式料仓，料仓下部设有计量设施，砂石料经过密闭皮带输送机输送至密闭斜皮带机，由密闭斜皮带送入搅拌机，粉料由螺旋输送机输送至搅拌机，整个配料及转载过程均在密闭的条件下完成，皮带输送机入口出设置喷淋洒水装置，定期路面及骨料进行洒水抑尘，可降低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%的粉尘。根据《散逸性工业粉尘控制技术》（J.A.奥里蒙，中国环境科学出版社），骨料入上料粉尘产生量按0.01k</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/t·原料，骨料用量为</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万t/a，则骨料投料粉尘产生量为</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t/a，骨料投料工序无组织粉尘排放量为0.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t/a。</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）砂石料破碎、筛分粉尘（G7）</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项目在石料破碎、筛分过程会产生粉尘，参考《逸散性工业粉尘控制技术》中粒料加工颗粒物产生系数可知，一级破碎和筛选碎石产生系数为0.25kg/t（破碎料），项目破碎、筛分量均为</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万t，则项目破碎、筛分过程中粉尘产生量为</w:t>
            </w:r>
            <w:r>
              <w:rPr>
                <w:color w:val="000000" w:themeColor="text1"/>
                <w14:textFill>
                  <w14:solidFill>
                    <w14:schemeClr w14:val="tx1"/>
                  </w14:solidFill>
                </w14:textFill>
              </w:rPr>
              <w:t>47.5</w:t>
            </w:r>
            <w:r>
              <w:rPr>
                <w:rFonts w:hint="eastAsia"/>
                <w:color w:val="000000" w:themeColor="text1"/>
                <w14:textFill>
                  <w14:solidFill>
                    <w14:schemeClr w14:val="tx1"/>
                  </w14:solidFill>
                </w14:textFill>
              </w:rPr>
              <w:t>t/a，产生速率为</w:t>
            </w:r>
            <w:r>
              <w:rPr>
                <w:color w:val="000000" w:themeColor="text1"/>
                <w14:textFill>
                  <w14:solidFill>
                    <w14:schemeClr w14:val="tx1"/>
                  </w14:solidFill>
                </w14:textFill>
              </w:rPr>
              <w:t>19.79</w:t>
            </w:r>
            <w:r>
              <w:rPr>
                <w:rFonts w:hint="eastAsia"/>
                <w:color w:val="000000" w:themeColor="text1"/>
                <w14:textFill>
                  <w14:solidFill>
                    <w14:schemeClr w14:val="tx1"/>
                  </w14:solidFill>
                </w14:textFill>
              </w:rPr>
              <w:t>kg/h，产生浓度为</w:t>
            </w:r>
            <w:r>
              <w:rPr>
                <w:color w:val="000000" w:themeColor="text1"/>
                <w14:textFill>
                  <w14:solidFill>
                    <w14:schemeClr w14:val="tx1"/>
                  </w14:solidFill>
                </w14:textFill>
              </w:rPr>
              <w:t>1319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，项目石料破碎、筛分产生的粉尘经各设备上方集气罩收集至布袋除尘器（风量为</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/h，布袋除尘器处理效率为99.</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%）处理后由一根20m高排气筒排放，排放量为0.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t/a，排放速率为0.</w:t>
            </w:r>
            <w:r>
              <w:rPr>
                <w:color w:val="000000" w:themeColor="text1"/>
                <w14:textFill>
                  <w14:solidFill>
                    <w14:schemeClr w14:val="tx1"/>
                  </w14:solidFill>
                </w14:textFill>
              </w:rPr>
              <w:t>079</w:t>
            </w:r>
            <w:r>
              <w:rPr>
                <w:rFonts w:hint="eastAsia"/>
                <w:color w:val="000000" w:themeColor="text1"/>
                <w14:textFill>
                  <w14:solidFill>
                    <w14:schemeClr w14:val="tx1"/>
                  </w14:solidFill>
                </w14:textFill>
              </w:rPr>
              <w:t>kg/h，产生浓度为</w:t>
            </w:r>
            <w:r>
              <w:rPr>
                <w:color w:val="000000" w:themeColor="text1"/>
                <w14:textFill>
                  <w14:solidFill>
                    <w14:schemeClr w14:val="tx1"/>
                  </w14:solidFill>
                </w14:textFill>
              </w:rPr>
              <w:t>5.278</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）食堂油烟（G</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全厂劳动定员</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人，耗油量0.03kg/人·餐，每天提供三餐，则年耗油量为0.</w:t>
            </w:r>
            <w:r>
              <w:rPr>
                <w:color w:val="000000" w:themeColor="text1"/>
                <w14:textFill>
                  <w14:solidFill>
                    <w14:schemeClr w14:val="tx1"/>
                  </w14:solidFill>
                </w14:textFill>
              </w:rPr>
              <w:t>81</w:t>
            </w:r>
            <w:r>
              <w:rPr>
                <w:rFonts w:hint="eastAsia"/>
                <w:color w:val="000000" w:themeColor="text1"/>
                <w14:textFill>
                  <w14:solidFill>
                    <w14:schemeClr w14:val="tx1"/>
                  </w14:solidFill>
                </w14:textFill>
              </w:rPr>
              <w:t>t/a，食用油平均挥发量按耗油量的2.83%计，设置1个灶头，油烟净化器风计量为4000m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/h，每天烹饪5h，则油烟产生量为0.0</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t/a，产生速率为0.0</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kg/h，产生浓度为</w:t>
            </w:r>
            <w:r>
              <w:rPr>
                <w:color w:val="000000" w:themeColor="text1"/>
                <w14:textFill>
                  <w14:solidFill>
                    <w14:schemeClr w14:val="tx1"/>
                  </w14:solidFill>
                </w14:textFill>
              </w:rPr>
              <w:t>3.83</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，油烟净化器效率按6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%计算，则油烟排放量为0.00</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t/a，排放速率为0.00</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kg/h，排放浓度为</w:t>
            </w:r>
            <w:r>
              <w:rPr>
                <w:color w:val="000000" w:themeColor="text1"/>
                <w14:textFill>
                  <w14:solidFill>
                    <w14:schemeClr w14:val="tx1"/>
                  </w14:solidFill>
                </w14:textFill>
              </w:rPr>
              <w:t>1.34</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（7）废气污染源汇总</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本项目废气污染物排放源强见下表。</w:t>
            </w: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p>
          <w:p>
            <w:pPr>
              <w:pStyle w:val="12"/>
              <w:rPr>
                <w:color w:val="000000" w:themeColor="text1"/>
                <w14:textFill>
                  <w14:solidFill>
                    <w14:schemeClr w14:val="tx1"/>
                  </w14:solidFill>
                </w14:textFill>
              </w:rPr>
            </w:pPr>
            <w:r>
              <w:rPr>
                <w:color w:val="000000" w:themeColor="text1"/>
                <w14:textFill>
                  <w14:solidFill>
                    <w14:schemeClr w14:val="tx1"/>
                  </w14:solidFill>
                </w14:textFill>
              </w:rPr>
              <w:t>表4.2  废气污染源排放情况一览表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722"/>
              <w:gridCol w:w="1013"/>
              <w:gridCol w:w="932"/>
              <w:gridCol w:w="746"/>
              <w:gridCol w:w="1184"/>
              <w:gridCol w:w="1013"/>
              <w:gridCol w:w="1020"/>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Merge w:val="restar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产排污环节</w:t>
                  </w:r>
                </w:p>
              </w:tc>
              <w:tc>
                <w:tcPr>
                  <w:tcW w:w="421" w:type="pct"/>
                  <w:vMerge w:val="restar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污染物种类</w:t>
                  </w:r>
                </w:p>
              </w:tc>
              <w:tc>
                <w:tcPr>
                  <w:tcW w:w="1135" w:type="pct"/>
                  <w:gridSpan w:val="2"/>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污染物产生情况</w:t>
                  </w:r>
                </w:p>
              </w:tc>
              <w:tc>
                <w:tcPr>
                  <w:tcW w:w="435" w:type="pct"/>
                  <w:vMerge w:val="restar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排放形式</w:t>
                  </w:r>
                </w:p>
              </w:tc>
              <w:tc>
                <w:tcPr>
                  <w:tcW w:w="691" w:type="pct"/>
                  <w:vMerge w:val="restart"/>
                  <w:vAlign w:val="center"/>
                </w:tcPr>
                <w:p>
                  <w:pPr>
                    <w:pStyle w:val="41"/>
                    <w:jc w:val="center"/>
                    <w:rPr>
                      <w:rFonts w:cs="Times New Roman"/>
                      <w:b/>
                      <w:bCs/>
                      <w:color w:val="000000" w:themeColor="text1"/>
                      <w:kern w:val="2"/>
                      <w:szCs w:val="21"/>
                      <w14:textFill>
                        <w14:solidFill>
                          <w14:schemeClr w14:val="tx1"/>
                        </w14:solidFill>
                      </w14:textFill>
                    </w:rPr>
                  </w:pPr>
                  <w:r>
                    <w:rPr>
                      <w:rFonts w:cs="Times New Roman"/>
                      <w:b/>
                      <w:bCs/>
                      <w:color w:val="000000" w:themeColor="text1"/>
                      <w:szCs w:val="21"/>
                      <w14:textFill>
                        <w14:solidFill>
                          <w14:schemeClr w14:val="tx1"/>
                        </w14:solidFill>
                      </w14:textFill>
                    </w:rPr>
                    <w:t>治理措施</w:t>
                  </w:r>
                </w:p>
              </w:tc>
              <w:tc>
                <w:tcPr>
                  <w:tcW w:w="1186" w:type="pct"/>
                  <w:gridSpan w:val="2"/>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污染物排放情况</w:t>
                  </w:r>
                </w:p>
              </w:tc>
              <w:tc>
                <w:tcPr>
                  <w:tcW w:w="558" w:type="pct"/>
                  <w:vMerge w:val="restart"/>
                  <w:vAlign w:val="center"/>
                </w:tcPr>
                <w:p>
                  <w:pPr>
                    <w:pStyle w:val="41"/>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Merge w:val="continue"/>
                  <w:vAlign w:val="center"/>
                </w:tcPr>
                <w:p>
                  <w:pPr>
                    <w:pStyle w:val="41"/>
                    <w:jc w:val="center"/>
                    <w:rPr>
                      <w:rFonts w:cs="Times New Roman"/>
                      <w:b/>
                      <w:bCs/>
                      <w:color w:val="000000" w:themeColor="text1"/>
                      <w:szCs w:val="21"/>
                      <w14:textFill>
                        <w14:solidFill>
                          <w14:schemeClr w14:val="tx1"/>
                        </w14:solidFill>
                      </w14:textFill>
                    </w:rPr>
                  </w:pPr>
                </w:p>
              </w:tc>
              <w:tc>
                <w:tcPr>
                  <w:tcW w:w="421" w:type="pct"/>
                  <w:vMerge w:val="continue"/>
                  <w:vAlign w:val="center"/>
                </w:tcPr>
                <w:p>
                  <w:pPr>
                    <w:pStyle w:val="41"/>
                    <w:jc w:val="center"/>
                    <w:rPr>
                      <w:rFonts w:cs="Times New Roman"/>
                      <w:b/>
                      <w:bCs/>
                      <w:color w:val="000000" w:themeColor="text1"/>
                      <w:szCs w:val="21"/>
                      <w14:textFill>
                        <w14:solidFill>
                          <w14:schemeClr w14:val="tx1"/>
                        </w14:solidFill>
                      </w14:textFill>
                    </w:rPr>
                  </w:pPr>
                </w:p>
              </w:tc>
              <w:tc>
                <w:tcPr>
                  <w:tcW w:w="591" w:type="pct"/>
                  <w:vAlign w:val="center"/>
                </w:tcPr>
                <w:p>
                  <w:pPr>
                    <w:pStyle w:val="41"/>
                    <w:jc w:val="center"/>
                    <w:rPr>
                      <w:rFonts w:cs="Times New Roman"/>
                      <w:b/>
                      <w:bCs/>
                      <w:color w:val="000000" w:themeColor="text1"/>
                      <w:kern w:val="2"/>
                      <w:szCs w:val="21"/>
                      <w14:textFill>
                        <w14:solidFill>
                          <w14:schemeClr w14:val="tx1"/>
                        </w14:solidFill>
                      </w14:textFill>
                    </w:rPr>
                  </w:pPr>
                  <w:r>
                    <w:rPr>
                      <w:rFonts w:cs="Times New Roman"/>
                      <w:b/>
                      <w:bCs/>
                      <w:color w:val="000000" w:themeColor="text1"/>
                      <w:szCs w:val="21"/>
                      <w14:textFill>
                        <w14:solidFill>
                          <w14:schemeClr w14:val="tx1"/>
                        </w14:solidFill>
                      </w14:textFill>
                    </w:rPr>
                    <w:t>产生浓度mg/m</w:t>
                  </w:r>
                  <w:r>
                    <w:rPr>
                      <w:rFonts w:cs="Times New Roman"/>
                      <w:b/>
                      <w:bCs/>
                      <w:color w:val="000000" w:themeColor="text1"/>
                      <w:szCs w:val="21"/>
                      <w:vertAlign w:val="superscript"/>
                      <w14:textFill>
                        <w14:solidFill>
                          <w14:schemeClr w14:val="tx1"/>
                        </w14:solidFill>
                      </w14:textFill>
                    </w:rPr>
                    <w:t>3</w:t>
                  </w:r>
                </w:p>
              </w:tc>
              <w:tc>
                <w:tcPr>
                  <w:tcW w:w="544" w:type="pc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污染物产生量t/a</w:t>
                  </w:r>
                </w:p>
              </w:tc>
              <w:tc>
                <w:tcPr>
                  <w:tcW w:w="435" w:type="pct"/>
                  <w:vMerge w:val="continue"/>
                  <w:vAlign w:val="center"/>
                </w:tcPr>
                <w:p>
                  <w:pPr>
                    <w:pStyle w:val="41"/>
                    <w:jc w:val="center"/>
                    <w:rPr>
                      <w:rFonts w:cs="Times New Roman"/>
                      <w:b/>
                      <w:bCs/>
                      <w:color w:val="000000" w:themeColor="text1"/>
                      <w:kern w:val="2"/>
                      <w:szCs w:val="21"/>
                      <w14:textFill>
                        <w14:solidFill>
                          <w14:schemeClr w14:val="tx1"/>
                        </w14:solidFill>
                      </w14:textFill>
                    </w:rPr>
                  </w:pPr>
                </w:p>
              </w:tc>
              <w:tc>
                <w:tcPr>
                  <w:tcW w:w="691" w:type="pct"/>
                  <w:vMerge w:val="continue"/>
                  <w:vAlign w:val="center"/>
                </w:tcPr>
                <w:p>
                  <w:pPr>
                    <w:pStyle w:val="41"/>
                    <w:jc w:val="center"/>
                    <w:rPr>
                      <w:rFonts w:cs="Times New Roman"/>
                      <w:b/>
                      <w:bCs/>
                      <w:color w:val="000000" w:themeColor="text1"/>
                      <w:kern w:val="2"/>
                      <w:szCs w:val="21"/>
                      <w14:textFill>
                        <w14:solidFill>
                          <w14:schemeClr w14:val="tx1"/>
                        </w14:solidFill>
                      </w14:textFill>
                    </w:rPr>
                  </w:pPr>
                </w:p>
              </w:tc>
              <w:tc>
                <w:tcPr>
                  <w:tcW w:w="591" w:type="pc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排放浓度mg/m</w:t>
                  </w:r>
                  <w:r>
                    <w:rPr>
                      <w:rFonts w:cs="Times New Roman"/>
                      <w:b/>
                      <w:bCs/>
                      <w:color w:val="000000" w:themeColor="text1"/>
                      <w:szCs w:val="21"/>
                      <w:vertAlign w:val="superscript"/>
                      <w14:textFill>
                        <w14:solidFill>
                          <w14:schemeClr w14:val="tx1"/>
                        </w14:solidFill>
                      </w14:textFill>
                    </w:rPr>
                    <w:t>3</w:t>
                  </w:r>
                </w:p>
              </w:tc>
              <w:tc>
                <w:tcPr>
                  <w:tcW w:w="595" w:type="pct"/>
                  <w:vAlign w:val="center"/>
                </w:tcPr>
                <w:p>
                  <w:pPr>
                    <w:pStyle w:val="41"/>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污染物排放量t/a</w:t>
                  </w:r>
                </w:p>
              </w:tc>
              <w:tc>
                <w:tcPr>
                  <w:tcW w:w="558" w:type="pct"/>
                  <w:vMerge w:val="continue"/>
                  <w:vAlign w:val="center"/>
                </w:tcPr>
                <w:p>
                  <w:pPr>
                    <w:pStyle w:val="41"/>
                    <w:jc w:val="center"/>
                    <w:rPr>
                      <w:rFonts w:cs="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1</w:t>
                  </w:r>
                  <w:r>
                    <w:rPr>
                      <w:rFonts w:hint="eastAsia" w:cs="Times New Roman"/>
                      <w:color w:val="000000" w:themeColor="text1"/>
                      <w:szCs w:val="21"/>
                      <w14:textFill>
                        <w14:solidFill>
                          <w14:schemeClr w14:val="tx1"/>
                        </w14:solidFill>
                      </w14:textFill>
                    </w:rPr>
                    <w:t>水泥筒仓粉尘</w:t>
                  </w:r>
                  <w:r>
                    <w:rPr>
                      <w:rFonts w:cs="Times New Roman"/>
                      <w:color w:val="000000" w:themeColor="text1"/>
                      <w:szCs w:val="21"/>
                      <w14:textFill>
                        <w14:solidFill>
                          <w14:schemeClr w14:val="tx1"/>
                        </w14:solidFill>
                      </w14:textFill>
                    </w:rPr>
                    <w:t>1#</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2400</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w:t>
                  </w:r>
                  <w:r>
                    <w:rPr>
                      <w:rFonts w:cs="Times New Roman"/>
                      <w:color w:val="000000" w:themeColor="text1"/>
                      <w:szCs w:val="21"/>
                      <w14:textFill>
                        <w14:solidFill>
                          <w14:schemeClr w14:val="tx1"/>
                        </w14:solidFill>
                      </w14:textFill>
                    </w:rPr>
                    <w:t>.8</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袋式除尘，效率≥99.6%</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9.6</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.0072</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1</w:t>
                  </w:r>
                  <w:r>
                    <w:rPr>
                      <w:rFonts w:hint="eastAsia" w:cs="Times New Roman"/>
                      <w:color w:val="000000" w:themeColor="text1"/>
                      <w:szCs w:val="21"/>
                      <w14:textFill>
                        <w14:solidFill>
                          <w14:schemeClr w14:val="tx1"/>
                        </w14:solidFill>
                      </w14:textFill>
                    </w:rPr>
                    <w:t>水泥筒仓粉尘</w:t>
                  </w:r>
                  <w:r>
                    <w:rPr>
                      <w:rFonts w:cs="Times New Roman"/>
                      <w:color w:val="000000" w:themeColor="text1"/>
                      <w:szCs w:val="21"/>
                      <w14:textFill>
                        <w14:solidFill>
                          <w14:schemeClr w14:val="tx1"/>
                        </w14:solidFill>
                      </w14:textFill>
                    </w:rPr>
                    <w:t>2#</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2400</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w:t>
                  </w:r>
                  <w:r>
                    <w:rPr>
                      <w:rFonts w:cs="Times New Roman"/>
                      <w:color w:val="000000" w:themeColor="text1"/>
                      <w:szCs w:val="21"/>
                      <w14:textFill>
                        <w14:solidFill>
                          <w14:schemeClr w14:val="tx1"/>
                        </w14:solidFill>
                      </w14:textFill>
                    </w:rPr>
                    <w:t>.8</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袋式除尘，效率≥99.6%</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9.6</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.0072</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2</w:t>
                  </w:r>
                  <w:r>
                    <w:rPr>
                      <w:rFonts w:hint="eastAsia" w:cs="Times New Roman"/>
                      <w:color w:val="000000" w:themeColor="text1"/>
                      <w:szCs w:val="21"/>
                      <w14:textFill>
                        <w14:solidFill>
                          <w14:schemeClr w14:val="tx1"/>
                        </w14:solidFill>
                      </w14:textFill>
                    </w:rPr>
                    <w:t>粉煤灰筒仓粉尘</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2400</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w:t>
                  </w:r>
                  <w:r>
                    <w:rPr>
                      <w:rFonts w:cs="Times New Roman"/>
                      <w:color w:val="000000" w:themeColor="text1"/>
                      <w:szCs w:val="21"/>
                      <w14:textFill>
                        <w14:solidFill>
                          <w14:schemeClr w14:val="tx1"/>
                        </w14:solidFill>
                      </w14:textFill>
                    </w:rPr>
                    <w:t>.2</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有组织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w:t>
                  </w:r>
                  <w:r>
                    <w:rPr>
                      <w:rFonts w:cs="Times New Roman"/>
                      <w:color w:val="000000" w:themeColor="text1"/>
                      <w:kern w:val="2"/>
                      <w:szCs w:val="21"/>
                      <w14:textFill>
                        <w14:solidFill>
                          <w14:schemeClr w14:val="tx1"/>
                        </w14:solidFill>
                      </w14:textFill>
                    </w:rPr>
                    <w:t xml:space="preserve"> </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9.6</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.0048</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3</w:t>
                  </w:r>
                  <w:r>
                    <w:rPr>
                      <w:rFonts w:hint="eastAsia" w:cs="Times New Roman"/>
                      <w:color w:val="000000" w:themeColor="text1"/>
                      <w:szCs w:val="21"/>
                      <w14:textFill>
                        <w14:solidFill>
                          <w14:schemeClr w14:val="tx1"/>
                        </w14:solidFill>
                      </w14:textFill>
                    </w:rPr>
                    <w:t>矿粉筒仓粉尘</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2400</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0.588</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有组织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袋式除尘，效率≥99.6%</w:t>
                  </w:r>
                  <w:r>
                    <w:rPr>
                      <w:rFonts w:cs="Times New Roman"/>
                      <w:color w:val="000000" w:themeColor="text1"/>
                      <w:kern w:val="2"/>
                      <w:szCs w:val="21"/>
                      <w14:textFill>
                        <w14:solidFill>
                          <w14:schemeClr w14:val="tx1"/>
                        </w14:solidFill>
                      </w14:textFill>
                    </w:rPr>
                    <w:t xml:space="preserve"> </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9.6</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.0024</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G4</w:t>
                  </w:r>
                  <w:r>
                    <w:rPr>
                      <w:rFonts w:hint="eastAsia" w:cs="Times New Roman"/>
                      <w:color w:val="000000" w:themeColor="text1"/>
                      <w:szCs w:val="21"/>
                      <w14:textFill>
                        <w14:solidFill>
                          <w14:schemeClr w14:val="tx1"/>
                        </w14:solidFill>
                      </w14:textFill>
                    </w:rPr>
                    <w:t>商品混凝土搅拌工序粉尘</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639.17</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3</w:t>
                  </w:r>
                  <w:r>
                    <w:rPr>
                      <w:rFonts w:cs="Times New Roman"/>
                      <w:color w:val="000000" w:themeColor="text1"/>
                      <w:szCs w:val="21"/>
                      <w14:textFill>
                        <w14:solidFill>
                          <w14:schemeClr w14:val="tx1"/>
                        </w14:solidFill>
                      </w14:textFill>
                    </w:rPr>
                    <w:t>0.68</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w:t>
                  </w:r>
                  <w:r>
                    <w:rPr>
                      <w:rFonts w:cs="Times New Roman"/>
                      <w:color w:val="000000" w:themeColor="text1"/>
                      <w:szCs w:val="21"/>
                      <w14:textFill>
                        <w14:solidFill>
                          <w14:schemeClr w14:val="tx1"/>
                        </w14:solidFill>
                      </w14:textFill>
                    </w:rPr>
                    <w:t>组织</w:t>
                  </w:r>
                </w:p>
              </w:tc>
              <w:tc>
                <w:tcPr>
                  <w:tcW w:w="691" w:type="pct"/>
                  <w:vAlign w:val="center"/>
                </w:tcPr>
                <w:p>
                  <w:pPr>
                    <w:pStyle w:val="41"/>
                    <w:jc w:val="center"/>
                    <w:rPr>
                      <w:rFonts w:cs="Times New Roman"/>
                      <w:color w:val="000000" w:themeColor="text1"/>
                      <w:kern w:val="2"/>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袋式除尘，效率≥99.6%</w:t>
                  </w:r>
                  <w:r>
                    <w:rPr>
                      <w:rFonts w:cs="Times New Roman"/>
                      <w:color w:val="000000" w:themeColor="text1"/>
                      <w:kern w:val="2"/>
                      <w:szCs w:val="21"/>
                      <w14:textFill>
                        <w14:solidFill>
                          <w14:schemeClr w14:val="tx1"/>
                        </w14:solidFill>
                      </w14:textFill>
                    </w:rPr>
                    <w:t xml:space="preserve"> </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3.6524</w:t>
                  </w:r>
                </w:p>
              </w:tc>
              <w:tc>
                <w:tcPr>
                  <w:tcW w:w="595" w:type="pct"/>
                  <w:vAlign w:val="center"/>
                </w:tcPr>
                <w:p>
                  <w:pPr>
                    <w:pStyle w:val="41"/>
                    <w:jc w:val="center"/>
                    <w:rPr>
                      <w:rFonts w:cs="Times New Roman"/>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0.1227</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7</w:t>
                  </w:r>
                  <w:r>
                    <w:rPr>
                      <w:rFonts w:hint="eastAsia" w:cs="Times New Roman"/>
                      <w:color w:val="000000" w:themeColor="text1"/>
                      <w:szCs w:val="21"/>
                      <w14:textFill>
                        <w14:solidFill>
                          <w14:schemeClr w14:val="tx1"/>
                        </w14:solidFill>
                      </w14:textFill>
                    </w:rPr>
                    <w:t>砂石料破碎、筛分粉尘</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1319.4</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47.5</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w:t>
                  </w:r>
                  <w:r>
                    <w:rPr>
                      <w:rFonts w:cs="Times New Roman"/>
                      <w:color w:val="000000" w:themeColor="text1"/>
                      <w:szCs w:val="21"/>
                      <w14:textFill>
                        <w14:solidFill>
                          <w14:schemeClr w14:val="tx1"/>
                        </w14:solidFill>
                      </w14:textFill>
                    </w:rPr>
                    <w:t>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袋式除尘，效率≥99.6%</w:t>
                  </w:r>
                  <w:r>
                    <w:rPr>
                      <w:rFonts w:cs="Times New Roman"/>
                      <w:color w:val="000000" w:themeColor="text1"/>
                      <w:kern w:val="2"/>
                      <w:szCs w:val="21"/>
                      <w14:textFill>
                        <w14:solidFill>
                          <w14:schemeClr w14:val="tx1"/>
                        </w14:solidFill>
                      </w14:textFill>
                    </w:rPr>
                    <w:t xml:space="preserve"> </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5.278</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0.19</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DA006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8</w:t>
                  </w:r>
                  <w:r>
                    <w:rPr>
                      <w:rFonts w:hint="eastAsia" w:cs="Times New Roman"/>
                      <w:color w:val="000000" w:themeColor="text1"/>
                      <w:szCs w:val="21"/>
                      <w14:textFill>
                        <w14:solidFill>
                          <w14:schemeClr w14:val="tx1"/>
                        </w14:solidFill>
                      </w14:textFill>
                    </w:rPr>
                    <w:t>食堂油烟</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油烟</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3</w:t>
                  </w:r>
                  <w:r>
                    <w:rPr>
                      <w:rFonts w:cs="Times New Roman"/>
                      <w:color w:val="000000" w:themeColor="text1"/>
                      <w:szCs w:val="21"/>
                      <w14:textFill>
                        <w14:solidFill>
                          <w14:schemeClr w14:val="tx1"/>
                        </w14:solidFill>
                      </w14:textFill>
                    </w:rPr>
                    <w:t>.83</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w:t>
                  </w:r>
                  <w:r>
                    <w:rPr>
                      <w:rFonts w:cs="Times New Roman"/>
                      <w:color w:val="000000" w:themeColor="text1"/>
                      <w:szCs w:val="21"/>
                      <w14:textFill>
                        <w14:solidFill>
                          <w14:schemeClr w14:val="tx1"/>
                        </w14:solidFill>
                      </w14:textFill>
                    </w:rPr>
                    <w:t>.023</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油烟净化器，效率</w:t>
                  </w:r>
                  <w:r>
                    <w:rPr>
                      <w:rFonts w:cs="Times New Roman"/>
                      <w:color w:val="000000" w:themeColor="text1"/>
                      <w:szCs w:val="21"/>
                      <w14:textFill>
                        <w14:solidFill>
                          <w14:schemeClr w14:val="tx1"/>
                        </w14:solidFill>
                      </w14:textFill>
                    </w:rPr>
                    <w:t>≥65%</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1</w:t>
                  </w:r>
                  <w:r>
                    <w:rPr>
                      <w:rFonts w:cs="Times New Roman"/>
                      <w:bCs/>
                      <w:color w:val="000000" w:themeColor="text1"/>
                      <w:szCs w:val="21"/>
                      <w14:textFill>
                        <w14:solidFill>
                          <w14:schemeClr w14:val="tx1"/>
                        </w14:solidFill>
                      </w14:textFill>
                    </w:rPr>
                    <w:t>.34</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.008</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D</w:t>
                  </w:r>
                  <w:r>
                    <w:rPr>
                      <w:rFonts w:cs="Times New Roman"/>
                      <w:bCs/>
                      <w:color w:val="000000" w:themeColor="text1"/>
                      <w:szCs w:val="21"/>
                      <w14:textFill>
                        <w14:solidFill>
                          <w14:schemeClr w14:val="tx1"/>
                        </w14:solidFill>
                      </w14:textFill>
                    </w:rPr>
                    <w:t>A007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G5</w:t>
                  </w:r>
                  <w:r>
                    <w:rPr>
                      <w:rFonts w:hint="eastAsia" w:cs="Times New Roman"/>
                      <w:color w:val="000000" w:themeColor="text1"/>
                      <w:szCs w:val="21"/>
                      <w14:textFill>
                        <w14:solidFill>
                          <w14:schemeClr w14:val="tx1"/>
                        </w14:solidFill>
                      </w14:textFill>
                    </w:rPr>
                    <w:t>砂石料装卸粉尘</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0.628</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无</w:t>
                  </w:r>
                  <w:r>
                    <w:rPr>
                      <w:rFonts w:cs="Times New Roman"/>
                      <w:color w:val="000000" w:themeColor="text1"/>
                      <w:szCs w:val="21"/>
                      <w14:textFill>
                        <w14:solidFill>
                          <w14:schemeClr w14:val="tx1"/>
                        </w14:solidFill>
                      </w14:textFill>
                    </w:rPr>
                    <w:t>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封闭原料库存储并喷洒水雾降尘</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.063</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73"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6</w:t>
                  </w:r>
                  <w:r>
                    <w:rPr>
                      <w:rFonts w:hint="eastAsia" w:cs="Times New Roman"/>
                      <w:color w:val="000000" w:themeColor="text1"/>
                      <w:szCs w:val="21"/>
                      <w14:textFill>
                        <w14:solidFill>
                          <w14:schemeClr w14:val="tx1"/>
                        </w14:solidFill>
                      </w14:textFill>
                    </w:rPr>
                    <w:t>上料、计量、投料过程</w:t>
                  </w:r>
                </w:p>
              </w:tc>
              <w:tc>
                <w:tcPr>
                  <w:tcW w:w="42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591"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544" w:type="pct"/>
                  <w:vAlign w:val="center"/>
                </w:tcPr>
                <w:p>
                  <w:pPr>
                    <w:pStyle w:val="41"/>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1.9</w:t>
                  </w:r>
                </w:p>
              </w:tc>
              <w:tc>
                <w:tcPr>
                  <w:tcW w:w="435"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无</w:t>
                  </w:r>
                  <w:r>
                    <w:rPr>
                      <w:rFonts w:cs="Times New Roman"/>
                      <w:color w:val="000000" w:themeColor="text1"/>
                      <w:szCs w:val="21"/>
                      <w14:textFill>
                        <w14:solidFill>
                          <w14:schemeClr w14:val="tx1"/>
                        </w14:solidFill>
                      </w14:textFill>
                    </w:rPr>
                    <w:t>组织</w:t>
                  </w:r>
                </w:p>
              </w:tc>
              <w:tc>
                <w:tcPr>
                  <w:tcW w:w="691" w:type="pct"/>
                  <w:vAlign w:val="center"/>
                </w:tcPr>
                <w:p>
                  <w:pPr>
                    <w:pStyle w:val="41"/>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密闭皮带输送并喷洒水雾降尘</w:t>
                  </w:r>
                </w:p>
              </w:tc>
              <w:tc>
                <w:tcPr>
                  <w:tcW w:w="591"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w:t>
                  </w:r>
                </w:p>
              </w:tc>
              <w:tc>
                <w:tcPr>
                  <w:tcW w:w="595" w:type="pct"/>
                  <w:vAlign w:val="center"/>
                </w:tcPr>
                <w:p>
                  <w:pPr>
                    <w:pStyle w:val="41"/>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0</w:t>
                  </w:r>
                  <w:r>
                    <w:rPr>
                      <w:rFonts w:cs="Times New Roman"/>
                      <w:bCs/>
                      <w:color w:val="000000" w:themeColor="text1"/>
                      <w:szCs w:val="21"/>
                      <w14:textFill>
                        <w14:solidFill>
                          <w14:schemeClr w14:val="tx1"/>
                        </w14:solidFill>
                      </w14:textFill>
                    </w:rPr>
                    <w:t>.19</w:t>
                  </w:r>
                </w:p>
              </w:tc>
              <w:tc>
                <w:tcPr>
                  <w:tcW w:w="558" w:type="pct"/>
                  <w:vAlign w:val="center"/>
                </w:tcPr>
                <w:p>
                  <w:pPr>
                    <w:pStyle w:val="41"/>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w:t>
                  </w:r>
                </w:p>
              </w:tc>
            </w:tr>
          </w:tbl>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（8）排气筒设置情况</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本项目排气筒情况如下表所示。</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表4.3  本项目排气筒设置情况一览表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287"/>
              <w:gridCol w:w="1344"/>
              <w:gridCol w:w="1188"/>
              <w:gridCol w:w="889"/>
              <w:gridCol w:w="1057"/>
              <w:gridCol w:w="612"/>
              <w:gridCol w:w="612"/>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61" w:type="pct"/>
                  <w:gridSpan w:val="2"/>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w:t>
                  </w:r>
                </w:p>
              </w:tc>
              <w:tc>
                <w:tcPr>
                  <w:tcW w:w="1477" w:type="pct"/>
                  <w:gridSpan w:val="2"/>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排气筒底部中心地理坐标</w:t>
                  </w:r>
                  <w:r>
                    <w:rPr>
                      <w:rFonts w:hint="eastAsia" w:cs="Times New Roman"/>
                      <w:b/>
                      <w:bCs/>
                      <w:color w:val="000000" w:themeColor="text1"/>
                      <w14:textFill>
                        <w14:solidFill>
                          <w14:schemeClr w14:val="tx1"/>
                        </w14:solidFill>
                      </w14:textFill>
                    </w:rPr>
                    <w:t>（°）</w:t>
                  </w:r>
                </w:p>
              </w:tc>
              <w:tc>
                <w:tcPr>
                  <w:tcW w:w="519" w:type="pct"/>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废气排放量m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/h</w:t>
                  </w:r>
                </w:p>
              </w:tc>
              <w:tc>
                <w:tcPr>
                  <w:tcW w:w="617" w:type="pct"/>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年排放小时数h</w:t>
                  </w:r>
                </w:p>
              </w:tc>
              <w:tc>
                <w:tcPr>
                  <w:tcW w:w="357" w:type="pct"/>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高度m</w:t>
                  </w:r>
                </w:p>
              </w:tc>
              <w:tc>
                <w:tcPr>
                  <w:tcW w:w="357" w:type="pct"/>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内径m</w:t>
                  </w:r>
                </w:p>
              </w:tc>
              <w:tc>
                <w:tcPr>
                  <w:tcW w:w="411" w:type="pct"/>
                  <w:vMerge w:val="restar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出口温度℃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pPr>
                    <w:pStyle w:val="41"/>
                    <w:jc w:val="center"/>
                    <w:rPr>
                      <w:rFonts w:cs="Times New Roman"/>
                      <w:b/>
                      <w:bCs/>
                      <w:color w:val="000000" w:themeColor="text1"/>
                      <w:kern w:val="2"/>
                      <w14:textFill>
                        <w14:solidFill>
                          <w14:schemeClr w14:val="tx1"/>
                        </w14:solidFill>
                      </w14:textFill>
                    </w:rPr>
                  </w:pPr>
                  <w:r>
                    <w:rPr>
                      <w:rFonts w:cs="Times New Roman"/>
                      <w:b/>
                      <w:bCs/>
                      <w:color w:val="000000" w:themeColor="text1"/>
                      <w14:textFill>
                        <w14:solidFill>
                          <w14:schemeClr w14:val="tx1"/>
                        </w14:solidFill>
                      </w14:textFill>
                    </w:rPr>
                    <w:t>编号</w:t>
                  </w:r>
                </w:p>
              </w:tc>
              <w:tc>
                <w:tcPr>
                  <w:tcW w:w="751" w:type="pct"/>
                  <w:vAlign w:val="center"/>
                </w:tcPr>
                <w:p>
                  <w:pPr>
                    <w:pStyle w:val="41"/>
                    <w:jc w:val="center"/>
                    <w:rPr>
                      <w:rFonts w:cs="Times New Roman"/>
                      <w:b/>
                      <w:bCs/>
                      <w:color w:val="000000" w:themeColor="text1"/>
                      <w:kern w:val="2"/>
                      <w14:textFill>
                        <w14:solidFill>
                          <w14:schemeClr w14:val="tx1"/>
                        </w14:solidFill>
                      </w14:textFill>
                    </w:rPr>
                  </w:pPr>
                  <w:r>
                    <w:rPr>
                      <w:rFonts w:cs="Times New Roman"/>
                      <w:b/>
                      <w:bCs/>
                      <w:color w:val="000000" w:themeColor="text1"/>
                      <w14:textFill>
                        <w14:solidFill>
                          <w14:schemeClr w14:val="tx1"/>
                        </w14:solidFill>
                      </w14:textFill>
                    </w:rPr>
                    <w:t>名称</w:t>
                  </w:r>
                </w:p>
              </w:tc>
              <w:tc>
                <w:tcPr>
                  <w:tcW w:w="1477" w:type="pct"/>
                  <w:gridSpan w:val="2"/>
                  <w:vMerge w:val="continue"/>
                  <w:vAlign w:val="center"/>
                </w:tcPr>
                <w:p>
                  <w:pPr>
                    <w:pStyle w:val="41"/>
                    <w:jc w:val="center"/>
                    <w:rPr>
                      <w:rFonts w:cs="Times New Roman"/>
                      <w:b/>
                      <w:bCs/>
                      <w:color w:val="000000" w:themeColor="text1"/>
                      <w:kern w:val="2"/>
                      <w14:textFill>
                        <w14:solidFill>
                          <w14:schemeClr w14:val="tx1"/>
                        </w14:solidFill>
                      </w14:textFill>
                    </w:rPr>
                  </w:pPr>
                </w:p>
              </w:tc>
              <w:tc>
                <w:tcPr>
                  <w:tcW w:w="519" w:type="pct"/>
                  <w:vMerge w:val="continue"/>
                  <w:vAlign w:val="center"/>
                </w:tcPr>
                <w:p>
                  <w:pPr>
                    <w:pStyle w:val="41"/>
                    <w:jc w:val="center"/>
                    <w:rPr>
                      <w:rFonts w:cs="Times New Roman"/>
                      <w:color w:val="000000" w:themeColor="text1"/>
                      <w:kern w:val="2"/>
                      <w14:textFill>
                        <w14:solidFill>
                          <w14:schemeClr w14:val="tx1"/>
                        </w14:solidFill>
                      </w14:textFill>
                    </w:rPr>
                  </w:pPr>
                </w:p>
              </w:tc>
              <w:tc>
                <w:tcPr>
                  <w:tcW w:w="617" w:type="pct"/>
                  <w:vMerge w:val="continue"/>
                  <w:vAlign w:val="center"/>
                </w:tcPr>
                <w:p>
                  <w:pPr>
                    <w:pStyle w:val="41"/>
                    <w:jc w:val="center"/>
                    <w:rPr>
                      <w:rFonts w:cs="Times New Roman"/>
                      <w:color w:val="000000" w:themeColor="text1"/>
                      <w:kern w:val="2"/>
                      <w14:textFill>
                        <w14:solidFill>
                          <w14:schemeClr w14:val="tx1"/>
                        </w14:solidFill>
                      </w14:textFill>
                    </w:rPr>
                  </w:pPr>
                </w:p>
              </w:tc>
              <w:tc>
                <w:tcPr>
                  <w:tcW w:w="357" w:type="pct"/>
                  <w:vMerge w:val="continue"/>
                  <w:vAlign w:val="center"/>
                </w:tcPr>
                <w:p>
                  <w:pPr>
                    <w:pStyle w:val="41"/>
                    <w:jc w:val="center"/>
                    <w:rPr>
                      <w:rFonts w:cs="Times New Roman"/>
                      <w:color w:val="000000" w:themeColor="text1"/>
                      <w:kern w:val="2"/>
                      <w14:textFill>
                        <w14:solidFill>
                          <w14:schemeClr w14:val="tx1"/>
                        </w14:solidFill>
                      </w14:textFill>
                    </w:rPr>
                  </w:pPr>
                </w:p>
              </w:tc>
              <w:tc>
                <w:tcPr>
                  <w:tcW w:w="357" w:type="pct"/>
                  <w:vMerge w:val="continue"/>
                  <w:vAlign w:val="center"/>
                </w:tcPr>
                <w:p>
                  <w:pPr>
                    <w:pStyle w:val="41"/>
                    <w:jc w:val="center"/>
                    <w:rPr>
                      <w:rFonts w:cs="Times New Roman"/>
                      <w:color w:val="000000" w:themeColor="text1"/>
                      <w:kern w:val="2"/>
                      <w14:textFill>
                        <w14:solidFill>
                          <w14:schemeClr w14:val="tx1"/>
                        </w14:solidFill>
                      </w14:textFill>
                    </w:rPr>
                  </w:pPr>
                </w:p>
              </w:tc>
              <w:tc>
                <w:tcPr>
                  <w:tcW w:w="411" w:type="pct"/>
                  <w:vMerge w:val="continue"/>
                  <w:vAlign w:val="center"/>
                </w:tcPr>
                <w:p>
                  <w:pPr>
                    <w:pStyle w:val="41"/>
                    <w:jc w:val="center"/>
                    <w:rPr>
                      <w:rFonts w:cs="Times New Roman"/>
                      <w:color w:val="000000" w:themeColor="text1"/>
                      <w:kern w:val="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DA001</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1</w:t>
                  </w:r>
                  <w:r>
                    <w:rPr>
                      <w:rFonts w:cs="Times New Roman"/>
                      <w:color w:val="000000" w:themeColor="text1"/>
                      <w:kern w:val="2"/>
                      <w14:textFill>
                        <w14:solidFill>
                          <w14:schemeClr w14:val="tx1"/>
                        </w14:solidFill>
                      </w14:textFill>
                    </w:rPr>
                    <w:t>#</w:t>
                  </w:r>
                  <w:r>
                    <w:rPr>
                      <w:rFonts w:hint="eastAsia" w:cs="Times New Roman"/>
                      <w:color w:val="000000" w:themeColor="text1"/>
                      <w:kern w:val="2"/>
                      <w14:textFill>
                        <w14:solidFill>
                          <w14:schemeClr w14:val="tx1"/>
                        </w14:solidFill>
                      </w14:textFill>
                    </w:rPr>
                    <w:t>水泥筒仓</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106.16388</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36.06916</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0.5</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D</w:t>
                  </w:r>
                  <w:r>
                    <w:rPr>
                      <w:rFonts w:cs="Times New Roman"/>
                      <w:color w:val="000000" w:themeColor="text1"/>
                      <w:kern w:val="2"/>
                      <w14:textFill>
                        <w14:solidFill>
                          <w14:schemeClr w14:val="tx1"/>
                        </w14:solidFill>
                      </w14:textFill>
                    </w:rPr>
                    <w:t>A002</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w:t>
                  </w:r>
                  <w:r>
                    <w:rPr>
                      <w:rFonts w:hint="eastAsia" w:cs="Times New Roman"/>
                      <w:color w:val="000000" w:themeColor="text1"/>
                      <w:kern w:val="2"/>
                      <w14:textFill>
                        <w14:solidFill>
                          <w14:schemeClr w14:val="tx1"/>
                        </w14:solidFill>
                      </w14:textFill>
                    </w:rPr>
                    <w:t>水泥筒仓</w:t>
                  </w:r>
                </w:p>
              </w:tc>
              <w:tc>
                <w:tcPr>
                  <w:tcW w:w="784" w:type="pct"/>
                  <w:vAlign w:val="center"/>
                </w:tcPr>
                <w:p>
                  <w:pPr>
                    <w:pStyle w:val="41"/>
                    <w:jc w:val="center"/>
                    <w:rPr>
                      <w:rFonts w:cs="Times New Roman"/>
                      <w:color w:val="000000" w:themeColor="text1"/>
                      <w:kern w:val="2"/>
                      <w14:textFill>
                        <w14:solidFill>
                          <w14:schemeClr w14:val="tx1"/>
                        </w14:solidFill>
                      </w14:textFill>
                    </w:rPr>
                  </w:pPr>
                  <w:r>
                    <w:rPr>
                      <w:color w:val="000000" w:themeColor="text1"/>
                      <w14:textFill>
                        <w14:solidFill>
                          <w14:schemeClr w14:val="tx1"/>
                        </w14:solidFill>
                      </w14:textFill>
                    </w:rPr>
                    <w:t>106.16388</w:t>
                  </w:r>
                </w:p>
              </w:tc>
              <w:tc>
                <w:tcPr>
                  <w:tcW w:w="693" w:type="pct"/>
                  <w:vAlign w:val="center"/>
                </w:tcPr>
                <w:p>
                  <w:pPr>
                    <w:pStyle w:val="41"/>
                    <w:jc w:val="center"/>
                    <w:rPr>
                      <w:rFonts w:cs="Times New Roman"/>
                      <w:color w:val="000000" w:themeColor="text1"/>
                      <w:kern w:val="2"/>
                      <w14:textFill>
                        <w14:solidFill>
                          <w14:schemeClr w14:val="tx1"/>
                        </w14:solidFill>
                      </w14:textFill>
                    </w:rPr>
                  </w:pPr>
                  <w:r>
                    <w:rPr>
                      <w:color w:val="000000" w:themeColor="text1"/>
                      <w14:textFill>
                        <w14:solidFill>
                          <w14:schemeClr w14:val="tx1"/>
                        </w14:solidFill>
                      </w14:textFill>
                    </w:rPr>
                    <w:t>36.06916</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0.5</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DA003</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粉煤灰筒仓</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106.16391</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36.06916</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5000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0.5</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D</w:t>
                  </w:r>
                  <w:r>
                    <w:rPr>
                      <w:rFonts w:cs="Times New Roman"/>
                      <w:color w:val="000000" w:themeColor="text1"/>
                      <w:kern w:val="2"/>
                      <w14:textFill>
                        <w14:solidFill>
                          <w14:schemeClr w14:val="tx1"/>
                        </w14:solidFill>
                      </w14:textFill>
                    </w:rPr>
                    <w:t>A004</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矿粉筒仓</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106.16391</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36.06916</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5</w:t>
                  </w:r>
                  <w:r>
                    <w:rPr>
                      <w:rFonts w:cs="Times New Roman"/>
                      <w:color w:val="000000" w:themeColor="text1"/>
                      <w:kern w:val="2"/>
                      <w14:textFill>
                        <w14:solidFill>
                          <w14:schemeClr w14:val="tx1"/>
                        </w14:solidFill>
                      </w14:textFill>
                    </w:rPr>
                    <w:t>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49</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20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0</w:t>
                  </w:r>
                  <w:r>
                    <w:rPr>
                      <w:rFonts w:cs="Times New Roman"/>
                      <w:color w:val="000000" w:themeColor="text1"/>
                      <w:kern w:val="2"/>
                      <w14:textFill>
                        <w14:solidFill>
                          <w14:schemeClr w14:val="tx1"/>
                        </w14:solidFill>
                      </w14:textFill>
                    </w:rPr>
                    <w:t>.5</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D</w:t>
                  </w:r>
                  <w:r>
                    <w:rPr>
                      <w:rFonts w:cs="Times New Roman"/>
                      <w:color w:val="000000" w:themeColor="text1"/>
                      <w:kern w:val="2"/>
                      <w14:textFill>
                        <w14:solidFill>
                          <w14:schemeClr w14:val="tx1"/>
                        </w14:solidFill>
                      </w14:textFill>
                    </w:rPr>
                    <w:t>A005</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搅拌机</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106.16385</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36.06917</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0000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400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0</w:t>
                  </w:r>
                  <w:r>
                    <w:rPr>
                      <w:rFonts w:cs="Times New Roman"/>
                      <w:color w:val="000000" w:themeColor="text1"/>
                      <w:kern w:val="2"/>
                      <w14:textFill>
                        <w14:solidFill>
                          <w14:schemeClr w14:val="tx1"/>
                        </w14:solidFill>
                      </w14:textFill>
                    </w:rPr>
                    <w:t>.8</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D</w:t>
                  </w:r>
                  <w:r>
                    <w:rPr>
                      <w:rFonts w:cs="Times New Roman"/>
                      <w:color w:val="000000" w:themeColor="text1"/>
                      <w:kern w:val="2"/>
                      <w14:textFill>
                        <w14:solidFill>
                          <w14:schemeClr w14:val="tx1"/>
                        </w14:solidFill>
                      </w14:textFill>
                    </w:rPr>
                    <w:t>A006</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砂石破碎、筛分</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106.16350</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36.06902</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1</w:t>
                  </w:r>
                  <w:r>
                    <w:rPr>
                      <w:rFonts w:cs="Times New Roman"/>
                      <w:color w:val="000000" w:themeColor="text1"/>
                      <w:kern w:val="2"/>
                      <w14:textFill>
                        <w14:solidFill>
                          <w14:schemeClr w14:val="tx1"/>
                        </w14:solidFill>
                      </w14:textFill>
                    </w:rPr>
                    <w:t>5000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400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0</w:t>
                  </w:r>
                  <w:r>
                    <w:rPr>
                      <w:rFonts w:cs="Times New Roman"/>
                      <w:color w:val="000000" w:themeColor="text1"/>
                      <w:kern w:val="2"/>
                      <w14:textFill>
                        <w14:solidFill>
                          <w14:schemeClr w14:val="tx1"/>
                        </w14:solidFill>
                      </w14:textFill>
                    </w:rPr>
                    <w:t>.8</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D</w:t>
                  </w:r>
                  <w:r>
                    <w:rPr>
                      <w:rFonts w:cs="Times New Roman"/>
                      <w:color w:val="000000" w:themeColor="text1"/>
                      <w:kern w:val="2"/>
                      <w14:textFill>
                        <w14:solidFill>
                          <w14:schemeClr w14:val="tx1"/>
                        </w14:solidFill>
                      </w14:textFill>
                    </w:rPr>
                    <w:t>A007</w:t>
                  </w:r>
                </w:p>
              </w:tc>
              <w:tc>
                <w:tcPr>
                  <w:tcW w:w="75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食堂油烟</w:t>
                  </w:r>
                </w:p>
              </w:tc>
              <w:tc>
                <w:tcPr>
                  <w:tcW w:w="784"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106.16437</w:t>
                  </w:r>
                </w:p>
              </w:tc>
              <w:tc>
                <w:tcPr>
                  <w:tcW w:w="693"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36.06980</w:t>
                  </w:r>
                </w:p>
              </w:tc>
              <w:tc>
                <w:tcPr>
                  <w:tcW w:w="519"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4</w:t>
                  </w:r>
                  <w:r>
                    <w:rPr>
                      <w:rFonts w:cs="Times New Roman"/>
                      <w:color w:val="000000" w:themeColor="text1"/>
                      <w:kern w:val="2"/>
                      <w14:textFill>
                        <w14:solidFill>
                          <w14:schemeClr w14:val="tx1"/>
                        </w14:solidFill>
                      </w14:textFill>
                    </w:rPr>
                    <w:t>000</w:t>
                  </w:r>
                </w:p>
              </w:tc>
              <w:tc>
                <w:tcPr>
                  <w:tcW w:w="61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1</w:t>
                  </w:r>
                  <w:r>
                    <w:rPr>
                      <w:rFonts w:cs="Times New Roman"/>
                      <w:color w:val="000000" w:themeColor="text1"/>
                      <w:kern w:val="2"/>
                      <w14:textFill>
                        <w14:solidFill>
                          <w14:schemeClr w14:val="tx1"/>
                        </w14:solidFill>
                      </w14:textFill>
                    </w:rPr>
                    <w:t>500</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cs="Times New Roman"/>
                      <w:color w:val="000000" w:themeColor="text1"/>
                      <w:kern w:val="2"/>
                      <w14:textFill>
                        <w14:solidFill>
                          <w14:schemeClr w14:val="tx1"/>
                        </w14:solidFill>
                      </w14:textFill>
                    </w:rPr>
                    <w:t>4</w:t>
                  </w:r>
                </w:p>
              </w:tc>
              <w:tc>
                <w:tcPr>
                  <w:tcW w:w="357"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0</w:t>
                  </w:r>
                  <w:r>
                    <w:rPr>
                      <w:rFonts w:cs="Times New Roman"/>
                      <w:color w:val="000000" w:themeColor="text1"/>
                      <w:kern w:val="2"/>
                      <w14:textFill>
                        <w14:solidFill>
                          <w14:schemeClr w14:val="tx1"/>
                        </w14:solidFill>
                      </w14:textFill>
                    </w:rPr>
                    <w:t>.1</w:t>
                  </w:r>
                </w:p>
              </w:tc>
              <w:tc>
                <w:tcPr>
                  <w:tcW w:w="411" w:type="pct"/>
                  <w:vAlign w:val="center"/>
                </w:tcPr>
                <w:p>
                  <w:pPr>
                    <w:pStyle w:val="41"/>
                    <w:jc w:val="center"/>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2</w:t>
                  </w:r>
                  <w:r>
                    <w:rPr>
                      <w:rFonts w:cs="Times New Roman"/>
                      <w:color w:val="000000" w:themeColor="text1"/>
                      <w:kern w:val="2"/>
                      <w14:textFill>
                        <w14:solidFill>
                          <w14:schemeClr w14:val="tx1"/>
                        </w14:solidFill>
                      </w14:textFill>
                    </w:rPr>
                    <w:t>5</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）非正常工况</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非正常工况排放主要分为两类：一类是在正常生产设备开停、工艺设备故障或部分设备检修时会有较大量的污染物排出，另一类是环保设施达不到设计规定的指标运行，而使正常排放的污染物经过不完全处理或不经过处理直接排放而导致的超标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①设备检修及开停车</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开车时，首先启动环保装置，然后再按照规程依次启动生产线上各个设备，一般不会出现超标排污的现象；停车时，则需先按照规程依次关闭生产线上的设备，然后关闭环保设备，保证污染物达标排放。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②非正常工况废气污染源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根据工程特点，本项目非正常工况污染物的排放，主要为有组织废气处理设施故障。</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因此，本次评价主要考虑水泥仓顶脉冲式布袋除尘器处理系统故障大气污染物非正常工况排放。本次评价以有组织废气处理系统失效，即处理效率为0考虑，单次持续时间以1h计。</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大气污染物非正常工况排放情况表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958"/>
              <w:gridCol w:w="1170"/>
              <w:gridCol w:w="1252"/>
              <w:gridCol w:w="989"/>
              <w:gridCol w:w="1222"/>
              <w:gridCol w:w="956"/>
              <w:gridCol w:w="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2"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装置名称</w:t>
                  </w:r>
                </w:p>
              </w:tc>
              <w:tc>
                <w:tcPr>
                  <w:tcW w:w="559"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污染源名称</w:t>
                  </w:r>
                </w:p>
              </w:tc>
              <w:tc>
                <w:tcPr>
                  <w:tcW w:w="683"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非正常工况原因</w:t>
                  </w:r>
                </w:p>
              </w:tc>
              <w:tc>
                <w:tcPr>
                  <w:tcW w:w="731"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排放浓度m</w:t>
                  </w:r>
                  <w:r>
                    <w:rPr>
                      <w:b/>
                      <w:bCs/>
                      <w:color w:val="000000" w:themeColor="text1"/>
                      <w14:textFill>
                        <w14:solidFill>
                          <w14:schemeClr w14:val="tx1"/>
                        </w14:solidFill>
                      </w14:textFill>
                    </w:rPr>
                    <w:t>g/m</w:t>
                  </w:r>
                  <w:r>
                    <w:rPr>
                      <w:b/>
                      <w:bCs/>
                      <w:color w:val="000000" w:themeColor="text1"/>
                      <w:vertAlign w:val="superscript"/>
                      <w14:textFill>
                        <w14:solidFill>
                          <w14:schemeClr w14:val="tx1"/>
                        </w14:solidFill>
                      </w14:textFill>
                    </w:rPr>
                    <w:t>3</w:t>
                  </w:r>
                </w:p>
              </w:tc>
              <w:tc>
                <w:tcPr>
                  <w:tcW w:w="577"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标准值m</w:t>
                  </w:r>
                  <w:r>
                    <w:rPr>
                      <w:b/>
                      <w:bCs/>
                      <w:color w:val="000000" w:themeColor="text1"/>
                      <w14:textFill>
                        <w14:solidFill>
                          <w14:schemeClr w14:val="tx1"/>
                        </w14:solidFill>
                      </w14:textFill>
                    </w:rPr>
                    <w:t>g/m</w:t>
                  </w:r>
                  <w:r>
                    <w:rPr>
                      <w:b/>
                      <w:bCs/>
                      <w:color w:val="000000" w:themeColor="text1"/>
                      <w:vertAlign w:val="superscript"/>
                      <w14:textFill>
                        <w14:solidFill>
                          <w14:schemeClr w14:val="tx1"/>
                        </w14:solidFill>
                      </w14:textFill>
                    </w:rPr>
                    <w:t>3</w:t>
                  </w:r>
                </w:p>
              </w:tc>
              <w:tc>
                <w:tcPr>
                  <w:tcW w:w="713"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发生频率（次/a）</w:t>
                  </w:r>
                </w:p>
              </w:tc>
              <w:tc>
                <w:tcPr>
                  <w:tcW w:w="558"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单次持续时间</w:t>
                  </w:r>
                </w:p>
              </w:tc>
              <w:tc>
                <w:tcPr>
                  <w:tcW w:w="558"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一次排放量k</w:t>
                  </w:r>
                  <w:r>
                    <w:rPr>
                      <w:b/>
                      <w:bCs/>
                      <w:color w:val="000000" w:themeColor="text1"/>
                      <w14:textFill>
                        <w14:solidFill>
                          <w14:schemeClr w14:val="tx1"/>
                        </w14:solidFill>
                      </w14:textFill>
                    </w:rPr>
                    <w:t>g/</w:t>
                  </w:r>
                  <w:r>
                    <w:rPr>
                      <w:rFonts w:hint="eastAsia"/>
                      <w:b/>
                      <w:bCs/>
                      <w:color w:val="000000" w:themeColor="text1"/>
                      <w14:textFill>
                        <w14:solidFill>
                          <w14:schemeClr w14:val="tx1"/>
                        </w14:solidFill>
                      </w14:textFill>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水泥仓顶脉冲式布袋除尘器</w:t>
                  </w:r>
                </w:p>
              </w:tc>
              <w:tc>
                <w:tcPr>
                  <w:tcW w:w="559"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683"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发生故障停止运行</w:t>
                  </w:r>
                </w:p>
              </w:tc>
              <w:tc>
                <w:tcPr>
                  <w:tcW w:w="731"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400</w:t>
                  </w:r>
                </w:p>
              </w:tc>
              <w:tc>
                <w:tcPr>
                  <w:tcW w:w="57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713"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58"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0min</w:t>
                  </w:r>
                </w:p>
              </w:tc>
              <w:tc>
                <w:tcPr>
                  <w:tcW w:w="55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r>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③非正常工况防范措施</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A对脉冲式布袋除尘器设备操作人员进行岗位培训，使其熟练掌握操作规程和技术，熟悉设备的维护和维修，确保脉冲式布袋除尘器设备处理效率达到设计要求。</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B加强企业的运行管理，通过规章制度约束工人按操作规程工作。</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C如果脉冲式布袋除尘器设备发生故障，应立刻停止相关的工艺和系统操作，立即检修，避免对周围环境造成污染。先关闭工艺设备再关闭环保设备，先开启环保设备再开启工艺设备。</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措施可行性分析</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本项目产生废气的环节主要是原料筒仓顶部呼吸孔粉尘、搅拌粉尘、砂石料储存粉尘、转载粉尘、车辆运输扬尘、砂石料破碎筛分粉尘以及食堂油烟。原料筒仓顶部呼吸孔粉尘经各筒仓上方脉冲式布袋除尘器处理后高空排放；砂石料破碎、筛分工序产生的粉尘分别经破碎机上方的集气罩收集至布袋除尘器（处理效率为99.6%）处理后由一根20m高排气筒排放；颗粒物有组织排放满足《水泥工业大气污染物排放标准》（GB4915-2013）标准中有组织特别排放限值要求；搅拌工序产生的粉尘经生产线搅拌机上方脉冲式布袋除尘器处理后经20m高的排气筒排放；砂石料储存厂房密闭处理，只留车辆进出口，原料推存区定期洒水抑尘，保持堆场表层润湿，砂石料储存粉尘基本就地沉降；整个配料及转载过程均在密闭的条件下完成，物料转载粉尘产生量较小；厂区道路进行定时洒水，对装载机和运输车辆每次装卸进行控制，不得超载、超速，以减少道路扬尘，厂区颗粒物无组织排放满足《水泥工业大气污染物排放标准》（GB4915-2013）标准中无组织排放要求；食堂油烟经油烟净化器处理后高空排放，满足《饮食业油烟排放标准》（试行）（GB18483-2001）表2中排放浓度限值要求（有组织：排放浓度≤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综上所述，本项目产生的废气各环节均设置污染物治理措施，各大气污染物均可实现达标排放，不会改变项目周边大气环境质量现状，对周边环境影响较小。</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监测计划</w:t>
            </w:r>
          </w:p>
          <w:p>
            <w:pPr>
              <w:adjustRightInd w:val="0"/>
              <w:snapToGri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根据《排污单位自行监测技术指南 水泥工业》（HJ848-2017）及工程排污特点及实际情况，项目建成投产后，需要健全各项监测制度并保证其实施，监测制度详细内容见下表。</w:t>
            </w:r>
          </w:p>
          <w:p>
            <w:pPr>
              <w:adjustRightInd w:val="0"/>
              <w:snapToGrid w:val="0"/>
              <w:jc w:val="center"/>
              <w:rPr>
                <w:rFonts w:eastAsia="黑体"/>
                <w:snapToGrid w:val="0"/>
                <w:color w:val="000000" w:themeColor="text1"/>
                <w:kern w:val="0"/>
                <w:sz w:val="24"/>
                <w:szCs w:val="22"/>
                <w14:textFill>
                  <w14:solidFill>
                    <w14:schemeClr w14:val="tx1"/>
                  </w14:solidFill>
                </w14:textFill>
              </w:rPr>
            </w:pPr>
            <w:r>
              <w:rPr>
                <w:rFonts w:eastAsia="黑体"/>
                <w:snapToGrid w:val="0"/>
                <w:color w:val="000000" w:themeColor="text1"/>
                <w:kern w:val="0"/>
                <w:sz w:val="24"/>
                <w:szCs w:val="22"/>
                <w14:textFill>
                  <w14:solidFill>
                    <w14:schemeClr w14:val="tx1"/>
                  </w14:solidFill>
                </w14:textFill>
              </w:rPr>
              <w:t>表4.5  本项目运营期环境监测计划一览表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203"/>
              <w:gridCol w:w="3680"/>
              <w:gridCol w:w="1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因素</w:t>
                  </w:r>
                </w:p>
              </w:tc>
              <w:tc>
                <w:tcPr>
                  <w:tcW w:w="1286"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监测位置</w:t>
                  </w:r>
                </w:p>
              </w:tc>
              <w:tc>
                <w:tcPr>
                  <w:tcW w:w="2148"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监测项目</w:t>
                  </w:r>
                </w:p>
              </w:tc>
              <w:tc>
                <w:tcPr>
                  <w:tcW w:w="966"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restar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废气</w:t>
                  </w:r>
                </w:p>
              </w:tc>
              <w:tc>
                <w:tcPr>
                  <w:tcW w:w="1286"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厂界</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DA001</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D</w:t>
                  </w:r>
                  <w:r>
                    <w:rPr>
                      <w:bCs/>
                      <w:snapToGrid w:val="0"/>
                      <w:color w:val="000000" w:themeColor="text1"/>
                      <w:kern w:val="0"/>
                      <w:szCs w:val="21"/>
                      <w14:textFill>
                        <w14:solidFill>
                          <w14:schemeClr w14:val="tx1"/>
                        </w14:solidFill>
                      </w14:textFill>
                    </w:rPr>
                    <w:t>A002</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D</w:t>
                  </w:r>
                  <w:r>
                    <w:rPr>
                      <w:bCs/>
                      <w:snapToGrid w:val="0"/>
                      <w:color w:val="000000" w:themeColor="text1"/>
                      <w:kern w:val="0"/>
                      <w:szCs w:val="21"/>
                      <w14:textFill>
                        <w14:solidFill>
                          <w14:schemeClr w14:val="tx1"/>
                        </w14:solidFill>
                      </w14:textFill>
                    </w:rPr>
                    <w:t>A003</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D</w:t>
                  </w:r>
                  <w:r>
                    <w:rPr>
                      <w:bCs/>
                      <w:snapToGrid w:val="0"/>
                      <w:color w:val="000000" w:themeColor="text1"/>
                      <w:kern w:val="0"/>
                      <w:szCs w:val="21"/>
                      <w14:textFill>
                        <w14:solidFill>
                          <w14:schemeClr w14:val="tx1"/>
                        </w14:solidFill>
                      </w14:textFill>
                    </w:rPr>
                    <w:t>A004</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D</w:t>
                  </w:r>
                  <w:r>
                    <w:rPr>
                      <w:bCs/>
                      <w:snapToGrid w:val="0"/>
                      <w:color w:val="000000" w:themeColor="text1"/>
                      <w:kern w:val="0"/>
                      <w:szCs w:val="21"/>
                      <w14:textFill>
                        <w14:solidFill>
                          <w14:schemeClr w14:val="tx1"/>
                        </w14:solidFill>
                      </w14:textFill>
                    </w:rPr>
                    <w:t>A005</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0" w:type="pct"/>
                  <w:vMerge w:val="continue"/>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p>
              </w:tc>
              <w:tc>
                <w:tcPr>
                  <w:tcW w:w="128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D</w:t>
                  </w:r>
                  <w:r>
                    <w:rPr>
                      <w:bCs/>
                      <w:snapToGrid w:val="0"/>
                      <w:color w:val="000000" w:themeColor="text1"/>
                      <w:kern w:val="0"/>
                      <w:szCs w:val="21"/>
                      <w14:textFill>
                        <w14:solidFill>
                          <w14:schemeClr w14:val="tx1"/>
                        </w14:solidFill>
                      </w14:textFill>
                    </w:rPr>
                    <w:t>A006</w:t>
                  </w:r>
                </w:p>
              </w:tc>
              <w:tc>
                <w:tcPr>
                  <w:tcW w:w="2148"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caps/>
                      <w:snapToGrid w:val="0"/>
                      <w:color w:val="000000" w:themeColor="text1"/>
                      <w:kern w:val="0"/>
                      <w:szCs w:val="21"/>
                      <w14:textFill>
                        <w14:solidFill>
                          <w14:schemeClr w14:val="tx1"/>
                        </w14:solidFill>
                      </w14:textFill>
                    </w:rPr>
                    <w:t>颗粒物</w:t>
                  </w:r>
                </w:p>
              </w:tc>
              <w:tc>
                <w:tcPr>
                  <w:tcW w:w="966" w:type="pct"/>
                  <w:vAlign w:val="center"/>
                </w:tcPr>
                <w:p>
                  <w:pPr>
                    <w:tabs>
                      <w:tab w:val="right" w:leader="dot" w:pos="9061"/>
                    </w:tabs>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bl>
          <w:p>
            <w:pPr>
              <w:pStyle w:val="42"/>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、废水环境影响和保护措施</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本项目设备清洗废水、场地冲洗废水、车辆清洗废水均经沉淀后回用，因此本项目无生产废水，产生的废水主要为生活污水（包含餐饮废水）。</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污染物产排情况</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本项目废水污染物产排情况详见下表。</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生活污水污染源排放情况一览表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7"/>
              <w:gridCol w:w="637"/>
              <w:gridCol w:w="764"/>
              <w:gridCol w:w="692"/>
              <w:gridCol w:w="1040"/>
              <w:gridCol w:w="595"/>
              <w:gridCol w:w="1037"/>
              <w:gridCol w:w="889"/>
              <w:gridCol w:w="894"/>
              <w:gridCol w:w="906"/>
              <w:gridCol w:w="5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02"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372"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废水量m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/a</w:t>
                  </w:r>
                </w:p>
              </w:tc>
              <w:tc>
                <w:tcPr>
                  <w:tcW w:w="446"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011" w:type="pct"/>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污染物产生状况</w:t>
                  </w:r>
                </w:p>
              </w:tc>
              <w:tc>
                <w:tcPr>
                  <w:tcW w:w="347"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w:t>
                  </w:r>
                </w:p>
              </w:tc>
              <w:tc>
                <w:tcPr>
                  <w:tcW w:w="605"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处理效率</w:t>
                  </w:r>
                </w:p>
              </w:tc>
              <w:tc>
                <w:tcPr>
                  <w:tcW w:w="1041" w:type="pct"/>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污染物排放状况</w:t>
                  </w:r>
                </w:p>
              </w:tc>
              <w:tc>
                <w:tcPr>
                  <w:tcW w:w="529"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去向</w:t>
                  </w:r>
                </w:p>
              </w:tc>
              <w:tc>
                <w:tcPr>
                  <w:tcW w:w="347" w:type="pct"/>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限值标准mg/L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302" w:type="pct"/>
                  <w:vMerge w:val="continue"/>
                  <w:vAlign w:val="center"/>
                </w:tcPr>
                <w:p>
                  <w:pPr>
                    <w:jc w:val="center"/>
                    <w:rPr>
                      <w:b/>
                      <w:bCs/>
                      <w:color w:val="000000" w:themeColor="text1"/>
                      <w:szCs w:val="21"/>
                      <w14:textFill>
                        <w14:solidFill>
                          <w14:schemeClr w14:val="tx1"/>
                        </w14:solidFill>
                      </w14:textFill>
                    </w:rPr>
                  </w:pPr>
                </w:p>
              </w:tc>
              <w:tc>
                <w:tcPr>
                  <w:tcW w:w="372" w:type="pct"/>
                  <w:vMerge w:val="continue"/>
                  <w:vAlign w:val="center"/>
                </w:tcPr>
                <w:p>
                  <w:pPr>
                    <w:jc w:val="center"/>
                    <w:rPr>
                      <w:b/>
                      <w:bCs/>
                      <w:color w:val="000000" w:themeColor="text1"/>
                      <w:szCs w:val="21"/>
                      <w14:textFill>
                        <w14:solidFill>
                          <w14:schemeClr w14:val="tx1"/>
                        </w14:solidFill>
                      </w14:textFill>
                    </w:rPr>
                  </w:pPr>
                </w:p>
              </w:tc>
              <w:tc>
                <w:tcPr>
                  <w:tcW w:w="446" w:type="pct"/>
                  <w:vMerge w:val="continue"/>
                  <w:vAlign w:val="center"/>
                </w:tcPr>
                <w:p>
                  <w:pPr>
                    <w:jc w:val="center"/>
                    <w:rPr>
                      <w:b/>
                      <w:bCs/>
                      <w:color w:val="000000" w:themeColor="text1"/>
                      <w:szCs w:val="21"/>
                      <w14:textFill>
                        <w14:solidFill>
                          <w14:schemeClr w14:val="tx1"/>
                        </w14:solidFill>
                      </w14:textFill>
                    </w:rPr>
                  </w:pPr>
                </w:p>
              </w:tc>
              <w:tc>
                <w:tcPr>
                  <w:tcW w:w="404"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mg/L</w:t>
                  </w:r>
                </w:p>
              </w:tc>
              <w:tc>
                <w:tcPr>
                  <w:tcW w:w="60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347" w:type="pct"/>
                  <w:vMerge w:val="continue"/>
                  <w:vAlign w:val="center"/>
                </w:tcPr>
                <w:p>
                  <w:pPr>
                    <w:jc w:val="center"/>
                    <w:rPr>
                      <w:b/>
                      <w:bCs/>
                      <w:color w:val="000000" w:themeColor="text1"/>
                      <w:szCs w:val="21"/>
                      <w14:textFill>
                        <w14:solidFill>
                          <w14:schemeClr w14:val="tx1"/>
                        </w14:solidFill>
                      </w14:textFill>
                    </w:rPr>
                  </w:pPr>
                </w:p>
              </w:tc>
              <w:tc>
                <w:tcPr>
                  <w:tcW w:w="605" w:type="pct"/>
                  <w:vMerge w:val="continue"/>
                  <w:vAlign w:val="center"/>
                </w:tcPr>
                <w:p>
                  <w:pPr>
                    <w:jc w:val="center"/>
                    <w:rPr>
                      <w:b/>
                      <w:bCs/>
                      <w:color w:val="000000" w:themeColor="text1"/>
                      <w:szCs w:val="21"/>
                      <w14:textFill>
                        <w14:solidFill>
                          <w14:schemeClr w14:val="tx1"/>
                        </w14:solidFill>
                      </w14:textFill>
                    </w:rPr>
                  </w:pPr>
                </w:p>
              </w:tc>
              <w:tc>
                <w:tcPr>
                  <w:tcW w:w="519"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mg/L</w:t>
                  </w:r>
                </w:p>
              </w:tc>
              <w:tc>
                <w:tcPr>
                  <w:tcW w:w="52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529" w:type="pct"/>
                  <w:vMerge w:val="continue"/>
                  <w:vAlign w:val="center"/>
                </w:tcPr>
                <w:p>
                  <w:pPr>
                    <w:jc w:val="center"/>
                    <w:rPr>
                      <w:color w:val="000000" w:themeColor="text1"/>
                      <w:szCs w:val="21"/>
                      <w14:textFill>
                        <w14:solidFill>
                          <w14:schemeClr w14:val="tx1"/>
                        </w14:solidFill>
                      </w14:textFill>
                    </w:rPr>
                  </w:pPr>
                </w:p>
              </w:tc>
              <w:tc>
                <w:tcPr>
                  <w:tcW w:w="347"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0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372"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44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607"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0.036</w:t>
                  </w:r>
                </w:p>
              </w:tc>
              <w:tc>
                <w:tcPr>
                  <w:tcW w:w="347"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隔油池+一体化污水处理设施</w:t>
                  </w:r>
                </w:p>
              </w:tc>
              <w:tc>
                <w:tcPr>
                  <w:tcW w:w="60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5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w:t>
                  </w:r>
                </w:p>
              </w:tc>
              <w:tc>
                <w:tcPr>
                  <w:tcW w:w="522"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0.0216</w:t>
                  </w:r>
                </w:p>
              </w:tc>
              <w:tc>
                <w:tcPr>
                  <w:tcW w:w="529"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厂区洒水抑尘</w:t>
                  </w:r>
                </w:p>
              </w:tc>
              <w:tc>
                <w:tcPr>
                  <w:tcW w:w="3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jc w:val="center"/>
              </w:trPr>
              <w:tc>
                <w:tcPr>
                  <w:tcW w:w="302" w:type="pct"/>
                  <w:vMerge w:val="continue"/>
                  <w:vAlign w:val="center"/>
                </w:tcPr>
                <w:p>
                  <w:pPr>
                    <w:jc w:val="center"/>
                    <w:rPr>
                      <w:color w:val="000000" w:themeColor="text1"/>
                      <w:szCs w:val="21"/>
                      <w14:textFill>
                        <w14:solidFill>
                          <w14:schemeClr w14:val="tx1"/>
                        </w14:solidFill>
                      </w14:textFill>
                    </w:rPr>
                  </w:pPr>
                </w:p>
              </w:tc>
              <w:tc>
                <w:tcPr>
                  <w:tcW w:w="372" w:type="pct"/>
                  <w:vMerge w:val="continue"/>
                  <w:vAlign w:val="center"/>
                </w:tcPr>
                <w:p>
                  <w:pPr>
                    <w:jc w:val="center"/>
                    <w:rPr>
                      <w:color w:val="000000" w:themeColor="text1"/>
                      <w:szCs w:val="21"/>
                      <w14:textFill>
                        <w14:solidFill>
                          <w14:schemeClr w14:val="tx1"/>
                        </w14:solidFill>
                      </w14:textFill>
                    </w:rPr>
                  </w:pPr>
                </w:p>
              </w:tc>
              <w:tc>
                <w:tcPr>
                  <w:tcW w:w="44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4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07"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0.012</w:t>
                  </w:r>
                </w:p>
              </w:tc>
              <w:tc>
                <w:tcPr>
                  <w:tcW w:w="347" w:type="pct"/>
                  <w:vMerge w:val="continue"/>
                  <w:vAlign w:val="center"/>
                </w:tcPr>
                <w:p>
                  <w:pPr>
                    <w:jc w:val="center"/>
                    <w:rPr>
                      <w:color w:val="000000" w:themeColor="text1"/>
                      <w:szCs w:val="21"/>
                      <w14:textFill>
                        <w14:solidFill>
                          <w14:schemeClr w14:val="tx1"/>
                        </w14:solidFill>
                      </w14:textFill>
                    </w:rPr>
                  </w:pPr>
                </w:p>
              </w:tc>
              <w:tc>
                <w:tcPr>
                  <w:tcW w:w="60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w:t>
                  </w:r>
                </w:p>
              </w:tc>
              <w:tc>
                <w:tcPr>
                  <w:tcW w:w="5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22"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0.006</w:t>
                  </w:r>
                </w:p>
              </w:tc>
              <w:tc>
                <w:tcPr>
                  <w:tcW w:w="529" w:type="pct"/>
                  <w:vMerge w:val="continue"/>
                  <w:vAlign w:val="center"/>
                </w:tcPr>
                <w:p>
                  <w:pPr>
                    <w:jc w:val="center"/>
                    <w:rPr>
                      <w:color w:val="000000" w:themeColor="text1"/>
                      <w:szCs w:val="21"/>
                      <w14:textFill>
                        <w14:solidFill>
                          <w14:schemeClr w14:val="tx1"/>
                        </w14:solidFill>
                      </w14:textFill>
                    </w:rPr>
                  </w:pPr>
                </w:p>
              </w:tc>
              <w:tc>
                <w:tcPr>
                  <w:tcW w:w="3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02" w:type="pct"/>
                  <w:vMerge w:val="continue"/>
                  <w:vAlign w:val="center"/>
                </w:tcPr>
                <w:p>
                  <w:pPr>
                    <w:jc w:val="center"/>
                    <w:rPr>
                      <w:color w:val="000000" w:themeColor="text1"/>
                      <w:szCs w:val="21"/>
                      <w14:textFill>
                        <w14:solidFill>
                          <w14:schemeClr w14:val="tx1"/>
                        </w14:solidFill>
                      </w14:textFill>
                    </w:rPr>
                  </w:pPr>
                </w:p>
              </w:tc>
              <w:tc>
                <w:tcPr>
                  <w:tcW w:w="372" w:type="pct"/>
                  <w:vMerge w:val="continue"/>
                  <w:vAlign w:val="center"/>
                </w:tcPr>
                <w:p>
                  <w:pPr>
                    <w:jc w:val="center"/>
                    <w:rPr>
                      <w:color w:val="000000" w:themeColor="text1"/>
                      <w:szCs w:val="21"/>
                      <w14:textFill>
                        <w14:solidFill>
                          <w14:schemeClr w14:val="tx1"/>
                        </w14:solidFill>
                      </w14:textFill>
                    </w:rPr>
                  </w:pPr>
                </w:p>
              </w:tc>
              <w:tc>
                <w:tcPr>
                  <w:tcW w:w="44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607"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0.09</w:t>
                  </w:r>
                </w:p>
              </w:tc>
              <w:tc>
                <w:tcPr>
                  <w:tcW w:w="347" w:type="pct"/>
                  <w:vMerge w:val="continue"/>
                  <w:vAlign w:val="center"/>
                </w:tcPr>
                <w:p>
                  <w:pPr>
                    <w:jc w:val="center"/>
                    <w:rPr>
                      <w:color w:val="000000" w:themeColor="text1"/>
                      <w:szCs w:val="21"/>
                      <w14:textFill>
                        <w14:solidFill>
                          <w14:schemeClr w14:val="tx1"/>
                        </w14:solidFill>
                      </w14:textFill>
                    </w:rPr>
                  </w:pPr>
                </w:p>
              </w:tc>
              <w:tc>
                <w:tcPr>
                  <w:tcW w:w="60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50</w:t>
                  </w:r>
                </w:p>
              </w:tc>
              <w:tc>
                <w:tcPr>
                  <w:tcW w:w="522"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0.09</w:t>
                  </w:r>
                </w:p>
              </w:tc>
              <w:tc>
                <w:tcPr>
                  <w:tcW w:w="529" w:type="pct"/>
                  <w:vMerge w:val="continue"/>
                  <w:vAlign w:val="center"/>
                </w:tcPr>
                <w:p>
                  <w:pPr>
                    <w:jc w:val="center"/>
                    <w:rPr>
                      <w:color w:val="000000" w:themeColor="text1"/>
                      <w:szCs w:val="21"/>
                      <w14:textFill>
                        <w14:solidFill>
                          <w14:schemeClr w14:val="tx1"/>
                        </w14:solidFill>
                      </w14:textFill>
                    </w:rPr>
                  </w:pPr>
                </w:p>
              </w:tc>
              <w:tc>
                <w:tcPr>
                  <w:tcW w:w="3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02" w:type="pct"/>
                  <w:vMerge w:val="continue"/>
                  <w:vAlign w:val="center"/>
                </w:tcPr>
                <w:p>
                  <w:pPr>
                    <w:jc w:val="center"/>
                    <w:rPr>
                      <w:color w:val="000000" w:themeColor="text1"/>
                      <w:szCs w:val="21"/>
                      <w14:textFill>
                        <w14:solidFill>
                          <w14:schemeClr w14:val="tx1"/>
                        </w14:solidFill>
                      </w14:textFill>
                    </w:rPr>
                  </w:pPr>
                </w:p>
              </w:tc>
              <w:tc>
                <w:tcPr>
                  <w:tcW w:w="372" w:type="pct"/>
                  <w:vMerge w:val="continue"/>
                  <w:vAlign w:val="center"/>
                </w:tcPr>
                <w:p>
                  <w:pPr>
                    <w:jc w:val="center"/>
                    <w:rPr>
                      <w:color w:val="000000" w:themeColor="text1"/>
                      <w:szCs w:val="21"/>
                      <w14:textFill>
                        <w14:solidFill>
                          <w14:schemeClr w14:val="tx1"/>
                        </w14:solidFill>
                      </w14:textFill>
                    </w:rPr>
                  </w:pPr>
                </w:p>
              </w:tc>
              <w:tc>
                <w:tcPr>
                  <w:tcW w:w="44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4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607"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0.009</w:t>
                  </w:r>
                </w:p>
              </w:tc>
              <w:tc>
                <w:tcPr>
                  <w:tcW w:w="347" w:type="pct"/>
                  <w:vMerge w:val="continue"/>
                  <w:vAlign w:val="center"/>
                </w:tcPr>
                <w:p>
                  <w:pPr>
                    <w:jc w:val="center"/>
                    <w:rPr>
                      <w:color w:val="000000" w:themeColor="text1"/>
                      <w:szCs w:val="21"/>
                      <w14:textFill>
                        <w14:solidFill>
                          <w14:schemeClr w14:val="tx1"/>
                        </w14:solidFill>
                      </w14:textFill>
                    </w:rPr>
                  </w:pPr>
                </w:p>
              </w:tc>
              <w:tc>
                <w:tcPr>
                  <w:tcW w:w="60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51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522"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0.0045</w:t>
                  </w:r>
                </w:p>
              </w:tc>
              <w:tc>
                <w:tcPr>
                  <w:tcW w:w="529" w:type="pct"/>
                  <w:vMerge w:val="continue"/>
                  <w:vAlign w:val="center"/>
                </w:tcPr>
                <w:p>
                  <w:pPr>
                    <w:jc w:val="center"/>
                    <w:rPr>
                      <w:color w:val="000000" w:themeColor="text1"/>
                      <w:szCs w:val="21"/>
                      <w14:textFill>
                        <w14:solidFill>
                          <w14:schemeClr w14:val="tx1"/>
                        </w14:solidFill>
                      </w14:textFill>
                    </w:rPr>
                  </w:pPr>
                </w:p>
              </w:tc>
              <w:tc>
                <w:tcPr>
                  <w:tcW w:w="3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02" w:type="pct"/>
                  <w:vMerge w:val="continue"/>
                  <w:vAlign w:val="center"/>
                </w:tcPr>
                <w:p>
                  <w:pPr>
                    <w:jc w:val="center"/>
                    <w:rPr>
                      <w:color w:val="000000" w:themeColor="text1"/>
                      <w:szCs w:val="21"/>
                      <w14:textFill>
                        <w14:solidFill>
                          <w14:schemeClr w14:val="tx1"/>
                        </w14:solidFill>
                      </w14:textFill>
                    </w:rPr>
                  </w:pPr>
                </w:p>
              </w:tc>
              <w:tc>
                <w:tcPr>
                  <w:tcW w:w="372" w:type="pct"/>
                  <w:vMerge w:val="continue"/>
                  <w:vAlign w:val="center"/>
                </w:tcPr>
                <w:p>
                  <w:pPr>
                    <w:jc w:val="center"/>
                    <w:rPr>
                      <w:color w:val="000000" w:themeColor="text1"/>
                      <w:szCs w:val="21"/>
                      <w14:textFill>
                        <w14:solidFill>
                          <w14:schemeClr w14:val="tx1"/>
                        </w14:solidFill>
                      </w14:textFill>
                    </w:rPr>
                  </w:pPr>
                </w:p>
              </w:tc>
              <w:tc>
                <w:tcPr>
                  <w:tcW w:w="44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动植物油</w:t>
                  </w:r>
                </w:p>
              </w:tc>
              <w:tc>
                <w:tcPr>
                  <w:tcW w:w="4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60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.048</w:t>
                  </w:r>
                </w:p>
              </w:tc>
              <w:tc>
                <w:tcPr>
                  <w:tcW w:w="347" w:type="pct"/>
                  <w:vMerge w:val="continue"/>
                  <w:vAlign w:val="center"/>
                </w:tcPr>
                <w:p>
                  <w:pPr>
                    <w:jc w:val="center"/>
                    <w:rPr>
                      <w:color w:val="000000" w:themeColor="text1"/>
                      <w:szCs w:val="21"/>
                      <w14:textFill>
                        <w14:solidFill>
                          <w14:schemeClr w14:val="tx1"/>
                        </w14:solidFill>
                      </w14:textFill>
                    </w:rPr>
                  </w:pPr>
                </w:p>
              </w:tc>
              <w:tc>
                <w:tcPr>
                  <w:tcW w:w="60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1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0</w:t>
                  </w:r>
                </w:p>
              </w:tc>
              <w:tc>
                <w:tcPr>
                  <w:tcW w:w="522"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.048</w:t>
                  </w:r>
                </w:p>
              </w:tc>
              <w:tc>
                <w:tcPr>
                  <w:tcW w:w="529" w:type="pct"/>
                  <w:vMerge w:val="continue"/>
                  <w:vAlign w:val="center"/>
                </w:tcPr>
                <w:p>
                  <w:pPr>
                    <w:jc w:val="center"/>
                    <w:rPr>
                      <w:color w:val="000000" w:themeColor="text1"/>
                      <w:szCs w:val="21"/>
                      <w14:textFill>
                        <w14:solidFill>
                          <w14:schemeClr w14:val="tx1"/>
                        </w14:solidFill>
                      </w14:textFill>
                    </w:rPr>
                  </w:pPr>
                </w:p>
              </w:tc>
              <w:tc>
                <w:tcPr>
                  <w:tcW w:w="3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污水处理可行性分析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①废水处理的可行性分析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搅拌机清洗废水、运输罐车清洗废水、车辆清洗废水，主要夹杂有砂石、残留的混凝土，主要污染因子为SS。废水经沉淀池进行沉淀，去除相对较小的颗粒物，上层清液回用。</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②生活废水拉运可行性分析</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生活污水为员工日常生活、办公产生，经隔油池+一体化污水处理设施处置后达到《城市污水再生利用 城市杂用水水质》（GB18920-2020）标准用于厂区洒水抑尘。不外排。全厂设置一座隔油池（2m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）一座一体化污水设施（5m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），全厂职工生活污水年产生量为</w:t>
            </w:r>
            <w:r>
              <w:rPr>
                <w:color w:val="000000" w:themeColor="text1"/>
                <w14:textFill>
                  <w14:solidFill>
                    <w14:schemeClr w14:val="tx1"/>
                  </w14:solidFill>
                </w14:textFill>
              </w:rPr>
              <w:t>600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），生活污水处置后用于洒水抑尘是可行的。</w:t>
            </w:r>
          </w:p>
          <w:p>
            <w:pPr>
              <w:pStyle w:val="42"/>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环境影响和保护措施</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噪声污染源统计情况</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项目噪声源及源强统计见下表4.7。</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表4.7  主要噪声源统计一览表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689"/>
              <w:gridCol w:w="1928"/>
              <w:gridCol w:w="1633"/>
              <w:gridCol w:w="2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Align w:val="center"/>
                </w:tcPr>
                <w:p>
                  <w:pPr>
                    <w:pStyle w:val="41"/>
                    <w:jc w:val="center"/>
                    <w:rPr>
                      <w:rFonts w:eastAsia="Cambria"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设备名称</w:t>
                  </w:r>
                </w:p>
              </w:tc>
              <w:tc>
                <w:tcPr>
                  <w:tcW w:w="402" w:type="pct"/>
                  <w:vAlign w:val="center"/>
                </w:tcPr>
                <w:p>
                  <w:pPr>
                    <w:pStyle w:val="41"/>
                    <w:jc w:val="center"/>
                    <w:rPr>
                      <w:rFonts w:eastAsia="Cambria"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数量</w:t>
                  </w:r>
                </w:p>
              </w:tc>
              <w:tc>
                <w:tcPr>
                  <w:tcW w:w="1125" w:type="pct"/>
                  <w:vAlign w:val="center"/>
                </w:tcPr>
                <w:p>
                  <w:pPr>
                    <w:pStyle w:val="41"/>
                    <w:jc w:val="center"/>
                    <w:rPr>
                      <w:rFonts w:eastAsia="Cambria"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噪声级</w:t>
                  </w:r>
                  <w:r>
                    <w:rPr>
                      <w:rFonts w:eastAsia="Cambria" w:cs="Times New Roman"/>
                      <w:b/>
                      <w:bCs/>
                      <w:color w:val="000000" w:themeColor="text1"/>
                      <w:lang w:bidi="he-IL"/>
                      <w14:textFill>
                        <w14:solidFill>
                          <w14:schemeClr w14:val="tx1"/>
                        </w14:solidFill>
                      </w14:textFill>
                    </w:rPr>
                    <w:t>dB</w:t>
                  </w:r>
                  <w:r>
                    <w:rPr>
                      <w:rFonts w:cs="Times New Roman"/>
                      <w:b/>
                      <w:bCs/>
                      <w:color w:val="000000" w:themeColor="text1"/>
                      <w:lang w:bidi="he-IL"/>
                      <w14:textFill>
                        <w14:solidFill>
                          <w14:schemeClr w14:val="tx1"/>
                        </w14:solidFill>
                      </w14:textFill>
                    </w:rPr>
                    <w:t>（</w:t>
                  </w:r>
                  <w:r>
                    <w:rPr>
                      <w:rFonts w:eastAsia="Cambria" w:cs="Times New Roman"/>
                      <w:b/>
                      <w:bCs/>
                      <w:color w:val="000000" w:themeColor="text1"/>
                      <w:lang w:bidi="he-IL"/>
                      <w14:textFill>
                        <w14:solidFill>
                          <w14:schemeClr w14:val="tx1"/>
                        </w14:solidFill>
                      </w14:textFill>
                    </w:rPr>
                    <w:t>A</w:t>
                  </w:r>
                  <w:r>
                    <w:rPr>
                      <w:rFonts w:cs="Times New Roman"/>
                      <w:b/>
                      <w:bCs/>
                      <w:color w:val="000000" w:themeColor="text1"/>
                      <w:lang w:bidi="he-IL"/>
                      <w14:textFill>
                        <w14:solidFill>
                          <w14:schemeClr w14:val="tx1"/>
                        </w14:solidFill>
                      </w14:textFill>
                    </w:rPr>
                    <w:t>）</w:t>
                  </w:r>
                </w:p>
              </w:tc>
              <w:tc>
                <w:tcPr>
                  <w:tcW w:w="953" w:type="pct"/>
                  <w:vAlign w:val="center"/>
                </w:tcPr>
                <w:p>
                  <w:pPr>
                    <w:pStyle w:val="41"/>
                    <w:jc w:val="center"/>
                    <w:rPr>
                      <w:rFonts w:eastAsia="Cambria"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治理后噪声级</w:t>
                  </w:r>
                </w:p>
              </w:tc>
              <w:tc>
                <w:tcPr>
                  <w:tcW w:w="1742" w:type="pct"/>
                  <w:vAlign w:val="center"/>
                </w:tcPr>
                <w:p>
                  <w:pPr>
                    <w:pStyle w:val="41"/>
                    <w:jc w:val="center"/>
                    <w:rPr>
                      <w:rFonts w:eastAsia="Cambria"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搅拌机</w:t>
                  </w:r>
                </w:p>
              </w:tc>
              <w:tc>
                <w:tcPr>
                  <w:tcW w:w="402"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1</w:t>
                  </w:r>
                </w:p>
              </w:tc>
              <w:tc>
                <w:tcPr>
                  <w:tcW w:w="1125"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95</w:t>
                  </w:r>
                </w:p>
              </w:tc>
              <w:tc>
                <w:tcPr>
                  <w:tcW w:w="953"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＜75</w:t>
                  </w:r>
                </w:p>
              </w:tc>
              <w:tc>
                <w:tcPr>
                  <w:tcW w:w="1742"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采用弹簧基座减振，厂房内安装隔声、吸声材料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Align w:val="center"/>
                </w:tcPr>
                <w:p>
                  <w:pPr>
                    <w:pStyle w:val="41"/>
                    <w:jc w:val="center"/>
                    <w:rPr>
                      <w:rFonts w:cs="Times New Roman"/>
                      <w:color w:val="000000" w:themeColor="text1"/>
                      <w:lang w:bidi="he-IL"/>
                      <w14:textFill>
                        <w14:solidFill>
                          <w14:schemeClr w14:val="tx1"/>
                        </w14:solidFill>
                      </w14:textFill>
                    </w:rPr>
                  </w:pPr>
                  <w:r>
                    <w:rPr>
                      <w:rFonts w:hint="eastAsia" w:cs="Times New Roman"/>
                      <w:color w:val="000000" w:themeColor="text1"/>
                      <w:lang w:bidi="he-IL"/>
                      <w14:textFill>
                        <w14:solidFill>
                          <w14:schemeClr w14:val="tx1"/>
                        </w14:solidFill>
                      </w14:textFill>
                    </w:rPr>
                    <w:t>砂石分离机</w:t>
                  </w:r>
                </w:p>
              </w:tc>
              <w:tc>
                <w:tcPr>
                  <w:tcW w:w="402" w:type="pct"/>
                  <w:vAlign w:val="center"/>
                </w:tcPr>
                <w:p>
                  <w:pPr>
                    <w:pStyle w:val="41"/>
                    <w:jc w:val="center"/>
                    <w:rPr>
                      <w:rFonts w:cs="Times New Roman"/>
                      <w:color w:val="000000" w:themeColor="text1"/>
                      <w:lang w:bidi="he-IL"/>
                      <w14:textFill>
                        <w14:solidFill>
                          <w14:schemeClr w14:val="tx1"/>
                        </w14:solidFill>
                      </w14:textFill>
                    </w:rPr>
                  </w:pPr>
                  <w:r>
                    <w:rPr>
                      <w:rFonts w:hint="eastAsia" w:cs="Times New Roman"/>
                      <w:color w:val="000000" w:themeColor="text1"/>
                      <w:lang w:bidi="he-IL"/>
                      <w14:textFill>
                        <w14:solidFill>
                          <w14:schemeClr w14:val="tx1"/>
                        </w14:solidFill>
                      </w14:textFill>
                    </w:rPr>
                    <w:t>1</w:t>
                  </w:r>
                </w:p>
              </w:tc>
              <w:tc>
                <w:tcPr>
                  <w:tcW w:w="1125" w:type="pct"/>
                  <w:vAlign w:val="center"/>
                </w:tcPr>
                <w:p>
                  <w:pPr>
                    <w:pStyle w:val="41"/>
                    <w:jc w:val="center"/>
                    <w:rPr>
                      <w:rFonts w:cs="Times New Roman"/>
                      <w:color w:val="000000" w:themeColor="text1"/>
                      <w:lang w:bidi="he-IL"/>
                      <w14:textFill>
                        <w14:solidFill>
                          <w14:schemeClr w14:val="tx1"/>
                        </w14:solidFill>
                      </w14:textFill>
                    </w:rPr>
                  </w:pPr>
                  <w:r>
                    <w:rPr>
                      <w:rFonts w:hint="eastAsia" w:cs="Times New Roman"/>
                      <w:color w:val="000000" w:themeColor="text1"/>
                      <w:lang w:bidi="he-IL"/>
                      <w14:textFill>
                        <w14:solidFill>
                          <w14:schemeClr w14:val="tx1"/>
                        </w14:solidFill>
                      </w14:textFill>
                    </w:rPr>
                    <w:t>8</w:t>
                  </w:r>
                  <w:r>
                    <w:rPr>
                      <w:rFonts w:cs="Times New Roman"/>
                      <w:color w:val="000000" w:themeColor="text1"/>
                      <w:lang w:bidi="he-IL"/>
                      <w14:textFill>
                        <w14:solidFill>
                          <w14:schemeClr w14:val="tx1"/>
                        </w14:solidFill>
                      </w14:textFill>
                    </w:rPr>
                    <w:t>5</w:t>
                  </w:r>
                </w:p>
              </w:tc>
              <w:tc>
                <w:tcPr>
                  <w:tcW w:w="953"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＜75</w:t>
                  </w:r>
                </w:p>
              </w:tc>
              <w:tc>
                <w:tcPr>
                  <w:tcW w:w="1742"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采用弹簧基座减振，厂房内安装隔声、吸声材料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筛分系统</w:t>
                  </w:r>
                </w:p>
              </w:tc>
              <w:tc>
                <w:tcPr>
                  <w:tcW w:w="402"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1</w:t>
                  </w:r>
                </w:p>
              </w:tc>
              <w:tc>
                <w:tcPr>
                  <w:tcW w:w="1125" w:type="pct"/>
                  <w:vAlign w:val="center"/>
                </w:tcPr>
                <w:p>
                  <w:pPr>
                    <w:pStyle w:val="41"/>
                    <w:jc w:val="center"/>
                    <w:rPr>
                      <w:rFonts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85</w:t>
                  </w:r>
                </w:p>
              </w:tc>
              <w:tc>
                <w:tcPr>
                  <w:tcW w:w="953"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＜70</w:t>
                  </w:r>
                </w:p>
              </w:tc>
              <w:tc>
                <w:tcPr>
                  <w:tcW w:w="1742" w:type="pct"/>
                  <w:vAlign w:val="center"/>
                </w:tcPr>
                <w:p>
                  <w:pPr>
                    <w:pStyle w:val="41"/>
                    <w:jc w:val="center"/>
                    <w:rPr>
                      <w:rFonts w:eastAsia="Cambria" w:cs="Times New Roman"/>
                      <w:color w:val="000000" w:themeColor="text1"/>
                      <w:lang w:bidi="he-IL"/>
                      <w14:textFill>
                        <w14:solidFill>
                          <w14:schemeClr w14:val="tx1"/>
                        </w14:solidFill>
                      </w14:textFill>
                    </w:rPr>
                  </w:pPr>
                  <w:r>
                    <w:rPr>
                      <w:rFonts w:cs="Times New Roman"/>
                      <w:color w:val="000000" w:themeColor="text1"/>
                      <w:lang w:bidi="he-IL"/>
                      <w14:textFill>
                        <w14:solidFill>
                          <w14:schemeClr w14:val="tx1"/>
                        </w14:solidFill>
                      </w14:textFill>
                    </w:rPr>
                    <w:t>隔声、基础减振</w:t>
                  </w:r>
                </w:p>
              </w:tc>
            </w:tr>
          </w:tbl>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噪声影响分析</w:t>
            </w:r>
          </w:p>
          <w:p>
            <w:pPr>
              <w:adjustRightInd w:val="0"/>
              <w:snapToGrid w:val="0"/>
              <w:spacing w:line="360" w:lineRule="auto"/>
              <w:ind w:firstLine="480" w:firstLineChars="200"/>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根据《环境影响评价技术导则 声环境》（HJ2.4-2021）的技术要求，本次评价采取导则上的推荐模式进行预测分析。</w:t>
            </w:r>
          </w:p>
          <w:p>
            <w:pPr>
              <w:adjustRightInd w:val="0"/>
              <w:snapToGrid w:val="0"/>
              <w:spacing w:line="360" w:lineRule="auto"/>
              <w:ind w:firstLine="480" w:firstLineChars="200"/>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采用《环境影响评价技术导则 声环境》（HJ2.4-2021）中工业噪声。</w:t>
            </w:r>
          </w:p>
          <w:p>
            <w:pPr>
              <w:pStyle w:val="39"/>
              <w:ind w:firstLine="480"/>
              <w:rPr>
                <w:color w:val="000000" w:themeColor="text1"/>
                <w:lang w:bidi="en-US"/>
                <w14:textFill>
                  <w14:solidFill>
                    <w14:schemeClr w14:val="tx1"/>
                  </w14:solidFill>
                </w14:textFill>
              </w:rPr>
            </w:pPr>
            <w:r>
              <w:rPr>
                <w:rFonts w:hint="eastAsia" w:ascii="宋体" w:hAnsi="宋体" w:cs="宋体"/>
                <w:color w:val="000000" w:themeColor="text1"/>
                <w:lang w:bidi="ar"/>
                <w14:textFill>
                  <w14:solidFill>
                    <w14:schemeClr w14:val="tx1"/>
                  </w14:solidFill>
                </w14:textFill>
              </w:rPr>
              <w:t>①</w:t>
            </w:r>
            <w:r>
              <w:rPr>
                <w:color w:val="000000" w:themeColor="text1"/>
                <w:lang w:bidi="en-US"/>
                <w14:textFill>
                  <w14:solidFill>
                    <w14:schemeClr w14:val="tx1"/>
                  </w14:solidFill>
                </w14:textFill>
              </w:rPr>
              <w:t>室内声源等效为室外声源</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Ⅰ、计算出某个室内声源在围护结构处i倍频带的声压级，将所有声源i倍频带的声压级进行叠加。室内某声源靠近围护结构处i倍频带的声压级：</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645920" cy="417195"/>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45920" cy="417195"/>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式中：Q—指向性因数；通常对无指向性声源，当声源放在房间中心是，Q=1；当放在一面墙的中心时，Q=2；当放在两面墙夹角处时，Q=4；当放在三面墙夹角处时，Q=8。</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R—房间常数；R=Sa/（1-a），S为房间内表面面积，m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；a为平均吸声系数。</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R—声源到靠近围护结构某点处的距离，m。</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Ⅱ、所有室内声源在围护结构处产生的i倍频带的声压级：</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609090" cy="467995"/>
                  <wp:effectExtent l="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090" cy="467995"/>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式中：L</w:t>
            </w:r>
            <w:r>
              <w:rPr>
                <w:color w:val="000000" w:themeColor="text1"/>
                <w:vertAlign w:val="subscript"/>
                <w:lang w:bidi="ar"/>
                <w14:textFill>
                  <w14:solidFill>
                    <w14:schemeClr w14:val="tx1"/>
                  </w14:solidFill>
                </w14:textFill>
              </w:rPr>
              <w:t>P1i</w:t>
            </w:r>
            <w:r>
              <w:rPr>
                <w:color w:val="000000" w:themeColor="text1"/>
                <w:lang w:bidi="ar"/>
                <w14:textFill>
                  <w14:solidFill>
                    <w14:schemeClr w14:val="tx1"/>
                  </w14:solidFill>
                </w14:textFill>
              </w:rPr>
              <w:t>(T)—靠近围护结构处室内n个声源i倍频带的叠加声压级，dB；</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L</w:t>
            </w:r>
            <w:r>
              <w:rPr>
                <w:color w:val="000000" w:themeColor="text1"/>
                <w:vertAlign w:val="subscript"/>
                <w:lang w:bidi="ar"/>
                <w14:textFill>
                  <w14:solidFill>
                    <w14:schemeClr w14:val="tx1"/>
                  </w14:solidFill>
                </w14:textFill>
              </w:rPr>
              <w:t>Pij</w:t>
            </w:r>
            <w:r>
              <w:rPr>
                <w:color w:val="000000" w:themeColor="text1"/>
                <w:lang w:bidi="ar"/>
                <w14:textFill>
                  <w14:solidFill>
                    <w14:schemeClr w14:val="tx1"/>
                  </w14:solidFill>
                </w14:textFill>
              </w:rPr>
              <w:t>—室内j声源i倍频带的声压级，dB；</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Ⅲ、在室内近似为扩散声场时，计算出靠近室外围护结构处所有声源i倍频带的声压级，计算公式如下：</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645920" cy="2413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5920" cy="241300"/>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式中：L</w:t>
            </w:r>
            <w:r>
              <w:rPr>
                <w:color w:val="000000" w:themeColor="text1"/>
                <w:vertAlign w:val="subscript"/>
                <w:lang w:bidi="ar"/>
                <w14:textFill>
                  <w14:solidFill>
                    <w14:schemeClr w14:val="tx1"/>
                  </w14:solidFill>
                </w14:textFill>
              </w:rPr>
              <w:t>P2i</w:t>
            </w:r>
            <w:r>
              <w:rPr>
                <w:color w:val="000000" w:themeColor="text1"/>
                <w:lang w:bidi="ar"/>
                <w14:textFill>
                  <w14:solidFill>
                    <w14:schemeClr w14:val="tx1"/>
                  </w14:solidFill>
                </w14:textFill>
              </w:rPr>
              <w:t>(T)—靠近围护结构处室外n个声源i倍频带的叠加声压级，dB；</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TL</w:t>
            </w:r>
            <w:r>
              <w:rPr>
                <w:color w:val="000000" w:themeColor="text1"/>
                <w:vertAlign w:val="subscript"/>
                <w:lang w:bidi="ar"/>
                <w14:textFill>
                  <w14:solidFill>
                    <w14:schemeClr w14:val="tx1"/>
                  </w14:solidFill>
                </w14:textFill>
              </w:rPr>
              <w:t>i</w:t>
            </w:r>
            <w:r>
              <w:rPr>
                <w:color w:val="000000" w:themeColor="text1"/>
                <w:lang w:bidi="ar"/>
                <w14:textFill>
                  <w14:solidFill>
                    <w14:schemeClr w14:val="tx1"/>
                  </w14:solidFill>
                </w14:textFill>
              </w:rPr>
              <w:t>—围护结构i倍频带的隔声量，dB；</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Ⅳ、再计算出中心位置位于透声面积（S）处的等效声源的i倍频带声功率级，计算公式如下：</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477645" cy="24130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77645" cy="241300"/>
                          </a:xfrm>
                          <a:prstGeom prst="rect">
                            <a:avLst/>
                          </a:prstGeom>
                          <a:noFill/>
                          <a:ln>
                            <a:noFill/>
                          </a:ln>
                        </pic:spPr>
                      </pic:pic>
                    </a:graphicData>
                  </a:graphic>
                </wp:inline>
              </w:drawing>
            </w:r>
          </w:p>
          <w:p>
            <w:pPr>
              <w:pStyle w:val="39"/>
              <w:ind w:firstLine="480"/>
              <w:rPr>
                <w:color w:val="000000" w:themeColor="text1"/>
                <w:lang w:bidi="en-US"/>
                <w14:textFill>
                  <w14:solidFill>
                    <w14:schemeClr w14:val="tx1"/>
                  </w14:solidFill>
                </w14:textFill>
              </w:rPr>
            </w:pPr>
            <w:r>
              <w:rPr>
                <w:rFonts w:hint="eastAsia" w:ascii="宋体" w:hAnsi="宋体" w:cs="宋体"/>
                <w:color w:val="000000" w:themeColor="text1"/>
                <w:lang w:bidi="ar"/>
                <w14:textFill>
                  <w14:solidFill>
                    <w14:schemeClr w14:val="tx1"/>
                  </w14:solidFill>
                </w14:textFill>
              </w:rPr>
              <w:t>①</w:t>
            </w:r>
            <w:r>
              <w:rPr>
                <w:color w:val="000000" w:themeColor="text1"/>
                <w:lang w:bidi="en-US"/>
                <w14:textFill>
                  <w14:solidFill>
                    <w14:schemeClr w14:val="tx1"/>
                  </w14:solidFill>
                </w14:textFill>
              </w:rPr>
              <w:t>室外声源衰减计算</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Ⅰ、声级计算</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声源在预测点产生的等效声级贡献值(Leqg)计算公式：</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645920" cy="45339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45920" cy="453390"/>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w:t>
            </w:r>
            <w:r>
              <w:rPr>
                <w:color w:val="000000" w:themeColor="text1"/>
                <w:position w:val="-14"/>
                <w:lang w:bidi="ar"/>
                <w14:textFill>
                  <w14:solidFill>
                    <w14:schemeClr w14:val="tx1"/>
                  </w14:solidFill>
                </w14:textFill>
              </w:rPr>
              <w:drawing>
                <wp:inline distT="0" distB="0" distL="0" distR="0">
                  <wp:extent cx="263525" cy="241300"/>
                  <wp:effectExtent l="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525" cy="241300"/>
                          </a:xfrm>
                          <a:prstGeom prst="rect">
                            <a:avLst/>
                          </a:prstGeom>
                          <a:noFill/>
                          <a:ln>
                            <a:noFill/>
                          </a:ln>
                        </pic:spPr>
                      </pic:pic>
                    </a:graphicData>
                  </a:graphic>
                </wp:inline>
              </w:drawing>
            </w:r>
            <w:r>
              <w:rPr>
                <w:color w:val="000000" w:themeColor="text1"/>
                <w:lang w:bidi="ar"/>
                <w14:textFill>
                  <w14:solidFill>
                    <w14:schemeClr w14:val="tx1"/>
                  </w14:solidFill>
                </w14:textFill>
              </w:rPr>
              <w:t>—建设项目声源在预测点的等效声级贡献值，dB(A)；</w:t>
            </w:r>
          </w:p>
          <w:p>
            <w:pPr>
              <w:pStyle w:val="39"/>
              <w:ind w:firstLine="480"/>
              <w:rPr>
                <w:color w:val="000000" w:themeColor="text1"/>
                <w14:textFill>
                  <w14:solidFill>
                    <w14:schemeClr w14:val="tx1"/>
                  </w14:solidFill>
                </w14:textFill>
              </w:rPr>
            </w:pPr>
            <w:r>
              <w:rPr>
                <w:color w:val="000000" w:themeColor="text1"/>
                <w:position w:val="-10"/>
                <w:lang w:bidi="ar"/>
                <w14:textFill>
                  <w14:solidFill>
                    <w14:schemeClr w14:val="tx1"/>
                  </w14:solidFill>
                </w14:textFill>
              </w:rPr>
              <w:drawing>
                <wp:inline distT="0" distB="0" distL="0" distR="0">
                  <wp:extent cx="226695" cy="219710"/>
                  <wp:effectExtent l="0" t="0" r="0"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6695" cy="219710"/>
                          </a:xfrm>
                          <a:prstGeom prst="rect">
                            <a:avLst/>
                          </a:prstGeom>
                          <a:noFill/>
                          <a:ln>
                            <a:noFill/>
                          </a:ln>
                        </pic:spPr>
                      </pic:pic>
                    </a:graphicData>
                  </a:graphic>
                </wp:inline>
              </w:drawing>
            </w:r>
            <w:r>
              <w:rPr>
                <w:color w:val="000000" w:themeColor="text1"/>
                <w:lang w:bidi="ar"/>
                <w14:textFill>
                  <w14:solidFill>
                    <w14:schemeClr w14:val="tx1"/>
                  </w14:solidFill>
                </w14:textFill>
              </w:rPr>
              <w:t>—i声源在预测点产生的A声级，dB(A)；</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T—预测计算的时间段，s；</w:t>
            </w:r>
          </w:p>
          <w:p>
            <w:pPr>
              <w:pStyle w:val="39"/>
              <w:ind w:firstLine="480"/>
              <w:rPr>
                <w:color w:val="000000" w:themeColor="text1"/>
                <w14:textFill>
                  <w14:solidFill>
                    <w14:schemeClr w14:val="tx1"/>
                  </w14:solidFill>
                </w14:textFill>
              </w:rPr>
            </w:pPr>
            <w:r>
              <w:rPr>
                <w:color w:val="000000" w:themeColor="text1"/>
                <w:position w:val="-10"/>
                <w:lang w:bidi="ar"/>
                <w14:textFill>
                  <w14:solidFill>
                    <w14:schemeClr w14:val="tx1"/>
                  </w14:solidFill>
                </w14:textFill>
              </w:rPr>
              <w:drawing>
                <wp:inline distT="0" distB="0" distL="0" distR="0">
                  <wp:extent cx="146050" cy="219710"/>
                  <wp:effectExtent l="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6050" cy="219710"/>
                          </a:xfrm>
                          <a:prstGeom prst="rect">
                            <a:avLst/>
                          </a:prstGeom>
                          <a:noFill/>
                          <a:ln>
                            <a:noFill/>
                          </a:ln>
                        </pic:spPr>
                      </pic:pic>
                    </a:graphicData>
                  </a:graphic>
                </wp:inline>
              </w:drawing>
            </w:r>
            <w:r>
              <w:rPr>
                <w:color w:val="000000" w:themeColor="text1"/>
                <w:lang w:bidi="ar"/>
                <w14:textFill>
                  <w14:solidFill>
                    <w14:schemeClr w14:val="tx1"/>
                  </w14:solidFill>
                </w14:textFill>
              </w:rPr>
              <w:t>—i声源在T时段内的运行时间，s。</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Ⅱ、预测点的预测等效声级(Leq)计算公式</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1711960" cy="263525"/>
                  <wp:effectExtent l="0" t="0" r="0" b="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1960" cy="263525"/>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w:t>
            </w:r>
            <w:r>
              <w:rPr>
                <w:color w:val="000000" w:themeColor="text1"/>
                <w:position w:val="-14"/>
                <w:lang w:bidi="ar"/>
                <w14:textFill>
                  <w14:solidFill>
                    <w14:schemeClr w14:val="tx1"/>
                  </w14:solidFill>
                </w14:textFill>
              </w:rPr>
              <w:drawing>
                <wp:inline distT="0" distB="0" distL="0" distR="0">
                  <wp:extent cx="263525" cy="241300"/>
                  <wp:effectExtent l="0" t="0" r="0"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525" cy="241300"/>
                          </a:xfrm>
                          <a:prstGeom prst="rect">
                            <a:avLst/>
                          </a:prstGeom>
                          <a:noFill/>
                          <a:ln>
                            <a:noFill/>
                          </a:ln>
                        </pic:spPr>
                      </pic:pic>
                    </a:graphicData>
                  </a:graphic>
                </wp:inline>
              </w:drawing>
            </w:r>
            <w:r>
              <w:rPr>
                <w:color w:val="000000" w:themeColor="text1"/>
                <w:lang w:bidi="ar"/>
                <w14:textFill>
                  <w14:solidFill>
                    <w14:schemeClr w14:val="tx1"/>
                  </w14:solidFill>
                </w14:textFill>
              </w:rPr>
              <w:t>—建设项目声源在预测点的等效声级贡献值，dB(A)；</w:t>
            </w:r>
          </w:p>
          <w:p>
            <w:pPr>
              <w:pStyle w:val="39"/>
              <w:ind w:firstLine="480"/>
              <w:rPr>
                <w:color w:val="000000" w:themeColor="text1"/>
                <w14:textFill>
                  <w14:solidFill>
                    <w14:schemeClr w14:val="tx1"/>
                  </w14:solidFill>
                </w14:textFill>
              </w:rPr>
            </w:pPr>
            <w:r>
              <w:rPr>
                <w:color w:val="000000" w:themeColor="text1"/>
                <w:position w:val="-14"/>
                <w:lang w:bidi="ar"/>
                <w14:textFill>
                  <w14:solidFill>
                    <w14:schemeClr w14:val="tx1"/>
                  </w14:solidFill>
                </w14:textFill>
              </w:rPr>
              <w:drawing>
                <wp:inline distT="0" distB="0" distL="0" distR="0">
                  <wp:extent cx="263525" cy="241300"/>
                  <wp:effectExtent l="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3525" cy="241300"/>
                          </a:xfrm>
                          <a:prstGeom prst="rect">
                            <a:avLst/>
                          </a:prstGeom>
                          <a:noFill/>
                          <a:ln>
                            <a:noFill/>
                          </a:ln>
                        </pic:spPr>
                      </pic:pic>
                    </a:graphicData>
                  </a:graphic>
                </wp:inline>
              </w:drawing>
            </w:r>
            <w:r>
              <w:rPr>
                <w:color w:val="000000" w:themeColor="text1"/>
                <w:lang w:bidi="ar"/>
                <w14:textFill>
                  <w14:solidFill>
                    <w14:schemeClr w14:val="tx1"/>
                  </w14:solidFill>
                </w14:textFill>
              </w:rPr>
              <w:t>—预测点的背景值，dB(A)</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Ⅲ、户外声传播衰减计算</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户外声传播衰减包括几何发散(Adiv)、大气吸收(Aatm)、地面效应(Agr)、屏障屏蔽(Abar)、其他多方面效应(Amisc</w:t>
            </w:r>
            <w:r>
              <w:rPr>
                <w:rFonts w:hint="eastAsia" w:ascii="宋体" w:hAnsi="宋体" w:cs="宋体"/>
                <w:color w:val="000000" w:themeColor="text1"/>
                <w:lang w:bidi="ar"/>
                <w14:textFill>
                  <w14:solidFill>
                    <w14:schemeClr w14:val="tx1"/>
                  </w14:solidFill>
                </w14:textFill>
              </w:rPr>
              <w:t>⑶</w:t>
            </w:r>
            <w:r>
              <w:rPr>
                <w:color w:val="000000" w:themeColor="text1"/>
                <w:lang w:bidi="ar"/>
                <w14:textFill>
                  <w14:solidFill>
                    <w14:schemeClr w14:val="tx1"/>
                  </w14:solidFill>
                </w14:textFill>
              </w:rPr>
              <w:t>)引起的衰减。</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距声源点r处的A声级按下式计算：</w:t>
            </w:r>
          </w:p>
          <w:p>
            <w:pPr>
              <w:pStyle w:val="12"/>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2787015" cy="241300"/>
                  <wp:effectExtent l="0" t="0" r="0"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87015" cy="241300"/>
                          </a:xfrm>
                          <a:prstGeom prst="rect">
                            <a:avLst/>
                          </a:prstGeom>
                          <a:noFill/>
                          <a:ln>
                            <a:noFill/>
                          </a:ln>
                        </pic:spPr>
                      </pic:pic>
                    </a:graphicData>
                  </a:graphic>
                </wp:inline>
              </w:drawing>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式中：</w:t>
            </w:r>
            <w:r>
              <w:rPr>
                <w:color w:val="000000" w:themeColor="text1"/>
                <w:lang w:bidi="ar"/>
                <w14:textFill>
                  <w14:solidFill>
                    <w14:schemeClr w14:val="tx1"/>
                  </w14:solidFill>
                </w14:textFill>
              </w:rPr>
              <w:drawing>
                <wp:inline distT="0" distB="0" distL="0" distR="0">
                  <wp:extent cx="307340" cy="241300"/>
                  <wp:effectExtent l="0" t="0" r="0" b="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340" cy="241300"/>
                          </a:xfrm>
                          <a:prstGeom prst="rect">
                            <a:avLst/>
                          </a:prstGeom>
                          <a:noFill/>
                          <a:ln>
                            <a:noFill/>
                          </a:ln>
                        </pic:spPr>
                      </pic:pic>
                    </a:graphicData>
                  </a:graphic>
                </wp:inline>
              </w:drawing>
            </w:r>
            <w:r>
              <w:rPr>
                <w:color w:val="000000" w:themeColor="text1"/>
                <w:lang w:bidi="ar"/>
                <w14:textFill>
                  <w14:solidFill>
                    <w14:schemeClr w14:val="tx1"/>
                  </w14:solidFill>
                </w14:textFill>
              </w:rPr>
              <w:t>—距声源r处的A声级；</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351155" cy="241300"/>
                  <wp:effectExtent l="0" t="0" r="0"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1155" cy="241300"/>
                          </a:xfrm>
                          <a:prstGeom prst="rect">
                            <a:avLst/>
                          </a:prstGeom>
                          <a:noFill/>
                          <a:ln>
                            <a:noFill/>
                          </a:ln>
                        </pic:spPr>
                      </pic:pic>
                    </a:graphicData>
                  </a:graphic>
                </wp:inline>
              </w:drawing>
            </w:r>
            <w:r>
              <w:rPr>
                <w:color w:val="000000" w:themeColor="text1"/>
                <w:lang w:bidi="ar"/>
                <w14:textFill>
                  <w14:solidFill>
                    <w14:schemeClr w14:val="tx1"/>
                  </w14:solidFill>
                </w14:textFill>
              </w:rPr>
              <w:t>—参考位置r</w:t>
            </w:r>
            <w:r>
              <w:rPr>
                <w:color w:val="000000" w:themeColor="text1"/>
                <w:vertAlign w:val="subscript"/>
                <w:lang w:bidi="ar"/>
                <w14:textFill>
                  <w14:solidFill>
                    <w14:schemeClr w14:val="tx1"/>
                  </w14:solidFill>
                </w14:textFill>
              </w:rPr>
              <w:t>0</w:t>
            </w:r>
            <w:r>
              <w:rPr>
                <w:color w:val="000000" w:themeColor="text1"/>
                <w:lang w:bidi="ar"/>
                <w14:textFill>
                  <w14:solidFill>
                    <w14:schemeClr w14:val="tx1"/>
                  </w14:solidFill>
                </w14:textFill>
              </w:rPr>
              <w:t>处的A声级；</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255905" cy="226695"/>
                  <wp:effectExtent l="0" t="0" r="0"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5905" cy="226695"/>
                          </a:xfrm>
                          <a:prstGeom prst="rect">
                            <a:avLst/>
                          </a:prstGeom>
                          <a:noFill/>
                          <a:ln>
                            <a:noFill/>
                          </a:ln>
                        </pic:spPr>
                      </pic:pic>
                    </a:graphicData>
                  </a:graphic>
                </wp:inline>
              </w:drawing>
            </w:r>
            <w:r>
              <w:rPr>
                <w:color w:val="000000" w:themeColor="text1"/>
                <w:lang w:bidi="ar"/>
                <w14:textFill>
                  <w14:solidFill>
                    <w14:schemeClr w14:val="tx1"/>
                  </w14:solidFill>
                </w14:textFill>
              </w:rPr>
              <w:t>—几何发散引起的倍频带衰减；</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278130" cy="226695"/>
                  <wp:effectExtent l="0" t="0" r="0" b="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78130" cy="226695"/>
                          </a:xfrm>
                          <a:prstGeom prst="rect">
                            <a:avLst/>
                          </a:prstGeom>
                          <a:noFill/>
                          <a:ln>
                            <a:noFill/>
                          </a:ln>
                        </pic:spPr>
                      </pic:pic>
                    </a:graphicData>
                  </a:graphic>
                </wp:inline>
              </w:drawing>
            </w:r>
            <w:r>
              <w:rPr>
                <w:color w:val="000000" w:themeColor="text1"/>
                <w:lang w:bidi="ar"/>
                <w14:textFill>
                  <w14:solidFill>
                    <w14:schemeClr w14:val="tx1"/>
                  </w14:solidFill>
                </w14:textFill>
              </w:rPr>
              <w:t>—大气吸收引起的倍频带衰减；</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263525" cy="22669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3525" cy="226695"/>
                          </a:xfrm>
                          <a:prstGeom prst="rect">
                            <a:avLst/>
                          </a:prstGeom>
                          <a:noFill/>
                          <a:ln>
                            <a:noFill/>
                          </a:ln>
                        </pic:spPr>
                      </pic:pic>
                    </a:graphicData>
                  </a:graphic>
                </wp:inline>
              </w:drawing>
            </w:r>
            <w:r>
              <w:rPr>
                <w:color w:val="000000" w:themeColor="text1"/>
                <w:lang w:bidi="ar"/>
                <w14:textFill>
                  <w14:solidFill>
                    <w14:schemeClr w14:val="tx1"/>
                  </w14:solidFill>
                </w14:textFill>
              </w:rPr>
              <w:t>—屏障屏蔽引起的倍频带衰减；</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226695" cy="241300"/>
                  <wp:effectExtent l="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6695" cy="241300"/>
                          </a:xfrm>
                          <a:prstGeom prst="rect">
                            <a:avLst/>
                          </a:prstGeom>
                          <a:noFill/>
                          <a:ln>
                            <a:noFill/>
                          </a:ln>
                        </pic:spPr>
                      </pic:pic>
                    </a:graphicData>
                  </a:graphic>
                </wp:inline>
              </w:drawing>
            </w:r>
            <w:r>
              <w:rPr>
                <w:color w:val="000000" w:themeColor="text1"/>
                <w:lang w:bidi="ar"/>
                <w14:textFill>
                  <w14:solidFill>
                    <w14:schemeClr w14:val="tx1"/>
                  </w14:solidFill>
                </w14:textFill>
              </w:rPr>
              <w:t>—地面效应引起的倍频带衰减；</w:t>
            </w:r>
          </w:p>
          <w:p>
            <w:pPr>
              <w:pStyle w:val="39"/>
              <w:ind w:firstLine="480"/>
              <w:rPr>
                <w:color w:val="000000" w:themeColor="text1"/>
                <w14:textFill>
                  <w14:solidFill>
                    <w14:schemeClr w14:val="tx1"/>
                  </w14:solidFill>
                </w14:textFill>
              </w:rPr>
            </w:pPr>
            <w:r>
              <w:rPr>
                <w:color w:val="000000" w:themeColor="text1"/>
                <w:lang w:bidi="ar"/>
                <w14:textFill>
                  <w14:solidFill>
                    <w14:schemeClr w14:val="tx1"/>
                  </w14:solidFill>
                </w14:textFill>
              </w:rPr>
              <w:drawing>
                <wp:inline distT="0" distB="0" distL="0" distR="0">
                  <wp:extent cx="307340" cy="226695"/>
                  <wp:effectExtent l="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7340" cy="226695"/>
                          </a:xfrm>
                          <a:prstGeom prst="rect">
                            <a:avLst/>
                          </a:prstGeom>
                          <a:noFill/>
                          <a:ln>
                            <a:noFill/>
                          </a:ln>
                        </pic:spPr>
                      </pic:pic>
                    </a:graphicData>
                  </a:graphic>
                </wp:inline>
              </w:drawing>
            </w:r>
            <w:r>
              <w:rPr>
                <w:color w:val="000000" w:themeColor="text1"/>
                <w:lang w:bidi="ar"/>
                <w14:textFill>
                  <w14:solidFill>
                    <w14:schemeClr w14:val="tx1"/>
                  </w14:solidFill>
                </w14:textFill>
              </w:rPr>
              <w:t>—其他多方面效应引起的倍频带衰减。</w:t>
            </w:r>
          </w:p>
          <w:p>
            <w:pPr>
              <w:adjustRightInd w:val="0"/>
              <w:snapToGrid w:val="0"/>
              <w:spacing w:line="360" w:lineRule="auto"/>
              <w:ind w:firstLine="480" w:firstLineChars="200"/>
              <w:rPr>
                <w:snapToGrid w:val="0"/>
                <w:color w:val="000000" w:themeColor="text1"/>
                <w:kern w:val="0"/>
                <w:sz w:val="24"/>
                <w:szCs w:val="22"/>
                <w:lang w:val="en-GB"/>
                <w14:textFill>
                  <w14:solidFill>
                    <w14:schemeClr w14:val="tx1"/>
                  </w14:solidFill>
                </w14:textFill>
              </w:rPr>
            </w:pPr>
            <w:r>
              <w:rPr>
                <w:color w:val="000000" w:themeColor="text1"/>
                <w:kern w:val="0"/>
                <w:sz w:val="24"/>
                <w:szCs w:val="22"/>
                <w14:textFill>
                  <w14:solidFill>
                    <w14:schemeClr w14:val="tx1"/>
                  </w14:solidFill>
                </w14:textFill>
              </w:rPr>
              <w:t>（3）预测结果：</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噪声源对各预测点的影响预测结果见表4.8。</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表4.8  厂界噪声预测结果  单位：dB(A)</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3"/>
              <w:gridCol w:w="3046"/>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2"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测点名称</w:t>
                  </w:r>
                </w:p>
              </w:tc>
              <w:tc>
                <w:tcPr>
                  <w:tcW w:w="1778"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贡献值</w:t>
                  </w:r>
                </w:p>
              </w:tc>
              <w:tc>
                <w:tcPr>
                  <w:tcW w:w="1580" w:type="pct"/>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厂界达标情况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2"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1#厂界北</w:t>
                  </w:r>
                </w:p>
              </w:tc>
              <w:tc>
                <w:tcPr>
                  <w:tcW w:w="177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w:t>
                  </w:r>
                </w:p>
              </w:tc>
              <w:tc>
                <w:tcPr>
                  <w:tcW w:w="158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2"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2#厂界东</w:t>
                  </w:r>
                </w:p>
              </w:tc>
              <w:tc>
                <w:tcPr>
                  <w:tcW w:w="177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158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1642"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3#厂界南</w:t>
                  </w:r>
                </w:p>
              </w:tc>
              <w:tc>
                <w:tcPr>
                  <w:tcW w:w="177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49</w:t>
                  </w:r>
                </w:p>
              </w:tc>
              <w:tc>
                <w:tcPr>
                  <w:tcW w:w="158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2"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4#厂界西</w:t>
                  </w:r>
                </w:p>
              </w:tc>
              <w:tc>
                <w:tcPr>
                  <w:tcW w:w="1778"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51</w:t>
                  </w:r>
                </w:p>
              </w:tc>
              <w:tc>
                <w:tcPr>
                  <w:tcW w:w="1580" w:type="pct"/>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bl>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由表4.8可知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在正常运行情况下，厂界外均可满足《工业企业厂界环境噪声排放标准》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2类标准要求，并且本项目200m范围内无声环境敏感目标。因此，本项目运营期对区域声环境影响较小。</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监测计划</w:t>
            </w:r>
          </w:p>
          <w:p>
            <w:pPr>
              <w:adjustRightInd w:val="0"/>
              <w:snapToGrid w:val="0"/>
              <w:spacing w:line="360" w:lineRule="auto"/>
              <w:ind w:firstLine="480" w:firstLineChars="200"/>
              <w:rPr>
                <w:snapToGrid w:val="0"/>
                <w:color w:val="000000" w:themeColor="text1"/>
                <w:kern w:val="0"/>
                <w:sz w:val="24"/>
                <w:szCs w:val="20"/>
                <w14:textFill>
                  <w14:solidFill>
                    <w14:schemeClr w14:val="tx1"/>
                  </w14:solidFill>
                </w14:textFill>
              </w:rPr>
            </w:pPr>
            <w:r>
              <w:rPr>
                <w:snapToGrid w:val="0"/>
                <w:color w:val="000000" w:themeColor="text1"/>
                <w:kern w:val="0"/>
                <w:sz w:val="24"/>
                <w:szCs w:val="20"/>
                <w14:textFill>
                  <w14:solidFill>
                    <w14:schemeClr w14:val="tx1"/>
                  </w14:solidFill>
                </w14:textFill>
              </w:rPr>
              <w:t>根据《排污单位自行监测技术指南 水泥工业》（HJ848-2017）及工程排污特点及实际情况，</w:t>
            </w:r>
            <w:r>
              <w:rPr>
                <w:rFonts w:hint="eastAsia"/>
                <w:snapToGrid w:val="0"/>
                <w:color w:val="000000" w:themeColor="text1"/>
                <w:kern w:val="0"/>
                <w:sz w:val="24"/>
                <w:szCs w:val="20"/>
                <w14:textFill>
                  <w14:solidFill>
                    <w14:schemeClr w14:val="tx1"/>
                  </w14:solidFill>
                </w14:textFill>
              </w:rPr>
              <w:t>噪声</w:t>
            </w:r>
            <w:r>
              <w:rPr>
                <w:snapToGrid w:val="0"/>
                <w:color w:val="000000" w:themeColor="text1"/>
                <w:kern w:val="0"/>
                <w:sz w:val="24"/>
                <w:szCs w:val="20"/>
                <w14:textFill>
                  <w14:solidFill>
                    <w14:schemeClr w14:val="tx1"/>
                  </w14:solidFill>
                </w14:textFill>
              </w:rPr>
              <w:t>监测制度详细内容见下表。</w:t>
            </w:r>
          </w:p>
          <w:p>
            <w:pPr>
              <w:adjustRightInd w:val="0"/>
              <w:snapToGrid w:val="0"/>
              <w:jc w:val="center"/>
              <w:rPr>
                <w:rFonts w:eastAsia="黑体"/>
                <w:snapToGrid w:val="0"/>
                <w:color w:val="000000" w:themeColor="text1"/>
                <w:kern w:val="0"/>
                <w:sz w:val="24"/>
                <w:szCs w:val="22"/>
                <w14:textFill>
                  <w14:solidFill>
                    <w14:schemeClr w14:val="tx1"/>
                  </w14:solidFill>
                </w14:textFill>
              </w:rPr>
            </w:pPr>
            <w:r>
              <w:rPr>
                <w:rFonts w:eastAsia="黑体"/>
                <w:snapToGrid w:val="0"/>
                <w:color w:val="000000" w:themeColor="text1"/>
                <w:kern w:val="0"/>
                <w:sz w:val="24"/>
                <w:szCs w:val="22"/>
                <w14:textFill>
                  <w14:solidFill>
                    <w14:schemeClr w14:val="tx1"/>
                  </w14:solidFill>
                </w14:textFill>
              </w:rPr>
              <w:t>表4.9  本项目</w:t>
            </w:r>
            <w:r>
              <w:rPr>
                <w:rFonts w:hint="eastAsia" w:eastAsia="黑体"/>
                <w:snapToGrid w:val="0"/>
                <w:color w:val="000000" w:themeColor="text1"/>
                <w:kern w:val="0"/>
                <w:sz w:val="24"/>
                <w:szCs w:val="22"/>
                <w14:textFill>
                  <w14:solidFill>
                    <w14:schemeClr w14:val="tx1"/>
                  </w14:solidFill>
                </w14:textFill>
              </w:rPr>
              <w:t>噪声</w:t>
            </w:r>
            <w:r>
              <w:rPr>
                <w:rFonts w:eastAsia="黑体"/>
                <w:snapToGrid w:val="0"/>
                <w:color w:val="000000" w:themeColor="text1"/>
                <w:kern w:val="0"/>
                <w:sz w:val="24"/>
                <w:szCs w:val="22"/>
                <w14:textFill>
                  <w14:solidFill>
                    <w14:schemeClr w14:val="tx1"/>
                  </w14:solidFill>
                </w14:textFill>
              </w:rPr>
              <w:t>监测计划一览表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2671"/>
              <w:gridCol w:w="2666"/>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因素</w:t>
                  </w:r>
                </w:p>
              </w:tc>
              <w:tc>
                <w:tcPr>
                  <w:tcW w:w="1559"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监测位置</w:t>
                  </w:r>
                </w:p>
              </w:tc>
              <w:tc>
                <w:tcPr>
                  <w:tcW w:w="1556"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监测项目</w:t>
                  </w:r>
                </w:p>
              </w:tc>
              <w:tc>
                <w:tcPr>
                  <w:tcW w:w="965"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 w:type="pct"/>
                  <w:vAlign w:val="center"/>
                </w:tcPr>
                <w:p>
                  <w:pPr>
                    <w:tabs>
                      <w:tab w:val="right" w:leader="dot" w:pos="9061"/>
                    </w:tabs>
                    <w:snapToGrid w:val="0"/>
                    <w:jc w:val="center"/>
                    <w:rPr>
                      <w:b/>
                      <w:bCs/>
                      <w:cap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噪声</w:t>
                  </w:r>
                </w:p>
              </w:tc>
              <w:tc>
                <w:tcPr>
                  <w:tcW w:w="1559"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厂界外1m处</w:t>
                  </w:r>
                </w:p>
              </w:tc>
              <w:tc>
                <w:tcPr>
                  <w:tcW w:w="1556"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L</w:t>
                  </w:r>
                  <w:r>
                    <w:rPr>
                      <w:bCs/>
                      <w:snapToGrid w:val="0"/>
                      <w:color w:val="000000" w:themeColor="text1"/>
                      <w:kern w:val="0"/>
                      <w:szCs w:val="21"/>
                      <w:vertAlign w:val="subscript"/>
                      <w14:textFill>
                        <w14:solidFill>
                          <w14:schemeClr w14:val="tx1"/>
                        </w14:solidFill>
                      </w14:textFill>
                    </w:rPr>
                    <w:t>Aeq</w:t>
                  </w:r>
                </w:p>
              </w:tc>
              <w:tc>
                <w:tcPr>
                  <w:tcW w:w="965" w:type="pct"/>
                  <w:vAlign w:val="center"/>
                </w:tcPr>
                <w:p>
                  <w:pPr>
                    <w:tabs>
                      <w:tab w:val="right" w:leader="dot" w:pos="9061"/>
                    </w:tabs>
                    <w:snapToGrid w:val="0"/>
                    <w:jc w:val="center"/>
                    <w:rPr>
                      <w:bCs/>
                      <w:cap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1次/</w:t>
                  </w:r>
                  <w:r>
                    <w:rPr>
                      <w:rFonts w:hint="eastAsia"/>
                      <w:bCs/>
                      <w:snapToGrid w:val="0"/>
                      <w:color w:val="000000" w:themeColor="text1"/>
                      <w:kern w:val="0"/>
                      <w:szCs w:val="21"/>
                      <w14:textFill>
                        <w14:solidFill>
                          <w14:schemeClr w14:val="tx1"/>
                        </w14:solidFill>
                      </w14:textFill>
                    </w:rPr>
                    <w:t>季度</w:t>
                  </w:r>
                </w:p>
              </w:tc>
            </w:tr>
          </w:tbl>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噪声防治措施</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为进一步降低生产噪声对厂界声环境的影响，根据本项目噪声源特征，本环评提出如下防治措施要求：</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（1）各车间生产时尽量关闭门窗，采用换气扇进行通风换气。</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对风机等高噪声设备须采取相应的减震、隔声措施，如采用固定或密封式隔声罩以及局部隔声罩，将其噪声影响控制在较小范围内。对风机配置的电动机座安装弹性衬垫和保护套；风机安装隔声罩，在风机进、出口安装消声器。</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（3）平时生产中加强对各设备的维修、保养，对其主要磨损部位要及时加添润滑油，确保设备处于良好的运转状态，杜绝因设备不正常运转而产生的高噪声现象。</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企业落实以上噪声防治措施后，噪声可以做到达标排放，不会对周边声环境造成不良影响。</w:t>
            </w:r>
          </w:p>
          <w:p>
            <w:pPr>
              <w:pStyle w:val="42"/>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固体废物</w:t>
            </w:r>
            <w:r>
              <w:rPr>
                <w:rFonts w:hint="eastAsia"/>
                <w:color w:val="000000" w:themeColor="text1"/>
                <w14:textFill>
                  <w14:solidFill>
                    <w14:schemeClr w14:val="tx1"/>
                  </w14:solidFill>
                </w14:textFill>
              </w:rPr>
              <w:t>环境影响和保护措施</w:t>
            </w:r>
          </w:p>
          <w:p>
            <w:pPr>
              <w:pStyle w:val="39"/>
              <w:ind w:firstLine="480"/>
              <w:rPr>
                <w:color w:val="000000" w:themeColor="text1"/>
                <w14:textFill>
                  <w14:solidFill>
                    <w14:schemeClr w14:val="tx1"/>
                  </w14:solidFill>
                </w14:textFill>
              </w:rPr>
            </w:pPr>
            <w:bookmarkStart w:id="12" w:name="_Hlk517966138"/>
            <w:r>
              <w:rPr>
                <w:color w:val="000000" w:themeColor="text1"/>
                <w14:textFill>
                  <w14:solidFill>
                    <w14:schemeClr w14:val="tx1"/>
                  </w14:solidFill>
                </w14:textFill>
              </w:rPr>
              <w:t>本项目固体废物产排情况汇总见表4.9。</w:t>
            </w:r>
          </w:p>
          <w:p>
            <w:pPr>
              <w:pStyle w:val="12"/>
              <w:rPr>
                <w:color w:val="000000" w:themeColor="text1"/>
                <w14:textFill>
                  <w14:solidFill>
                    <w14:schemeClr w14:val="tx1"/>
                  </w14:solidFill>
                </w14:textFill>
              </w:rPr>
            </w:pPr>
            <w:r>
              <w:rPr>
                <w:color w:val="000000" w:themeColor="text1"/>
                <w14:textFill>
                  <w14:solidFill>
                    <w14:schemeClr w14:val="tx1"/>
                  </w14:solidFill>
                </w14:textFill>
              </w:rPr>
              <w:t>表4.9  固体废物产生量及处置情况一览表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31"/>
              <w:gridCol w:w="655"/>
              <w:gridCol w:w="1114"/>
              <w:gridCol w:w="656"/>
              <w:gridCol w:w="808"/>
              <w:gridCol w:w="656"/>
              <w:gridCol w:w="2004"/>
              <w:gridCol w:w="1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产生环节</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属性</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主要有毒有害物质名称</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物理性状</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环境危险特性</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贮存方式</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利用处置方式或去向</w:t>
                  </w:r>
                </w:p>
              </w:tc>
              <w:tc>
                <w:tcPr>
                  <w:tcW w:w="0" w:type="auto"/>
                  <w:vAlign w:val="center"/>
                </w:tcPr>
                <w:p>
                  <w:pPr>
                    <w:pStyle w:val="41"/>
                    <w:jc w:val="center"/>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利用或处置量t/a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袋式除尘器</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除尘器收尘</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一般固废</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作为生产线原料</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85.5087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废水沉淀</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沉淀池沉渣</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一般固废</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定期清掏通过砂石分离机处理，回用于生产</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预拌</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预混废料</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一般固废</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收集后回用于生产</w:t>
                  </w:r>
                </w:p>
              </w:tc>
              <w:tc>
                <w:tcPr>
                  <w:tcW w:w="0" w:type="auto"/>
                  <w:vAlign w:val="center"/>
                </w:tcPr>
                <w:p>
                  <w:pPr>
                    <w:pStyle w:val="4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0" w:type="auto"/>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生活垃圾集中收集后，交由环卫部门统一处理</w:t>
                  </w:r>
                </w:p>
              </w:tc>
              <w:tc>
                <w:tcPr>
                  <w:tcW w:w="0" w:type="auto"/>
                  <w:vAlign w:val="center"/>
                </w:tcPr>
                <w:p>
                  <w:pPr>
                    <w:pStyle w:val="41"/>
                    <w:jc w:val="center"/>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4.5</w:t>
                  </w:r>
                </w:p>
              </w:tc>
            </w:tr>
            <w:bookmarkEnd w:id="12"/>
          </w:tbl>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（1）生活垃圾</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全厂职工人数为</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人，职工生活垃圾产生量按0.5kg/人•d 计算，则年产生量约</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t/a，收集后交由环卫部门统一处理。</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（2）除尘器收集的粉尘</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水泥、粉煤灰粉仓呼吸孔产生的粉尘及搅拌机产生的粉尘采用脉冲式布袋除尘器收集，根据除尘器去除效率，粉尘收集量约为</w:t>
            </w:r>
            <w:r>
              <w:rPr>
                <w:color w:val="000000" w:themeColor="text1"/>
                <w14:textFill>
                  <w14:solidFill>
                    <w14:schemeClr w14:val="tx1"/>
                  </w14:solidFill>
                </w14:textFill>
              </w:rPr>
              <w:t>85.5087</w:t>
            </w:r>
            <w:r>
              <w:rPr>
                <w:rFonts w:hint="eastAsia"/>
                <w:color w:val="000000" w:themeColor="text1"/>
                <w14:textFill>
                  <w14:solidFill>
                    <w14:schemeClr w14:val="tx1"/>
                  </w14:solidFill>
                </w14:textFill>
              </w:rPr>
              <w:t>t/a，主要成分为水泥、粉煤灰粉末等。收集后全部回用于各生产线。</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（3）沉淀池沉渣</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对设备、车辆清洗产生的废水采用沉淀池沉淀处理后回用，由此产生沉渣，设备、车辆清洗废水产生量为</w:t>
            </w:r>
            <w:r>
              <w:rPr>
                <w:color w:val="000000" w:themeColor="text1"/>
                <w14:textFill>
                  <w14:solidFill>
                    <w14:schemeClr w14:val="tx1"/>
                  </w14:solidFill>
                </w14:textFill>
              </w:rPr>
              <w:t>3019.17</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/a，SS产生浓度为3000mg/L，则沉渣产生量约为</w:t>
            </w:r>
            <w:r>
              <w:rPr>
                <w:color w:val="000000" w:themeColor="text1"/>
                <w14:textFill>
                  <w14:solidFill>
                    <w14:schemeClr w14:val="tx1"/>
                  </w14:solidFill>
                </w14:textFill>
              </w:rPr>
              <w:t>9.06</w:t>
            </w:r>
            <w:r>
              <w:rPr>
                <w:rFonts w:hint="eastAsia"/>
                <w:color w:val="000000" w:themeColor="text1"/>
                <w14:textFill>
                  <w14:solidFill>
                    <w14:schemeClr w14:val="tx1"/>
                  </w14:solidFill>
                </w14:textFill>
              </w:rPr>
              <w:t>t/a。定期清掏通过砂石分离机处理，回用于生产。</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）预混废料</w:t>
            </w:r>
          </w:p>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混凝土预混实验会产生废料，全厂预混废料产生量为1</w:t>
            </w:r>
            <w:r>
              <w:rPr>
                <w:color w:val="000000" w:themeColor="text1"/>
                <w14:textFill>
                  <w14:solidFill>
                    <w14:schemeClr w14:val="tx1"/>
                  </w14:solidFill>
                </w14:textFill>
              </w:rPr>
              <w:t>731.3</w:t>
            </w:r>
            <w:r>
              <w:rPr>
                <w:rFonts w:hint="eastAsia"/>
                <w:color w:val="000000" w:themeColor="text1"/>
                <w14:textFill>
                  <w14:solidFill>
                    <w14:schemeClr w14:val="tx1"/>
                  </w14:solidFill>
                </w14:textFill>
              </w:rPr>
              <w:t>t/a，收集后回用于生产。</w:t>
            </w:r>
          </w:p>
          <w:p>
            <w:pPr>
              <w:pStyle w:val="39"/>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一般固废环境管理要求</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（1）一般工业固体废物贮存应满足防渗漏、防扬尘、防雨淋等环境保护要求。</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w:t>（2）本项目运营期应按照《排污许可证申请与核发技术规范 总则》（HJ942-2018）要求记录一般工业废物的产生量、综合利用量、处置量、贮存量。</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rFonts w:hint="eastAsia"/>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0" w:firstLineChars="0"/>
              <w:rPr>
                <w:color w:val="000000" w:themeColor="text1"/>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418" w:right="1418" w:bottom="1418" w:left="1418" w:header="851" w:footer="851" w:gutter="0"/>
          <w:cols w:space="720" w:num="1"/>
          <w:docGrid w:linePitch="312" w:charSpace="0"/>
        </w:sectPr>
      </w:pPr>
    </w:p>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13"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3"/>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744"/>
        <w:gridCol w:w="1018"/>
        <w:gridCol w:w="4219"/>
        <w:gridCol w:w="14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5" w:type="pct"/>
            <w:tcBorders>
              <w:tl2br w:val="single" w:color="auto" w:sz="4" w:space="0"/>
            </w:tcBorders>
          </w:tcPr>
          <w:p>
            <w:pPr>
              <w:adjustRightInd w:val="0"/>
              <w:snapToGrid w:val="0"/>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93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编号、名称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/污染源</w:t>
            </w:r>
          </w:p>
        </w:tc>
        <w:tc>
          <w:tcPr>
            <w:tcW w:w="548"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2272"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77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大气环境</w:t>
            </w: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原料筒仓顶部</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呼吸孔粉尘</w:t>
            </w:r>
          </w:p>
        </w:tc>
        <w:tc>
          <w:tcPr>
            <w:tcW w:w="54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本项目共设置2个水泥筒仓、1个粉煤灰筒仓、1个矿粉筒仓，每个筒仓出风口配置仓顶脉冲式布袋除尘器（除尘效率99.</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%，位于粉料仓顶部，排气口距离地面高度不低于2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m，风量5000m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/h）除尘后排放</w:t>
            </w:r>
          </w:p>
        </w:tc>
        <w:tc>
          <w:tcPr>
            <w:tcW w:w="776" w:type="pct"/>
            <w:vMerge w:val="restart"/>
            <w:vAlign w:val="center"/>
          </w:tcPr>
          <w:p>
            <w:pPr>
              <w:pStyle w:val="41"/>
              <w:jc w:val="cente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《水泥工业大气污染物排放标准》（GB4915-2013）中大气污染物特别排放限值。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商品混凝土搅拌工序粉尘</w:t>
            </w:r>
          </w:p>
        </w:tc>
        <w:tc>
          <w:tcPr>
            <w:tcW w:w="54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本项目搅拌机配套建设1台脉冲式布袋除尘器（除尘效率99.</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%，风量</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0000m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/h），处理后经20m高的排气筒排放</w:t>
            </w:r>
          </w:p>
        </w:tc>
        <w:tc>
          <w:tcPr>
            <w:tcW w:w="776" w:type="pct"/>
            <w:vMerge w:val="continue"/>
            <w:vAlign w:val="center"/>
          </w:tcPr>
          <w:p>
            <w:pPr>
              <w:pStyle w:val="41"/>
              <w:jc w:val="left"/>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上料、计量投料粉尘</w:t>
            </w:r>
          </w:p>
        </w:tc>
        <w:tc>
          <w:tcPr>
            <w:tcW w:w="54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全封闭式储存，预留车辆出入口，洒水抑尘</w:t>
            </w:r>
          </w:p>
        </w:tc>
        <w:tc>
          <w:tcPr>
            <w:tcW w:w="776" w:type="pct"/>
            <w:vMerge w:val="continue"/>
            <w:vAlign w:val="center"/>
          </w:tcPr>
          <w:p>
            <w:pPr>
              <w:pStyle w:val="41"/>
              <w:jc w:val="left"/>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物料装卸粉尘</w:t>
            </w:r>
          </w:p>
        </w:tc>
        <w:tc>
          <w:tcPr>
            <w:tcW w:w="54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石料由装载机从原料推存区运至斗式料仓，料仓下部设计量设施，砂石料经过密闭皮带输送机输送至密闭斜皮带机，由密闭斜皮带送入搅拌机，粉料由螺旋输送机输送至搅拌机，整个配料及转载过程均在密闭的条件下完成</w:t>
            </w:r>
          </w:p>
        </w:tc>
        <w:tc>
          <w:tcPr>
            <w:tcW w:w="776" w:type="pct"/>
            <w:vMerge w:val="continue"/>
            <w:vAlign w:val="center"/>
          </w:tcPr>
          <w:p>
            <w:pPr>
              <w:pStyle w:val="41"/>
              <w:jc w:val="left"/>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砂石料破碎筛分粉尘</w:t>
            </w:r>
          </w:p>
        </w:tc>
        <w:tc>
          <w:tcPr>
            <w:tcW w:w="54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产生的粉尘经各设备上方集气罩收集至布袋除尘器（处理效率为99.</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%）处理后由一根20m高排气筒排放。</w:t>
            </w:r>
          </w:p>
        </w:tc>
        <w:tc>
          <w:tcPr>
            <w:tcW w:w="776" w:type="pct"/>
            <w:vMerge w:val="continue"/>
            <w:vAlign w:val="center"/>
          </w:tcPr>
          <w:p>
            <w:pPr>
              <w:pStyle w:val="41"/>
              <w:jc w:val="left"/>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食堂油烟</w:t>
            </w:r>
          </w:p>
        </w:tc>
        <w:tc>
          <w:tcPr>
            <w:tcW w:w="54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油烟净化器处理后排放</w:t>
            </w:r>
          </w:p>
        </w:tc>
        <w:tc>
          <w:tcPr>
            <w:tcW w:w="776" w:type="pct"/>
            <w:vMerge w:val="continue"/>
            <w:vAlign w:val="center"/>
          </w:tcPr>
          <w:p>
            <w:pPr>
              <w:pStyle w:val="41"/>
              <w:jc w:val="left"/>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5"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地表水环境</w:t>
            </w: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54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-N、SS、动植物油</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生活污水经一体化污水处理设施处置达标后用于厂区洒水抑尘。</w:t>
            </w:r>
          </w:p>
        </w:tc>
        <w:tc>
          <w:tcPr>
            <w:tcW w:w="776"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《城市污水再生利用 城市杂用水水质》（GB18920-2020）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5"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93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54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车辆清洗废水及搅拌机清洗废水经沉淀池处理后回用</w:t>
            </w:r>
          </w:p>
        </w:tc>
        <w:tc>
          <w:tcPr>
            <w:tcW w:w="776" w:type="pct"/>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声环境</w:t>
            </w:r>
          </w:p>
        </w:tc>
        <w:tc>
          <w:tcPr>
            <w:tcW w:w="93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产噪设备</w:t>
            </w:r>
          </w:p>
        </w:tc>
        <w:tc>
          <w:tcPr>
            <w:tcW w:w="54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2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隔声、降噪措施</w:t>
            </w:r>
          </w:p>
        </w:tc>
        <w:tc>
          <w:tcPr>
            <w:tcW w:w="77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电磁辐射</w:t>
            </w:r>
          </w:p>
        </w:tc>
        <w:tc>
          <w:tcPr>
            <w:tcW w:w="93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4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27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76"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w:t>
            </w:r>
          </w:p>
        </w:tc>
        <w:tc>
          <w:tcPr>
            <w:tcW w:w="4535" w:type="pct"/>
            <w:gridSpan w:val="4"/>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沉淀池沉渣定期清掏通过砂石分离机处理，回用于生产。布袋除尘器收集粉尘及预混废料回用于生产线作为原料使用。生活垃圾集中收集后，交由环卫部门统一处理。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土壤及地下水污染防治措施</w:t>
            </w:r>
          </w:p>
        </w:tc>
        <w:tc>
          <w:tcPr>
            <w:tcW w:w="4535" w:type="pct"/>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生产车间用混凝土做硬化处理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生态保护措施</w:t>
            </w:r>
          </w:p>
        </w:tc>
        <w:tc>
          <w:tcPr>
            <w:tcW w:w="4535" w:type="pct"/>
            <w:gridSpan w:val="4"/>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本项目须严格执行本环评提出的各项污染措施，保证运营后废气、噪声能达标排放，固体废物得到合理妥善处置，不会造成区域内生态环境的严重恶化，对周围环境的影响较小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Align w:val="center"/>
          </w:tcPr>
          <w:p>
            <w:pPr>
              <w:adjustRightInd w:val="0"/>
              <w:snapToGrid w:val="0"/>
              <w:jc w:val="center"/>
              <w:rPr>
                <w:b/>
                <w:bCs/>
                <w:color w:val="000000" w:themeColor="text1"/>
                <w:spacing w:val="-8"/>
                <w:szCs w:val="21"/>
                <w14:textFill>
                  <w14:solidFill>
                    <w14:schemeClr w14:val="tx1"/>
                  </w14:solidFill>
                </w14:textFill>
              </w:rPr>
            </w:pPr>
            <w:r>
              <w:rPr>
                <w:b/>
                <w:bCs/>
                <w:color w:val="000000" w:themeColor="text1"/>
                <w:spacing w:val="-8"/>
                <w:szCs w:val="21"/>
                <w14:textFill>
                  <w14:solidFill>
                    <w14:schemeClr w14:val="tx1"/>
                  </w14:solidFill>
                </w14:textFill>
              </w:rPr>
              <w:t>环境风险防范措施</w:t>
            </w:r>
          </w:p>
        </w:tc>
        <w:tc>
          <w:tcPr>
            <w:tcW w:w="4535" w:type="pct"/>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pct"/>
            <w:vAlign w:val="center"/>
          </w:tcPr>
          <w:p>
            <w:pPr>
              <w:adjustRightInd w:val="0"/>
              <w:snapToGrid w:val="0"/>
              <w:jc w:val="center"/>
              <w:rPr>
                <w:b/>
                <w:bCs/>
                <w:color w:val="000000" w:themeColor="text1"/>
                <w:spacing w:val="-8"/>
                <w:szCs w:val="21"/>
                <w14:textFill>
                  <w14:solidFill>
                    <w14:schemeClr w14:val="tx1"/>
                  </w14:solidFill>
                </w14:textFill>
              </w:rPr>
            </w:pPr>
            <w:r>
              <w:rPr>
                <w:b/>
                <w:bCs/>
                <w:color w:val="000000" w:themeColor="text1"/>
                <w:spacing w:val="-8"/>
                <w:szCs w:val="21"/>
                <w14:textFill>
                  <w14:solidFill>
                    <w14:schemeClr w14:val="tx1"/>
                  </w14:solidFill>
                </w14:textFill>
              </w:rPr>
              <w:t>其他环境管理要求</w:t>
            </w:r>
          </w:p>
        </w:tc>
        <w:tc>
          <w:tcPr>
            <w:tcW w:w="4535" w:type="pct"/>
            <w:gridSpan w:val="4"/>
            <w:vAlign w:val="center"/>
          </w:tcPr>
          <w:p>
            <w:pPr>
              <w:adjustRightInd w:val="0"/>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环境管理：</w:t>
            </w:r>
            <w:r>
              <w:rPr>
                <w:rFonts w:hint="eastAsia"/>
                <w:color w:val="000000" w:themeColor="text1"/>
                <w:szCs w:val="21"/>
                <w14:textFill>
                  <w14:solidFill>
                    <w14:schemeClr w14:val="tx1"/>
                  </w14:solidFill>
                </w14:textFill>
              </w:rPr>
              <w:t>为将本项目建设对周围环境影响降至最低，项目运营期环境管理要求如下：</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（1）提高职工环保意识，制定并落实各项环保规章制度，将环境管理纳入到企业管理全过程中去，确保环境保护措施得到贯彻落实，最大限度地减少资源浪费和降低对环境的污染；</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（2）加强产噪设备的日常维修和保养，使其正常运转，避免非正常运转情况下的噪声影响；</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（3）运营过程中产生的各类固废设专门人员将其分类集中收集，严格按照固体废物环境影响分析中防治措施实施；</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（4）加强环境保护设施的日常管理与维护，确保其正常稳定运行，以保证污染物达标排放。</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（5）本项目建成后，须按照国家要求进行竣工环境保护验收，经验收合格后，方可正式投入运营。</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（6）排污许可证申领</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建设单位须严格执行“国办发【2016】81 号”《国务院办公厅关于印发控制污染物排放许可制实施方案的通知》、“环规财【2018】80 号”《关于发布排污许可证承诺书样本、排污许可证申请表和排污许可证格式的通知》等文件的规定，须在本项目投入生产前结合污染物排放标准、总量控制指标、环境影响评价文件及批复要求等，向当地生态环境主管部门申请办理“排污许可证”，取得“排污许可证”后方可投入生产。建设单位必须按期持证排污、按证排污，不得无证排污。</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污许可证应载明项目排污口的位置、数量、排放方式及排放去向；排放污染物的种类，许可排放浓度及许可排放量。排污许可证副本应载明污染设施运行、维护，无组织排放控制等环境保护措施要求；自行监测方案、台账记录、执行报告等要求。排污单位自行监测、执行报告等信息公开要求。</w:t>
            </w:r>
          </w:p>
          <w:p>
            <w:pPr>
              <w:adjustRightInd w:val="0"/>
              <w:snapToGrid w:val="0"/>
              <w:spacing w:line="360" w:lineRule="auto"/>
              <w:ind w:firstLine="420" w:firstLineChars="200"/>
              <w:rPr>
                <w:color w:val="000000" w:themeColor="text1"/>
                <w:szCs w:val="21"/>
                <w14:textFill>
                  <w14:solidFill>
                    <w14:schemeClr w14:val="tx1"/>
                  </w14:solidFill>
                </w14:textFill>
              </w:rPr>
            </w:pPr>
          </w:p>
          <w:p>
            <w:pPr>
              <w:adjustRightInd w:val="0"/>
              <w:snapToGrid w:val="0"/>
              <w:spacing w:line="360" w:lineRule="auto"/>
              <w:ind w:firstLine="420" w:firstLineChars="200"/>
              <w:rPr>
                <w:color w:val="000000" w:themeColor="text1"/>
                <w:szCs w:val="21"/>
                <w14:textFill>
                  <w14:solidFill>
                    <w14:schemeClr w14:val="tx1"/>
                  </w14:solidFill>
                </w14:textFill>
              </w:rPr>
            </w:pPr>
          </w:p>
          <w:p>
            <w:pPr>
              <w:adjustRightInd w:val="0"/>
              <w:snapToGrid w:val="0"/>
              <w:spacing w:line="360" w:lineRule="auto"/>
              <w:ind w:firstLine="420" w:firstLineChars="200"/>
              <w:rPr>
                <w:color w:val="000000" w:themeColor="text1"/>
                <w:szCs w:val="21"/>
                <w14:textFill>
                  <w14:solidFill>
                    <w14:schemeClr w14:val="tx1"/>
                  </w14:solidFill>
                </w14:textFill>
              </w:rPr>
            </w:pPr>
          </w:p>
          <w:p>
            <w:pPr>
              <w:adjustRightInd w:val="0"/>
              <w:snapToGrid w:val="0"/>
              <w:spacing w:line="360" w:lineRule="auto"/>
              <w:ind w:firstLine="420" w:firstLineChars="200"/>
              <w:rPr>
                <w:color w:val="000000" w:themeColor="text1"/>
                <w:szCs w:val="21"/>
                <w14:textFill>
                  <w14:solidFill>
                    <w14:schemeClr w14:val="tx1"/>
                  </w14:solidFill>
                </w14:textFill>
              </w:rPr>
            </w:pPr>
          </w:p>
          <w:p>
            <w:pPr>
              <w:adjustRightInd w:val="0"/>
              <w:snapToGrid w:val="0"/>
              <w:spacing w:line="360" w:lineRule="auto"/>
              <w:ind w:firstLine="420" w:firstLineChars="200"/>
              <w:rPr>
                <w:color w:val="000000" w:themeColor="text1"/>
                <w:szCs w:val="21"/>
                <w14:textFill>
                  <w14:solidFill>
                    <w14:schemeClr w14:val="tx1"/>
                  </w14:solidFill>
                </w14:textFill>
              </w:rPr>
            </w:pPr>
          </w:p>
        </w:tc>
      </w:tr>
    </w:tbl>
    <w:p>
      <w:pPr>
        <w:pStyle w:val="1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六、结论</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pStyle w:val="3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的实施符合国家相关产业政策，选址合理、符合相关规范要求。本项目运营期产生的各类污染物，经采取相应的污染防治和治理措施后，可保证各项污染物达标排放，拟采取的“三废”治理方案有效、合理，技术经济上可行。本项目在严格落实三同时的要求情况下，今后的建设和运行过程中切实落实本环评报告中提出的各项污染物防治措施，并保证各项环保设施正常运行状况下，各污染物排放不会改变周围环境质量现状水平，不会改变项目所在区的环境功能区划。因此，从环境影响角度来看，本项目的建设是可行的。</w:t>
            </w: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480"/>
              <w:rPr>
                <w:color w:val="000000" w:themeColor="text1"/>
                <w14:textFill>
                  <w14:solidFill>
                    <w14:schemeClr w14:val="tx1"/>
                  </w14:solidFill>
                </w14:textFill>
              </w:rPr>
            </w:pPr>
          </w:p>
          <w:p>
            <w:pPr>
              <w:pStyle w:val="39"/>
              <w:ind w:firstLine="0" w:firstLineChars="0"/>
              <w:rPr>
                <w:color w:val="000000" w:themeColor="text1"/>
                <w14:textFill>
                  <w14:solidFill>
                    <w14:schemeClr w14:val="tx1"/>
                  </w14:solidFill>
                </w14:textFill>
              </w:rPr>
            </w:pPr>
          </w:p>
          <w:p>
            <w:pPr>
              <w:pStyle w:val="39"/>
              <w:ind w:firstLine="0" w:firstLineChars="0"/>
              <w:rPr>
                <w:color w:val="000000" w:themeColor="text1"/>
                <w14:textFill>
                  <w14:solidFill>
                    <w14:schemeClr w14:val="tx1"/>
                  </w14:solidFill>
                </w14:textFill>
              </w:rPr>
            </w:pPr>
          </w:p>
          <w:p>
            <w:pPr>
              <w:pStyle w:val="39"/>
              <w:ind w:firstLine="0" w:firstLineChars="0"/>
              <w:rPr>
                <w:color w:val="000000" w:themeColor="text1"/>
                <w14:textFill>
                  <w14:solidFill>
                    <w14:schemeClr w14:val="tx1"/>
                  </w14:solidFill>
                </w14:textFill>
              </w:rPr>
            </w:pPr>
          </w:p>
        </w:tc>
      </w:tr>
    </w:tbl>
    <w:p>
      <w:pPr>
        <w:rPr>
          <w:color w:val="000000" w:themeColor="text1"/>
          <w14:textFill>
            <w14:solidFill>
              <w14:schemeClr w14:val="tx1"/>
            </w14:solidFill>
          </w14:textFill>
        </w:rPr>
        <w:sectPr>
          <w:pgSz w:w="11906" w:h="16838"/>
          <w:pgMar w:top="1418" w:right="1418" w:bottom="1418" w:left="1418" w:header="851" w:footer="851" w:gutter="0"/>
          <w:cols w:space="720" w:num="1"/>
          <w:docGrid w:linePitch="312" w:charSpace="0"/>
        </w:sectPr>
      </w:pPr>
    </w:p>
    <w:p>
      <w:pPr>
        <w:pStyle w:val="13"/>
        <w:adjustRightInd w:val="0"/>
        <w:snapToGrid w:val="0"/>
        <w:spacing w:before="0" w:beforeAutospacing="0" w:after="0" w:afterAutospacing="0" w:line="648" w:lineRule="auto"/>
        <w:outlineLvl w:val="0"/>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pPr>
        <w:pStyle w:val="13"/>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423"/>
        <w:gridCol w:w="1713"/>
        <w:gridCol w:w="1280"/>
        <w:gridCol w:w="1713"/>
        <w:gridCol w:w="1566"/>
        <w:gridCol w:w="1774"/>
        <w:gridCol w:w="1974"/>
        <w:gridCol w:w="1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68" w:type="pct"/>
            <w:tcBorders>
              <w:tl2br w:val="single" w:color="auto" w:sz="4" w:space="0"/>
            </w:tcBorders>
            <w:tcMar>
              <w:left w:w="28" w:type="dxa"/>
              <w:right w:w="28" w:type="dxa"/>
            </w:tcMar>
            <w:vAlign w:val="center"/>
          </w:tcPr>
          <w:p>
            <w:pPr>
              <w:pStyle w:val="29"/>
              <w:spacing w:beforeLines="0" w:afterLines="0" w:line="240" w:lineRule="auto"/>
              <w:jc w:val="right"/>
              <w:rPr>
                <w:rFonts w:ascii="Times New Roman"/>
                <w:b/>
                <w:bCs/>
                <w:snapToGrid w:val="0"/>
                <w:color w:val="000000" w:themeColor="text1"/>
                <w:spacing w:val="-6"/>
                <w:kern w:val="21"/>
                <w:szCs w:val="21"/>
                <w14:textFill>
                  <w14:solidFill>
                    <w14:schemeClr w14:val="tx1"/>
                  </w14:solidFill>
                </w14:textFill>
              </w:rPr>
            </w:pPr>
            <w:r>
              <w:rPr>
                <w:rFonts w:ascii="Times New Roman"/>
                <w:b/>
                <w:bCs/>
                <w:snapToGrid w:val="0"/>
                <w:color w:val="000000" w:themeColor="text1"/>
                <w:spacing w:val="-6"/>
                <w:kern w:val="21"/>
                <w:szCs w:val="21"/>
                <w14:textFill>
                  <w14:solidFill>
                    <w14:schemeClr w14:val="tx1"/>
                  </w14:solidFill>
                </w14:textFill>
              </w:rPr>
              <w:t>项目</w:t>
            </w:r>
          </w:p>
          <w:p>
            <w:pPr>
              <w:pStyle w:val="29"/>
              <w:spacing w:beforeLines="0" w:afterLines="0" w:line="240" w:lineRule="auto"/>
              <w:jc w:val="left"/>
              <w:rPr>
                <w:rFonts w:ascii="Times New Roman"/>
                <w:b/>
                <w:bCs/>
                <w:snapToGrid w:val="0"/>
                <w:color w:val="000000" w:themeColor="text1"/>
                <w:spacing w:val="-6"/>
                <w:kern w:val="21"/>
                <w:szCs w:val="21"/>
                <w14:textFill>
                  <w14:solidFill>
                    <w14:schemeClr w14:val="tx1"/>
                  </w14:solidFill>
                </w14:textFill>
              </w:rPr>
            </w:pPr>
            <w:r>
              <w:rPr>
                <w:rFonts w:ascii="Times New Roman"/>
                <w:b/>
                <w:bCs/>
                <w:snapToGrid w:val="0"/>
                <w:color w:val="000000" w:themeColor="text1"/>
                <w:spacing w:val="-6"/>
                <w:kern w:val="21"/>
                <w:szCs w:val="21"/>
                <w14:textFill>
                  <w14:solidFill>
                    <w14:schemeClr w14:val="tx1"/>
                  </w14:solidFill>
                </w14:textFill>
              </w:rPr>
              <w:t>分类</w:t>
            </w:r>
          </w:p>
        </w:tc>
        <w:tc>
          <w:tcPr>
            <w:tcW w:w="506"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污染物名称</w:t>
            </w:r>
          </w:p>
        </w:tc>
        <w:tc>
          <w:tcPr>
            <w:tcW w:w="609"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现有工程排放量（固体废物产生量）</w:t>
            </w: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1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①</w:t>
            </w:r>
            <w:r>
              <w:rPr>
                <w:rFonts w:ascii="Times New Roman"/>
                <w:b/>
                <w:bCs/>
                <w:snapToGrid w:val="0"/>
                <w:color w:val="000000" w:themeColor="text1"/>
                <w:szCs w:val="21"/>
                <w14:textFill>
                  <w14:solidFill>
                    <w14:schemeClr w14:val="tx1"/>
                  </w14:solidFill>
                </w14:textFill>
              </w:rPr>
              <w:fldChar w:fldCharType="end"/>
            </w:r>
          </w:p>
        </w:tc>
        <w:tc>
          <w:tcPr>
            <w:tcW w:w="455"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现有工程许可排放量</w:t>
            </w:r>
          </w:p>
          <w:p>
            <w:pPr>
              <w:pStyle w:val="29"/>
              <w:spacing w:beforeLines="0" w:afterLines="0"/>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2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②</w:t>
            </w:r>
            <w:r>
              <w:rPr>
                <w:rFonts w:ascii="Times New Roman"/>
                <w:b/>
                <w:bCs/>
                <w:snapToGrid w:val="0"/>
                <w:color w:val="000000" w:themeColor="text1"/>
                <w:szCs w:val="21"/>
                <w14:textFill>
                  <w14:solidFill>
                    <w14:schemeClr w14:val="tx1"/>
                  </w14:solidFill>
                </w14:textFill>
              </w:rPr>
              <w:fldChar w:fldCharType="end"/>
            </w:r>
          </w:p>
        </w:tc>
        <w:tc>
          <w:tcPr>
            <w:tcW w:w="609"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在建工程排放量（固体废物产生量）</w:t>
            </w: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3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③</w:t>
            </w:r>
            <w:r>
              <w:rPr>
                <w:rFonts w:ascii="Times New Roman"/>
                <w:b/>
                <w:bCs/>
                <w:snapToGrid w:val="0"/>
                <w:color w:val="000000" w:themeColor="text1"/>
                <w:szCs w:val="21"/>
                <w14:textFill>
                  <w14:solidFill>
                    <w14:schemeClr w14:val="tx1"/>
                  </w14:solidFill>
                </w14:textFill>
              </w:rPr>
              <w:fldChar w:fldCharType="end"/>
            </w:r>
          </w:p>
        </w:tc>
        <w:tc>
          <w:tcPr>
            <w:tcW w:w="557"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本项目排放量（固体废物产生量）</w:t>
            </w: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4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④</w:t>
            </w:r>
            <w:r>
              <w:rPr>
                <w:rFonts w:ascii="Times New Roman"/>
                <w:b/>
                <w:bCs/>
                <w:snapToGrid w:val="0"/>
                <w:color w:val="000000" w:themeColor="text1"/>
                <w:szCs w:val="21"/>
                <w14:textFill>
                  <w14:solidFill>
                    <w14:schemeClr w14:val="tx1"/>
                  </w14:solidFill>
                </w14:textFill>
              </w:rPr>
              <w:fldChar w:fldCharType="end"/>
            </w:r>
          </w:p>
        </w:tc>
        <w:tc>
          <w:tcPr>
            <w:tcW w:w="631"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以新带老削减量（新建项目不填）</w:t>
            </w: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5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⑤</w:t>
            </w:r>
            <w:r>
              <w:rPr>
                <w:rFonts w:ascii="Times New Roman"/>
                <w:b/>
                <w:bCs/>
                <w:snapToGrid w:val="0"/>
                <w:color w:val="000000" w:themeColor="text1"/>
                <w:szCs w:val="21"/>
                <w14:textFill>
                  <w14:solidFill>
                    <w14:schemeClr w14:val="tx1"/>
                  </w14:solidFill>
                </w14:textFill>
              </w:rPr>
              <w:fldChar w:fldCharType="end"/>
            </w:r>
          </w:p>
        </w:tc>
        <w:tc>
          <w:tcPr>
            <w:tcW w:w="702"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本项目建成后全厂排放量（固体废物产生量）</w:t>
            </w: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6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⑥</w:t>
            </w:r>
            <w:r>
              <w:rPr>
                <w:rFonts w:ascii="Times New Roman"/>
                <w:b/>
                <w:bCs/>
                <w:snapToGrid w:val="0"/>
                <w:color w:val="000000" w:themeColor="text1"/>
                <w:szCs w:val="21"/>
                <w14:textFill>
                  <w14:solidFill>
                    <w14:schemeClr w14:val="tx1"/>
                  </w14:solidFill>
                </w14:textFill>
              </w:rPr>
              <w:fldChar w:fldCharType="end"/>
            </w:r>
          </w:p>
        </w:tc>
        <w:tc>
          <w:tcPr>
            <w:tcW w:w="362" w:type="pct"/>
            <w:tcMar>
              <w:left w:w="28" w:type="dxa"/>
              <w:right w:w="28" w:type="dxa"/>
            </w:tcMar>
            <w:vAlign w:val="center"/>
          </w:tcPr>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t>变化量</w:t>
            </w:r>
          </w:p>
          <w:p>
            <w:pPr>
              <w:pStyle w:val="29"/>
              <w:spacing w:beforeLines="0" w:afterLines="0" w:line="240" w:lineRule="auto"/>
              <w:rPr>
                <w:rFonts w:ascii="Times New Roman"/>
                <w:b/>
                <w:bCs/>
                <w:snapToGrid w:val="0"/>
                <w:color w:val="000000" w:themeColor="text1"/>
                <w:szCs w:val="21"/>
                <w14:textFill>
                  <w14:solidFill>
                    <w14:schemeClr w14:val="tx1"/>
                  </w14:solidFill>
                </w14:textFill>
              </w:rPr>
            </w:pPr>
            <w:r>
              <w:rPr>
                <w:rFonts w:ascii="Times New Roman"/>
                <w:b/>
                <w:bCs/>
                <w:snapToGrid w:val="0"/>
                <w:color w:val="000000" w:themeColor="text1"/>
                <w:szCs w:val="21"/>
                <w14:textFill>
                  <w14:solidFill>
                    <w14:schemeClr w14:val="tx1"/>
                  </w14:solidFill>
                </w14:textFill>
              </w:rPr>
              <w:fldChar w:fldCharType="begin"/>
            </w:r>
            <w:r>
              <w:rPr>
                <w:rFonts w:ascii="Times New Roman"/>
                <w:b/>
                <w:bCs/>
                <w:snapToGrid w:val="0"/>
                <w:color w:val="000000" w:themeColor="text1"/>
                <w:szCs w:val="21"/>
                <w14:textFill>
                  <w14:solidFill>
                    <w14:schemeClr w14:val="tx1"/>
                  </w14:solidFill>
                </w14:textFill>
              </w:rPr>
              <w:instrText xml:space="preserve"> = 7 \* GB3 \* MERGEFORMAT </w:instrText>
            </w:r>
            <w:r>
              <w:rPr>
                <w:rFonts w:ascii="Times New Roman"/>
                <w:b/>
                <w:bCs/>
                <w:snapToGrid w:val="0"/>
                <w:color w:val="000000" w:themeColor="text1"/>
                <w:szCs w:val="21"/>
                <w14:textFill>
                  <w14:solidFill>
                    <w14:schemeClr w14:val="tx1"/>
                  </w14:solidFill>
                </w14:textFill>
              </w:rPr>
              <w:fldChar w:fldCharType="separate"/>
            </w:r>
            <w:r>
              <w:rPr>
                <w:rFonts w:hint="eastAsia" w:hAnsi="宋体" w:cs="宋体"/>
                <w:b/>
                <w:bCs/>
                <w:snapToGrid w:val="0"/>
                <w:color w:val="000000" w:themeColor="text1"/>
                <w:szCs w:val="21"/>
                <w14:textFill>
                  <w14:solidFill>
                    <w14:schemeClr w14:val="tx1"/>
                  </w14:solidFill>
                </w14:textFill>
              </w:rPr>
              <w:t>⑦</w:t>
            </w:r>
            <w:r>
              <w:rPr>
                <w:rFonts w:ascii="Times New Roman"/>
                <w:b/>
                <w:bCs/>
                <w:snapToGrid w:val="0"/>
                <w:color w:val="000000" w:themeColor="text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r>
              <w:rPr>
                <w:rFonts w:ascii="Times New Roman"/>
                <w:b/>
                <w:bCs/>
                <w:snapToGrid w:val="0"/>
                <w:color w:val="000000" w:themeColor="text1"/>
                <w:kern w:val="21"/>
                <w:szCs w:val="21"/>
                <w14:textFill>
                  <w14:solidFill>
                    <w14:schemeClr w14:val="tx1"/>
                  </w14:solidFill>
                </w14:textFill>
              </w:rPr>
              <w:t>废气</w:t>
            </w: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0.5873</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0.5873</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r>
              <w:rPr>
                <w:rFonts w:ascii="Times New Roman"/>
                <w:b/>
                <w:bCs/>
                <w:snapToGrid w:val="0"/>
                <w:color w:val="000000" w:themeColor="text1"/>
                <w:kern w:val="21"/>
                <w:szCs w:val="21"/>
                <w14:textFill>
                  <w14:solidFill>
                    <w14:schemeClr w14:val="tx1"/>
                  </w14:solidFill>
                </w14:textFill>
              </w:rPr>
              <w:t>废水</w:t>
            </w: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生活污水m</w:t>
            </w:r>
            <w:r>
              <w:rPr>
                <w:rFonts w:ascii="Times New Roman"/>
                <w:snapToGrid w:val="0"/>
                <w:color w:val="000000" w:themeColor="text1"/>
                <w:kern w:val="21"/>
                <w:szCs w:val="21"/>
                <w:vertAlign w:val="superscript"/>
                <w14:textFill>
                  <w14:solidFill>
                    <w14:schemeClr w14:val="tx1"/>
                  </w14:solidFill>
                </w14:textFill>
              </w:rPr>
              <w:t>3</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Merge w:val="restart"/>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r>
              <w:rPr>
                <w:rFonts w:ascii="Times New Roman"/>
                <w:b/>
                <w:bCs/>
                <w:snapToGrid w:val="0"/>
                <w:color w:val="000000" w:themeColor="text1"/>
                <w:kern w:val="21"/>
                <w:szCs w:val="21"/>
                <w14:textFill>
                  <w14:solidFill>
                    <w14:schemeClr w14:val="tx1"/>
                  </w14:solidFill>
                </w14:textFill>
              </w:rPr>
              <w:t>一般工业固体废物</w:t>
            </w: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布袋除尘器收集粉尘</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85.5087</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85.93</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+85.93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Merge w:val="continue"/>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沉淀池沉渣</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9.06</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9.06</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Merge w:val="continue"/>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预混废料</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1731.3</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1731.3</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t>1731.3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Merge w:val="continue"/>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生活垃圾</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4.5</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4.5</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8" w:type="pct"/>
            <w:vAlign w:val="center"/>
          </w:tcPr>
          <w:p>
            <w:pPr>
              <w:pStyle w:val="29"/>
              <w:spacing w:beforeLines="0" w:afterLines="0" w:line="240" w:lineRule="auto"/>
              <w:rPr>
                <w:rFonts w:ascii="Times New Roman"/>
                <w:b/>
                <w:bCs/>
                <w:snapToGrid w:val="0"/>
                <w:color w:val="000000" w:themeColor="text1"/>
                <w:kern w:val="21"/>
                <w:szCs w:val="21"/>
                <w14:textFill>
                  <w14:solidFill>
                    <w14:schemeClr w14:val="tx1"/>
                  </w14:solidFill>
                </w14:textFill>
              </w:rPr>
            </w:pPr>
            <w:r>
              <w:rPr>
                <w:rFonts w:ascii="Times New Roman"/>
                <w:b/>
                <w:bCs/>
                <w:snapToGrid w:val="0"/>
                <w:color w:val="000000" w:themeColor="text1"/>
                <w:kern w:val="21"/>
                <w:szCs w:val="21"/>
                <w14:textFill>
                  <w14:solidFill>
                    <w14:schemeClr w14:val="tx1"/>
                  </w14:solidFill>
                </w14:textFill>
              </w:rPr>
              <w:t>危险废物</w:t>
            </w:r>
          </w:p>
        </w:tc>
        <w:tc>
          <w:tcPr>
            <w:tcW w:w="506"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455"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09"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557"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31"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70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362" w:type="pct"/>
            <w:vAlign w:val="center"/>
          </w:tcPr>
          <w:p>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r>
    </w:tbl>
    <w:p>
      <w:pPr>
        <w:pStyle w:val="29"/>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sectPr>
      <w:footerReference r:id="rId6" w:type="default"/>
      <w:pgSz w:w="16838" w:h="11906" w:orient="landscape"/>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Style w:val="19"/>
        <w:sz w:val="26"/>
        <w:szCs w:val="26"/>
      </w:rPr>
      <w:fldChar w:fldCharType="begin"/>
    </w:r>
    <w:r>
      <w:rPr>
        <w:rStyle w:val="19"/>
        <w:sz w:val="26"/>
        <w:szCs w:val="26"/>
      </w:rPr>
      <w:instrText xml:space="preserve">PAGE  </w:instrText>
    </w:r>
    <w:r>
      <w:rPr>
        <w:rStyle w:val="19"/>
        <w:sz w:val="26"/>
        <w:szCs w:val="26"/>
      </w:rPr>
      <w:fldChar w:fldCharType="separate"/>
    </w:r>
    <w:r>
      <w:rPr>
        <w:rStyle w:val="19"/>
        <w:sz w:val="26"/>
        <w:szCs w:val="26"/>
      </w:rPr>
      <w:t>9</w:t>
    </w:r>
    <w:r>
      <w:rPr>
        <w:rStyle w:val="19"/>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1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Style w:val="19"/>
        <w:sz w:val="26"/>
        <w:szCs w:val="26"/>
      </w:rPr>
      <w:fldChar w:fldCharType="begin"/>
    </w:r>
    <w:r>
      <w:rPr>
        <w:rStyle w:val="19"/>
        <w:sz w:val="26"/>
        <w:szCs w:val="26"/>
      </w:rPr>
      <w:instrText xml:space="preserve">PAGE  </w:instrText>
    </w:r>
    <w:r>
      <w:rPr>
        <w:rStyle w:val="19"/>
        <w:sz w:val="26"/>
        <w:szCs w:val="26"/>
      </w:rPr>
      <w:fldChar w:fldCharType="separate"/>
    </w:r>
    <w:r>
      <w:rPr>
        <w:rStyle w:val="19"/>
        <w:sz w:val="26"/>
        <w:szCs w:val="26"/>
      </w:rPr>
      <w:t>11</w:t>
    </w:r>
    <w:r>
      <w:rPr>
        <w:rStyle w:val="19"/>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10"/>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characterSpacingControl w:val="doNotCompress"/>
  <w:noLineBreaksAfter w:lang="zh-CN" w:val="([{·‘“〈《「『【〔〖（．［｛￡￥"/>
  <w:noLineBreaksBefore w:lang="zh-CN" w:val="!),.:;?]}¨·ˇˉ―‖’”…∶、。〃々〉》」』】〕〗！＂＇），．：；？］｀｜｝～￠"/>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3MjU0ZTdhN2QwOTBlZTE4M2FkOWFlZjQyMGIyYTkifQ=="/>
  </w:docVars>
  <w:rsids>
    <w:rsidRoot w:val="00A14947"/>
    <w:rsid w:val="000060B3"/>
    <w:rsid w:val="000115FF"/>
    <w:rsid w:val="00011F00"/>
    <w:rsid w:val="00020C8C"/>
    <w:rsid w:val="00020CE5"/>
    <w:rsid w:val="00024028"/>
    <w:rsid w:val="00024789"/>
    <w:rsid w:val="000363A7"/>
    <w:rsid w:val="00042FFA"/>
    <w:rsid w:val="0004364B"/>
    <w:rsid w:val="00045503"/>
    <w:rsid w:val="0004746C"/>
    <w:rsid w:val="00050050"/>
    <w:rsid w:val="000527E3"/>
    <w:rsid w:val="00055399"/>
    <w:rsid w:val="00055EC2"/>
    <w:rsid w:val="00061B1F"/>
    <w:rsid w:val="00063CD5"/>
    <w:rsid w:val="0006455F"/>
    <w:rsid w:val="00065A68"/>
    <w:rsid w:val="00066A70"/>
    <w:rsid w:val="00067EA4"/>
    <w:rsid w:val="0007046D"/>
    <w:rsid w:val="000733C4"/>
    <w:rsid w:val="00073ECF"/>
    <w:rsid w:val="00074783"/>
    <w:rsid w:val="000748AD"/>
    <w:rsid w:val="00074ABE"/>
    <w:rsid w:val="0008070B"/>
    <w:rsid w:val="00080C4B"/>
    <w:rsid w:val="000810AC"/>
    <w:rsid w:val="00081173"/>
    <w:rsid w:val="00081996"/>
    <w:rsid w:val="00081A02"/>
    <w:rsid w:val="00082231"/>
    <w:rsid w:val="000825EC"/>
    <w:rsid w:val="00082D76"/>
    <w:rsid w:val="00083CE8"/>
    <w:rsid w:val="00085997"/>
    <w:rsid w:val="000916D9"/>
    <w:rsid w:val="00092D38"/>
    <w:rsid w:val="0009377B"/>
    <w:rsid w:val="00097BBC"/>
    <w:rsid w:val="000A20C9"/>
    <w:rsid w:val="000A24C3"/>
    <w:rsid w:val="000A30BA"/>
    <w:rsid w:val="000A4E89"/>
    <w:rsid w:val="000A5A0B"/>
    <w:rsid w:val="000A69B3"/>
    <w:rsid w:val="000B005C"/>
    <w:rsid w:val="000B058F"/>
    <w:rsid w:val="000B1159"/>
    <w:rsid w:val="000B3F1D"/>
    <w:rsid w:val="000B4467"/>
    <w:rsid w:val="000B4DB9"/>
    <w:rsid w:val="000B6736"/>
    <w:rsid w:val="000C09AC"/>
    <w:rsid w:val="000C5537"/>
    <w:rsid w:val="000C5943"/>
    <w:rsid w:val="000C5F94"/>
    <w:rsid w:val="000C6B3C"/>
    <w:rsid w:val="000C767F"/>
    <w:rsid w:val="000D284A"/>
    <w:rsid w:val="000D5A44"/>
    <w:rsid w:val="000E0577"/>
    <w:rsid w:val="000E3287"/>
    <w:rsid w:val="000E3ED2"/>
    <w:rsid w:val="000E5591"/>
    <w:rsid w:val="000E6782"/>
    <w:rsid w:val="000E7043"/>
    <w:rsid w:val="000E7200"/>
    <w:rsid w:val="000E7348"/>
    <w:rsid w:val="000F104B"/>
    <w:rsid w:val="000F6332"/>
    <w:rsid w:val="00101B97"/>
    <w:rsid w:val="00113650"/>
    <w:rsid w:val="00114A99"/>
    <w:rsid w:val="001163F0"/>
    <w:rsid w:val="001164C4"/>
    <w:rsid w:val="001168C0"/>
    <w:rsid w:val="001213D5"/>
    <w:rsid w:val="00130F38"/>
    <w:rsid w:val="00131F42"/>
    <w:rsid w:val="00133B0A"/>
    <w:rsid w:val="001357F1"/>
    <w:rsid w:val="00135C65"/>
    <w:rsid w:val="00140FA8"/>
    <w:rsid w:val="00142FEB"/>
    <w:rsid w:val="00143A2D"/>
    <w:rsid w:val="00144E4B"/>
    <w:rsid w:val="00145A41"/>
    <w:rsid w:val="0015031F"/>
    <w:rsid w:val="00151458"/>
    <w:rsid w:val="00151675"/>
    <w:rsid w:val="00153995"/>
    <w:rsid w:val="00157199"/>
    <w:rsid w:val="00157435"/>
    <w:rsid w:val="0016163F"/>
    <w:rsid w:val="00161CE4"/>
    <w:rsid w:val="001630AA"/>
    <w:rsid w:val="00163C31"/>
    <w:rsid w:val="00163E7D"/>
    <w:rsid w:val="0016540F"/>
    <w:rsid w:val="00170054"/>
    <w:rsid w:val="00174E83"/>
    <w:rsid w:val="0017504D"/>
    <w:rsid w:val="0017671A"/>
    <w:rsid w:val="00177422"/>
    <w:rsid w:val="001808D1"/>
    <w:rsid w:val="0018266D"/>
    <w:rsid w:val="001830BF"/>
    <w:rsid w:val="001839E7"/>
    <w:rsid w:val="00184590"/>
    <w:rsid w:val="00185C30"/>
    <w:rsid w:val="001870D1"/>
    <w:rsid w:val="0018781E"/>
    <w:rsid w:val="00187D44"/>
    <w:rsid w:val="00192501"/>
    <w:rsid w:val="0019262D"/>
    <w:rsid w:val="001A0CA9"/>
    <w:rsid w:val="001A1133"/>
    <w:rsid w:val="001A1B35"/>
    <w:rsid w:val="001A48A2"/>
    <w:rsid w:val="001A5AC4"/>
    <w:rsid w:val="001A6F61"/>
    <w:rsid w:val="001B032C"/>
    <w:rsid w:val="001B4DAE"/>
    <w:rsid w:val="001B6B69"/>
    <w:rsid w:val="001B6F7C"/>
    <w:rsid w:val="001B72B8"/>
    <w:rsid w:val="001C0CC4"/>
    <w:rsid w:val="001C69B3"/>
    <w:rsid w:val="001D0646"/>
    <w:rsid w:val="001D5595"/>
    <w:rsid w:val="001D6521"/>
    <w:rsid w:val="001D7874"/>
    <w:rsid w:val="001D7F22"/>
    <w:rsid w:val="001E195A"/>
    <w:rsid w:val="001E7070"/>
    <w:rsid w:val="001E7363"/>
    <w:rsid w:val="001F0DC2"/>
    <w:rsid w:val="001F0F17"/>
    <w:rsid w:val="001F3347"/>
    <w:rsid w:val="001F341C"/>
    <w:rsid w:val="001F61A9"/>
    <w:rsid w:val="001F69E4"/>
    <w:rsid w:val="001F760F"/>
    <w:rsid w:val="00205A2D"/>
    <w:rsid w:val="00210792"/>
    <w:rsid w:val="00211189"/>
    <w:rsid w:val="00211206"/>
    <w:rsid w:val="002125B4"/>
    <w:rsid w:val="002155B8"/>
    <w:rsid w:val="00215E94"/>
    <w:rsid w:val="00216920"/>
    <w:rsid w:val="00224839"/>
    <w:rsid w:val="002249B2"/>
    <w:rsid w:val="00226574"/>
    <w:rsid w:val="002278EC"/>
    <w:rsid w:val="0023280E"/>
    <w:rsid w:val="0023397E"/>
    <w:rsid w:val="002343AA"/>
    <w:rsid w:val="00236EC3"/>
    <w:rsid w:val="002377D1"/>
    <w:rsid w:val="002404E5"/>
    <w:rsid w:val="002438C3"/>
    <w:rsid w:val="002504DD"/>
    <w:rsid w:val="002506BC"/>
    <w:rsid w:val="00254345"/>
    <w:rsid w:val="00264557"/>
    <w:rsid w:val="0027571D"/>
    <w:rsid w:val="00277E8C"/>
    <w:rsid w:val="002805AB"/>
    <w:rsid w:val="002806D2"/>
    <w:rsid w:val="00284204"/>
    <w:rsid w:val="00286BB3"/>
    <w:rsid w:val="00291773"/>
    <w:rsid w:val="002A168C"/>
    <w:rsid w:val="002A2D97"/>
    <w:rsid w:val="002A3936"/>
    <w:rsid w:val="002A3DC7"/>
    <w:rsid w:val="002B49E2"/>
    <w:rsid w:val="002B7B00"/>
    <w:rsid w:val="002B7C44"/>
    <w:rsid w:val="002B7EDC"/>
    <w:rsid w:val="002C0F6F"/>
    <w:rsid w:val="002C2B17"/>
    <w:rsid w:val="002D33F4"/>
    <w:rsid w:val="002D3668"/>
    <w:rsid w:val="002D3DD0"/>
    <w:rsid w:val="002D69C5"/>
    <w:rsid w:val="002D73B1"/>
    <w:rsid w:val="002E0180"/>
    <w:rsid w:val="002E1F3A"/>
    <w:rsid w:val="002E298A"/>
    <w:rsid w:val="002E5C69"/>
    <w:rsid w:val="002F3664"/>
    <w:rsid w:val="002F5593"/>
    <w:rsid w:val="002F560F"/>
    <w:rsid w:val="00301978"/>
    <w:rsid w:val="0030332C"/>
    <w:rsid w:val="00303CBE"/>
    <w:rsid w:val="003051C2"/>
    <w:rsid w:val="00310AFC"/>
    <w:rsid w:val="00310F1E"/>
    <w:rsid w:val="00312296"/>
    <w:rsid w:val="0031366A"/>
    <w:rsid w:val="00314632"/>
    <w:rsid w:val="00314F0E"/>
    <w:rsid w:val="00315B77"/>
    <w:rsid w:val="00317189"/>
    <w:rsid w:val="00317F0D"/>
    <w:rsid w:val="00320DAD"/>
    <w:rsid w:val="00321D8E"/>
    <w:rsid w:val="003221FE"/>
    <w:rsid w:val="00325928"/>
    <w:rsid w:val="003263BF"/>
    <w:rsid w:val="00331505"/>
    <w:rsid w:val="00332863"/>
    <w:rsid w:val="0033684D"/>
    <w:rsid w:val="00337B42"/>
    <w:rsid w:val="00337EBF"/>
    <w:rsid w:val="00341B42"/>
    <w:rsid w:val="0034348F"/>
    <w:rsid w:val="00346185"/>
    <w:rsid w:val="003510CE"/>
    <w:rsid w:val="00351FC6"/>
    <w:rsid w:val="00352ACB"/>
    <w:rsid w:val="00356653"/>
    <w:rsid w:val="0035743F"/>
    <w:rsid w:val="00357BE2"/>
    <w:rsid w:val="0036170C"/>
    <w:rsid w:val="00362CC0"/>
    <w:rsid w:val="00363DB0"/>
    <w:rsid w:val="00364766"/>
    <w:rsid w:val="00366E0F"/>
    <w:rsid w:val="003705B7"/>
    <w:rsid w:val="00370DE0"/>
    <w:rsid w:val="00371316"/>
    <w:rsid w:val="00372D03"/>
    <w:rsid w:val="003806C3"/>
    <w:rsid w:val="00381A72"/>
    <w:rsid w:val="00382F05"/>
    <w:rsid w:val="003845A2"/>
    <w:rsid w:val="00384676"/>
    <w:rsid w:val="00385DBB"/>
    <w:rsid w:val="00387CC7"/>
    <w:rsid w:val="00390857"/>
    <w:rsid w:val="00392B0C"/>
    <w:rsid w:val="003970C1"/>
    <w:rsid w:val="003A15CF"/>
    <w:rsid w:val="003A2209"/>
    <w:rsid w:val="003A4BF3"/>
    <w:rsid w:val="003A50FF"/>
    <w:rsid w:val="003B3B24"/>
    <w:rsid w:val="003B420D"/>
    <w:rsid w:val="003B6AA4"/>
    <w:rsid w:val="003C0960"/>
    <w:rsid w:val="003C143A"/>
    <w:rsid w:val="003C51D2"/>
    <w:rsid w:val="003C684F"/>
    <w:rsid w:val="003C6997"/>
    <w:rsid w:val="003C6C16"/>
    <w:rsid w:val="003D0B7A"/>
    <w:rsid w:val="003D29A6"/>
    <w:rsid w:val="003D794D"/>
    <w:rsid w:val="003E3058"/>
    <w:rsid w:val="003E4B65"/>
    <w:rsid w:val="003E76A9"/>
    <w:rsid w:val="003E7997"/>
    <w:rsid w:val="003F0809"/>
    <w:rsid w:val="003F675B"/>
    <w:rsid w:val="003F6A8C"/>
    <w:rsid w:val="003F755C"/>
    <w:rsid w:val="00405280"/>
    <w:rsid w:val="00406F01"/>
    <w:rsid w:val="0041590D"/>
    <w:rsid w:val="00416D50"/>
    <w:rsid w:val="00416E68"/>
    <w:rsid w:val="00416FD5"/>
    <w:rsid w:val="004171BD"/>
    <w:rsid w:val="00417772"/>
    <w:rsid w:val="00420E6A"/>
    <w:rsid w:val="004214DF"/>
    <w:rsid w:val="00423E43"/>
    <w:rsid w:val="00424D70"/>
    <w:rsid w:val="00425A9E"/>
    <w:rsid w:val="00425B51"/>
    <w:rsid w:val="00426D6B"/>
    <w:rsid w:val="00430A40"/>
    <w:rsid w:val="004313D4"/>
    <w:rsid w:val="00431E6C"/>
    <w:rsid w:val="00433CE7"/>
    <w:rsid w:val="004344AE"/>
    <w:rsid w:val="00435F6F"/>
    <w:rsid w:val="004368F3"/>
    <w:rsid w:val="00446490"/>
    <w:rsid w:val="00452738"/>
    <w:rsid w:val="00456091"/>
    <w:rsid w:val="00462E5E"/>
    <w:rsid w:val="00466321"/>
    <w:rsid w:val="00474991"/>
    <w:rsid w:val="00476098"/>
    <w:rsid w:val="00484B9B"/>
    <w:rsid w:val="004855F6"/>
    <w:rsid w:val="0048661E"/>
    <w:rsid w:val="00490620"/>
    <w:rsid w:val="00490626"/>
    <w:rsid w:val="00491B46"/>
    <w:rsid w:val="0049360B"/>
    <w:rsid w:val="00494670"/>
    <w:rsid w:val="00494C3C"/>
    <w:rsid w:val="004A32C6"/>
    <w:rsid w:val="004A3823"/>
    <w:rsid w:val="004B6B5C"/>
    <w:rsid w:val="004B6C00"/>
    <w:rsid w:val="004C4373"/>
    <w:rsid w:val="004C7BF5"/>
    <w:rsid w:val="004D001A"/>
    <w:rsid w:val="004D00D6"/>
    <w:rsid w:val="004D1603"/>
    <w:rsid w:val="004D1E4C"/>
    <w:rsid w:val="004E3C06"/>
    <w:rsid w:val="004E6946"/>
    <w:rsid w:val="004E75D1"/>
    <w:rsid w:val="004F058E"/>
    <w:rsid w:val="004F0684"/>
    <w:rsid w:val="004F1AD8"/>
    <w:rsid w:val="004F1FD7"/>
    <w:rsid w:val="004F2C9F"/>
    <w:rsid w:val="004F3025"/>
    <w:rsid w:val="004F31CA"/>
    <w:rsid w:val="005039CB"/>
    <w:rsid w:val="00504991"/>
    <w:rsid w:val="0050558F"/>
    <w:rsid w:val="00506286"/>
    <w:rsid w:val="00510813"/>
    <w:rsid w:val="00511990"/>
    <w:rsid w:val="00511DE0"/>
    <w:rsid w:val="005123A7"/>
    <w:rsid w:val="00514870"/>
    <w:rsid w:val="00514B9B"/>
    <w:rsid w:val="00517F02"/>
    <w:rsid w:val="00524303"/>
    <w:rsid w:val="00524BF8"/>
    <w:rsid w:val="005258A2"/>
    <w:rsid w:val="0053209C"/>
    <w:rsid w:val="00532EC8"/>
    <w:rsid w:val="005350C2"/>
    <w:rsid w:val="005401AE"/>
    <w:rsid w:val="00541FC3"/>
    <w:rsid w:val="00542E07"/>
    <w:rsid w:val="0054385F"/>
    <w:rsid w:val="00544FE1"/>
    <w:rsid w:val="00545424"/>
    <w:rsid w:val="00545CA0"/>
    <w:rsid w:val="0055164C"/>
    <w:rsid w:val="00551DCD"/>
    <w:rsid w:val="00553443"/>
    <w:rsid w:val="00553B63"/>
    <w:rsid w:val="00554A7B"/>
    <w:rsid w:val="00554F97"/>
    <w:rsid w:val="0055572C"/>
    <w:rsid w:val="005579C5"/>
    <w:rsid w:val="00557E30"/>
    <w:rsid w:val="005602BC"/>
    <w:rsid w:val="0056106A"/>
    <w:rsid w:val="00561AD3"/>
    <w:rsid w:val="00561C5C"/>
    <w:rsid w:val="00562D16"/>
    <w:rsid w:val="00564FCD"/>
    <w:rsid w:val="005720AE"/>
    <w:rsid w:val="00572FDB"/>
    <w:rsid w:val="0057579E"/>
    <w:rsid w:val="00577A6B"/>
    <w:rsid w:val="00577FBD"/>
    <w:rsid w:val="00580273"/>
    <w:rsid w:val="005838AC"/>
    <w:rsid w:val="005845A2"/>
    <w:rsid w:val="00585791"/>
    <w:rsid w:val="005919B4"/>
    <w:rsid w:val="005949CB"/>
    <w:rsid w:val="00594C30"/>
    <w:rsid w:val="00594D77"/>
    <w:rsid w:val="005969E4"/>
    <w:rsid w:val="00596D24"/>
    <w:rsid w:val="005A06B7"/>
    <w:rsid w:val="005A1759"/>
    <w:rsid w:val="005A68A7"/>
    <w:rsid w:val="005C6568"/>
    <w:rsid w:val="005C70B5"/>
    <w:rsid w:val="005D36AB"/>
    <w:rsid w:val="005D780F"/>
    <w:rsid w:val="005E3C87"/>
    <w:rsid w:val="005E4774"/>
    <w:rsid w:val="005E7D4B"/>
    <w:rsid w:val="005F1D78"/>
    <w:rsid w:val="005F3184"/>
    <w:rsid w:val="00607574"/>
    <w:rsid w:val="00607DB9"/>
    <w:rsid w:val="00611E05"/>
    <w:rsid w:val="00617CC3"/>
    <w:rsid w:val="0063129D"/>
    <w:rsid w:val="006377A6"/>
    <w:rsid w:val="00637A3D"/>
    <w:rsid w:val="006411EF"/>
    <w:rsid w:val="006415F6"/>
    <w:rsid w:val="006419F8"/>
    <w:rsid w:val="00643CB3"/>
    <w:rsid w:val="00651769"/>
    <w:rsid w:val="00653C00"/>
    <w:rsid w:val="00655856"/>
    <w:rsid w:val="00655A21"/>
    <w:rsid w:val="00656EBB"/>
    <w:rsid w:val="00657766"/>
    <w:rsid w:val="00665BA4"/>
    <w:rsid w:val="0067122D"/>
    <w:rsid w:val="006713A5"/>
    <w:rsid w:val="00672143"/>
    <w:rsid w:val="0067275C"/>
    <w:rsid w:val="006731DC"/>
    <w:rsid w:val="006736DD"/>
    <w:rsid w:val="0067449E"/>
    <w:rsid w:val="006748B8"/>
    <w:rsid w:val="006762BD"/>
    <w:rsid w:val="006775C3"/>
    <w:rsid w:val="00680C2A"/>
    <w:rsid w:val="00681E4E"/>
    <w:rsid w:val="00690EC0"/>
    <w:rsid w:val="0069290A"/>
    <w:rsid w:val="00696DDF"/>
    <w:rsid w:val="0069775A"/>
    <w:rsid w:val="00697813"/>
    <w:rsid w:val="006A0B76"/>
    <w:rsid w:val="006A169E"/>
    <w:rsid w:val="006A3EE8"/>
    <w:rsid w:val="006A4F53"/>
    <w:rsid w:val="006A72BF"/>
    <w:rsid w:val="006B03F2"/>
    <w:rsid w:val="006B37DC"/>
    <w:rsid w:val="006B4F68"/>
    <w:rsid w:val="006C0592"/>
    <w:rsid w:val="006C272E"/>
    <w:rsid w:val="006C2926"/>
    <w:rsid w:val="006C4564"/>
    <w:rsid w:val="006C5479"/>
    <w:rsid w:val="006C60CE"/>
    <w:rsid w:val="006C6ABC"/>
    <w:rsid w:val="006C7540"/>
    <w:rsid w:val="006C7DE1"/>
    <w:rsid w:val="006D13B5"/>
    <w:rsid w:val="006E0A0B"/>
    <w:rsid w:val="006E12FF"/>
    <w:rsid w:val="006E2365"/>
    <w:rsid w:val="006E298A"/>
    <w:rsid w:val="006E607E"/>
    <w:rsid w:val="006E61EC"/>
    <w:rsid w:val="006E6BF5"/>
    <w:rsid w:val="006F0008"/>
    <w:rsid w:val="006F0866"/>
    <w:rsid w:val="006F143E"/>
    <w:rsid w:val="006F5683"/>
    <w:rsid w:val="00702544"/>
    <w:rsid w:val="00703AAF"/>
    <w:rsid w:val="00705B0C"/>
    <w:rsid w:val="00706C5D"/>
    <w:rsid w:val="0071269C"/>
    <w:rsid w:val="00714B82"/>
    <w:rsid w:val="0072287F"/>
    <w:rsid w:val="00722923"/>
    <w:rsid w:val="00724B98"/>
    <w:rsid w:val="00730621"/>
    <w:rsid w:val="00732290"/>
    <w:rsid w:val="00732922"/>
    <w:rsid w:val="00737380"/>
    <w:rsid w:val="00737690"/>
    <w:rsid w:val="00737B59"/>
    <w:rsid w:val="00746657"/>
    <w:rsid w:val="0075162E"/>
    <w:rsid w:val="00753143"/>
    <w:rsid w:val="00753C71"/>
    <w:rsid w:val="00754034"/>
    <w:rsid w:val="00754268"/>
    <w:rsid w:val="00756556"/>
    <w:rsid w:val="00760AFE"/>
    <w:rsid w:val="00760E42"/>
    <w:rsid w:val="007618C4"/>
    <w:rsid w:val="007648AD"/>
    <w:rsid w:val="00766908"/>
    <w:rsid w:val="00767980"/>
    <w:rsid w:val="00770B19"/>
    <w:rsid w:val="00771C49"/>
    <w:rsid w:val="00772595"/>
    <w:rsid w:val="00774118"/>
    <w:rsid w:val="0077463F"/>
    <w:rsid w:val="00777C46"/>
    <w:rsid w:val="007836EA"/>
    <w:rsid w:val="00784CDA"/>
    <w:rsid w:val="007906C4"/>
    <w:rsid w:val="007940EA"/>
    <w:rsid w:val="007967E8"/>
    <w:rsid w:val="007A1947"/>
    <w:rsid w:val="007A1ABD"/>
    <w:rsid w:val="007A1F5F"/>
    <w:rsid w:val="007A2170"/>
    <w:rsid w:val="007A2271"/>
    <w:rsid w:val="007A22BF"/>
    <w:rsid w:val="007A3323"/>
    <w:rsid w:val="007A7615"/>
    <w:rsid w:val="007A7750"/>
    <w:rsid w:val="007B02E8"/>
    <w:rsid w:val="007B10BE"/>
    <w:rsid w:val="007B72B8"/>
    <w:rsid w:val="007B7A58"/>
    <w:rsid w:val="007C08CB"/>
    <w:rsid w:val="007C112B"/>
    <w:rsid w:val="007C21B5"/>
    <w:rsid w:val="007C491E"/>
    <w:rsid w:val="007C69A7"/>
    <w:rsid w:val="007C7460"/>
    <w:rsid w:val="007D15D6"/>
    <w:rsid w:val="007D20EC"/>
    <w:rsid w:val="007D59AB"/>
    <w:rsid w:val="007E4BD2"/>
    <w:rsid w:val="007E59E9"/>
    <w:rsid w:val="007E6A21"/>
    <w:rsid w:val="007F05A0"/>
    <w:rsid w:val="007F2338"/>
    <w:rsid w:val="008008F9"/>
    <w:rsid w:val="00801393"/>
    <w:rsid w:val="008017BE"/>
    <w:rsid w:val="00802A5A"/>
    <w:rsid w:val="00802F88"/>
    <w:rsid w:val="0081293E"/>
    <w:rsid w:val="00815465"/>
    <w:rsid w:val="00817E9A"/>
    <w:rsid w:val="0082007C"/>
    <w:rsid w:val="00820C49"/>
    <w:rsid w:val="0082252B"/>
    <w:rsid w:val="0082520A"/>
    <w:rsid w:val="0083000F"/>
    <w:rsid w:val="008306BD"/>
    <w:rsid w:val="00831A80"/>
    <w:rsid w:val="00832755"/>
    <w:rsid w:val="00833743"/>
    <w:rsid w:val="008340A4"/>
    <w:rsid w:val="0083593F"/>
    <w:rsid w:val="00846432"/>
    <w:rsid w:val="00846E78"/>
    <w:rsid w:val="008540B7"/>
    <w:rsid w:val="008573B3"/>
    <w:rsid w:val="00862426"/>
    <w:rsid w:val="00867EAC"/>
    <w:rsid w:val="0087135F"/>
    <w:rsid w:val="00872585"/>
    <w:rsid w:val="00872D94"/>
    <w:rsid w:val="00873A68"/>
    <w:rsid w:val="00877AC1"/>
    <w:rsid w:val="00877E9D"/>
    <w:rsid w:val="00880364"/>
    <w:rsid w:val="00882B1B"/>
    <w:rsid w:val="00883C99"/>
    <w:rsid w:val="00891592"/>
    <w:rsid w:val="00891E9E"/>
    <w:rsid w:val="008A18E8"/>
    <w:rsid w:val="008A1DF7"/>
    <w:rsid w:val="008A2F68"/>
    <w:rsid w:val="008A49AA"/>
    <w:rsid w:val="008A61F1"/>
    <w:rsid w:val="008A6391"/>
    <w:rsid w:val="008A7A84"/>
    <w:rsid w:val="008B4FA6"/>
    <w:rsid w:val="008B5282"/>
    <w:rsid w:val="008B65B1"/>
    <w:rsid w:val="008B74E0"/>
    <w:rsid w:val="008B7C17"/>
    <w:rsid w:val="008C20B6"/>
    <w:rsid w:val="008C2174"/>
    <w:rsid w:val="008C2D01"/>
    <w:rsid w:val="008C38C1"/>
    <w:rsid w:val="008C40E6"/>
    <w:rsid w:val="008C5CA1"/>
    <w:rsid w:val="008D02F1"/>
    <w:rsid w:val="008D0F7A"/>
    <w:rsid w:val="008D2747"/>
    <w:rsid w:val="008D4489"/>
    <w:rsid w:val="008D4A91"/>
    <w:rsid w:val="008D6056"/>
    <w:rsid w:val="008D68E4"/>
    <w:rsid w:val="008E0506"/>
    <w:rsid w:val="008E0CFF"/>
    <w:rsid w:val="008E5D6B"/>
    <w:rsid w:val="008E6A3D"/>
    <w:rsid w:val="008E76F0"/>
    <w:rsid w:val="008F15FE"/>
    <w:rsid w:val="008F2D29"/>
    <w:rsid w:val="008F3C9B"/>
    <w:rsid w:val="008F4C15"/>
    <w:rsid w:val="008F5187"/>
    <w:rsid w:val="008F60D8"/>
    <w:rsid w:val="008F7EDB"/>
    <w:rsid w:val="00902727"/>
    <w:rsid w:val="0090312B"/>
    <w:rsid w:val="00905C4E"/>
    <w:rsid w:val="00907060"/>
    <w:rsid w:val="00910298"/>
    <w:rsid w:val="009119CD"/>
    <w:rsid w:val="00916A8E"/>
    <w:rsid w:val="0091736D"/>
    <w:rsid w:val="009243B7"/>
    <w:rsid w:val="0093037A"/>
    <w:rsid w:val="009305E7"/>
    <w:rsid w:val="009317C3"/>
    <w:rsid w:val="00937364"/>
    <w:rsid w:val="00937B50"/>
    <w:rsid w:val="0094154D"/>
    <w:rsid w:val="0095034C"/>
    <w:rsid w:val="0095098A"/>
    <w:rsid w:val="0095155F"/>
    <w:rsid w:val="009537E5"/>
    <w:rsid w:val="00954429"/>
    <w:rsid w:val="00954B24"/>
    <w:rsid w:val="00954F05"/>
    <w:rsid w:val="009554E1"/>
    <w:rsid w:val="009563CE"/>
    <w:rsid w:val="00956F55"/>
    <w:rsid w:val="009606CF"/>
    <w:rsid w:val="00964436"/>
    <w:rsid w:val="00964FA1"/>
    <w:rsid w:val="00967348"/>
    <w:rsid w:val="00976328"/>
    <w:rsid w:val="0097680D"/>
    <w:rsid w:val="009818DE"/>
    <w:rsid w:val="00981D24"/>
    <w:rsid w:val="00982438"/>
    <w:rsid w:val="0098404C"/>
    <w:rsid w:val="00984752"/>
    <w:rsid w:val="00985283"/>
    <w:rsid w:val="00986970"/>
    <w:rsid w:val="00990C42"/>
    <w:rsid w:val="00993B31"/>
    <w:rsid w:val="00995992"/>
    <w:rsid w:val="0099635A"/>
    <w:rsid w:val="00997C96"/>
    <w:rsid w:val="009A03E5"/>
    <w:rsid w:val="009A0627"/>
    <w:rsid w:val="009A0F3B"/>
    <w:rsid w:val="009A0F49"/>
    <w:rsid w:val="009A1BB4"/>
    <w:rsid w:val="009A2628"/>
    <w:rsid w:val="009A3200"/>
    <w:rsid w:val="009A3277"/>
    <w:rsid w:val="009A4DFE"/>
    <w:rsid w:val="009A7E95"/>
    <w:rsid w:val="009B035D"/>
    <w:rsid w:val="009B0897"/>
    <w:rsid w:val="009B1865"/>
    <w:rsid w:val="009B7BD9"/>
    <w:rsid w:val="009C0ACE"/>
    <w:rsid w:val="009C1D18"/>
    <w:rsid w:val="009C7B79"/>
    <w:rsid w:val="009C7CC9"/>
    <w:rsid w:val="009C7DD5"/>
    <w:rsid w:val="009D4428"/>
    <w:rsid w:val="009D5822"/>
    <w:rsid w:val="009E164D"/>
    <w:rsid w:val="009E1895"/>
    <w:rsid w:val="009E227D"/>
    <w:rsid w:val="009E3E2F"/>
    <w:rsid w:val="009E5019"/>
    <w:rsid w:val="009E5F86"/>
    <w:rsid w:val="009F1B69"/>
    <w:rsid w:val="009F4047"/>
    <w:rsid w:val="009F4A0D"/>
    <w:rsid w:val="009F5BD1"/>
    <w:rsid w:val="00A00B58"/>
    <w:rsid w:val="00A04F1B"/>
    <w:rsid w:val="00A0501B"/>
    <w:rsid w:val="00A07C53"/>
    <w:rsid w:val="00A14947"/>
    <w:rsid w:val="00A16F6E"/>
    <w:rsid w:val="00A226E8"/>
    <w:rsid w:val="00A32A83"/>
    <w:rsid w:val="00A33BB4"/>
    <w:rsid w:val="00A34C8E"/>
    <w:rsid w:val="00A35F72"/>
    <w:rsid w:val="00A368DB"/>
    <w:rsid w:val="00A36FC7"/>
    <w:rsid w:val="00A411BF"/>
    <w:rsid w:val="00A423AA"/>
    <w:rsid w:val="00A42A12"/>
    <w:rsid w:val="00A43B8B"/>
    <w:rsid w:val="00A454DF"/>
    <w:rsid w:val="00A50B6B"/>
    <w:rsid w:val="00A51048"/>
    <w:rsid w:val="00A510AC"/>
    <w:rsid w:val="00A53EC6"/>
    <w:rsid w:val="00A55C0F"/>
    <w:rsid w:val="00A70EF1"/>
    <w:rsid w:val="00A861C0"/>
    <w:rsid w:val="00A8713F"/>
    <w:rsid w:val="00A87EE8"/>
    <w:rsid w:val="00A90BA1"/>
    <w:rsid w:val="00A91A3C"/>
    <w:rsid w:val="00A91CD8"/>
    <w:rsid w:val="00A9401E"/>
    <w:rsid w:val="00A96964"/>
    <w:rsid w:val="00A97A9A"/>
    <w:rsid w:val="00AA0671"/>
    <w:rsid w:val="00AA2531"/>
    <w:rsid w:val="00AA477C"/>
    <w:rsid w:val="00AA5B7B"/>
    <w:rsid w:val="00AA78D5"/>
    <w:rsid w:val="00AB1E09"/>
    <w:rsid w:val="00AB4E01"/>
    <w:rsid w:val="00AB5330"/>
    <w:rsid w:val="00AB616A"/>
    <w:rsid w:val="00AB7747"/>
    <w:rsid w:val="00AC14CE"/>
    <w:rsid w:val="00AC1621"/>
    <w:rsid w:val="00AC2853"/>
    <w:rsid w:val="00AC2A56"/>
    <w:rsid w:val="00AC2BC2"/>
    <w:rsid w:val="00AC5BA0"/>
    <w:rsid w:val="00AC7B4A"/>
    <w:rsid w:val="00AD055E"/>
    <w:rsid w:val="00AD47A7"/>
    <w:rsid w:val="00AD79C1"/>
    <w:rsid w:val="00AE0489"/>
    <w:rsid w:val="00AE2698"/>
    <w:rsid w:val="00AE490F"/>
    <w:rsid w:val="00AE4FFE"/>
    <w:rsid w:val="00AE6DD3"/>
    <w:rsid w:val="00AF0CBF"/>
    <w:rsid w:val="00AF257F"/>
    <w:rsid w:val="00AF33CF"/>
    <w:rsid w:val="00AF4D50"/>
    <w:rsid w:val="00AF6179"/>
    <w:rsid w:val="00AF6926"/>
    <w:rsid w:val="00B00C66"/>
    <w:rsid w:val="00B05AD3"/>
    <w:rsid w:val="00B123C7"/>
    <w:rsid w:val="00B1295A"/>
    <w:rsid w:val="00B13C06"/>
    <w:rsid w:val="00B148FA"/>
    <w:rsid w:val="00B170B1"/>
    <w:rsid w:val="00B20A45"/>
    <w:rsid w:val="00B22C5C"/>
    <w:rsid w:val="00B24F30"/>
    <w:rsid w:val="00B31ABF"/>
    <w:rsid w:val="00B33BE3"/>
    <w:rsid w:val="00B343F5"/>
    <w:rsid w:val="00B349F2"/>
    <w:rsid w:val="00B406DE"/>
    <w:rsid w:val="00B42B01"/>
    <w:rsid w:val="00B44339"/>
    <w:rsid w:val="00B53B5D"/>
    <w:rsid w:val="00B6055E"/>
    <w:rsid w:val="00B627C3"/>
    <w:rsid w:val="00B6317D"/>
    <w:rsid w:val="00B703F4"/>
    <w:rsid w:val="00B7202C"/>
    <w:rsid w:val="00B74EBD"/>
    <w:rsid w:val="00B7723F"/>
    <w:rsid w:val="00B80534"/>
    <w:rsid w:val="00B80EFE"/>
    <w:rsid w:val="00B8433C"/>
    <w:rsid w:val="00B86952"/>
    <w:rsid w:val="00B87491"/>
    <w:rsid w:val="00B9111B"/>
    <w:rsid w:val="00B913B5"/>
    <w:rsid w:val="00B9561B"/>
    <w:rsid w:val="00B95E4A"/>
    <w:rsid w:val="00B9675A"/>
    <w:rsid w:val="00BA29E9"/>
    <w:rsid w:val="00BA41E2"/>
    <w:rsid w:val="00BA4FD6"/>
    <w:rsid w:val="00BA7142"/>
    <w:rsid w:val="00BB237C"/>
    <w:rsid w:val="00BB41A3"/>
    <w:rsid w:val="00BB6817"/>
    <w:rsid w:val="00BB690A"/>
    <w:rsid w:val="00BB79E6"/>
    <w:rsid w:val="00BC32DC"/>
    <w:rsid w:val="00BC32DD"/>
    <w:rsid w:val="00BC35B6"/>
    <w:rsid w:val="00BD1B51"/>
    <w:rsid w:val="00BD1FFC"/>
    <w:rsid w:val="00BD20DE"/>
    <w:rsid w:val="00BD26C1"/>
    <w:rsid w:val="00BD2CE4"/>
    <w:rsid w:val="00BD306D"/>
    <w:rsid w:val="00BD314E"/>
    <w:rsid w:val="00BD4596"/>
    <w:rsid w:val="00BD7585"/>
    <w:rsid w:val="00BD76D0"/>
    <w:rsid w:val="00BE04A8"/>
    <w:rsid w:val="00BE08DF"/>
    <w:rsid w:val="00BE1405"/>
    <w:rsid w:val="00BE2571"/>
    <w:rsid w:val="00BE312D"/>
    <w:rsid w:val="00BE73B7"/>
    <w:rsid w:val="00BF0C7B"/>
    <w:rsid w:val="00BF1C20"/>
    <w:rsid w:val="00BF6993"/>
    <w:rsid w:val="00BF6B9E"/>
    <w:rsid w:val="00C10578"/>
    <w:rsid w:val="00C10CBC"/>
    <w:rsid w:val="00C132AC"/>
    <w:rsid w:val="00C135BC"/>
    <w:rsid w:val="00C15C95"/>
    <w:rsid w:val="00C21FFA"/>
    <w:rsid w:val="00C254FD"/>
    <w:rsid w:val="00C2596A"/>
    <w:rsid w:val="00C26324"/>
    <w:rsid w:val="00C27194"/>
    <w:rsid w:val="00C27537"/>
    <w:rsid w:val="00C31E92"/>
    <w:rsid w:val="00C328FE"/>
    <w:rsid w:val="00C33507"/>
    <w:rsid w:val="00C37B32"/>
    <w:rsid w:val="00C37E3D"/>
    <w:rsid w:val="00C4064C"/>
    <w:rsid w:val="00C410DF"/>
    <w:rsid w:val="00C439F3"/>
    <w:rsid w:val="00C4409D"/>
    <w:rsid w:val="00C44E72"/>
    <w:rsid w:val="00C452E0"/>
    <w:rsid w:val="00C45A06"/>
    <w:rsid w:val="00C472F5"/>
    <w:rsid w:val="00C47E5B"/>
    <w:rsid w:val="00C521EE"/>
    <w:rsid w:val="00C522B1"/>
    <w:rsid w:val="00C61E4B"/>
    <w:rsid w:val="00C63211"/>
    <w:rsid w:val="00C633DE"/>
    <w:rsid w:val="00C6413B"/>
    <w:rsid w:val="00C64BFF"/>
    <w:rsid w:val="00C66194"/>
    <w:rsid w:val="00C7001F"/>
    <w:rsid w:val="00C704E9"/>
    <w:rsid w:val="00C70DB6"/>
    <w:rsid w:val="00C71748"/>
    <w:rsid w:val="00C763C9"/>
    <w:rsid w:val="00C7682B"/>
    <w:rsid w:val="00C80057"/>
    <w:rsid w:val="00C82232"/>
    <w:rsid w:val="00C82913"/>
    <w:rsid w:val="00C83B0C"/>
    <w:rsid w:val="00C83EE8"/>
    <w:rsid w:val="00C96824"/>
    <w:rsid w:val="00C971E8"/>
    <w:rsid w:val="00C972B1"/>
    <w:rsid w:val="00CA0790"/>
    <w:rsid w:val="00CA11D8"/>
    <w:rsid w:val="00CA2CCE"/>
    <w:rsid w:val="00CA36A6"/>
    <w:rsid w:val="00CA43FD"/>
    <w:rsid w:val="00CA6E97"/>
    <w:rsid w:val="00CA7EF8"/>
    <w:rsid w:val="00CB0C7F"/>
    <w:rsid w:val="00CB30C3"/>
    <w:rsid w:val="00CB6D0A"/>
    <w:rsid w:val="00CC114C"/>
    <w:rsid w:val="00CC3146"/>
    <w:rsid w:val="00CC3B5E"/>
    <w:rsid w:val="00CC4767"/>
    <w:rsid w:val="00CC489B"/>
    <w:rsid w:val="00CD108E"/>
    <w:rsid w:val="00CD2BCD"/>
    <w:rsid w:val="00CD3407"/>
    <w:rsid w:val="00CD3A4C"/>
    <w:rsid w:val="00CD6149"/>
    <w:rsid w:val="00CD7384"/>
    <w:rsid w:val="00CE10E9"/>
    <w:rsid w:val="00CE2910"/>
    <w:rsid w:val="00CE5393"/>
    <w:rsid w:val="00CE5EFB"/>
    <w:rsid w:val="00CE7B16"/>
    <w:rsid w:val="00CF1BCD"/>
    <w:rsid w:val="00CF2142"/>
    <w:rsid w:val="00CF2DA1"/>
    <w:rsid w:val="00CF36BE"/>
    <w:rsid w:val="00CF6000"/>
    <w:rsid w:val="00D003F3"/>
    <w:rsid w:val="00D0364F"/>
    <w:rsid w:val="00D04B66"/>
    <w:rsid w:val="00D0545E"/>
    <w:rsid w:val="00D06834"/>
    <w:rsid w:val="00D07B71"/>
    <w:rsid w:val="00D164C7"/>
    <w:rsid w:val="00D17761"/>
    <w:rsid w:val="00D17AC3"/>
    <w:rsid w:val="00D20403"/>
    <w:rsid w:val="00D20875"/>
    <w:rsid w:val="00D20C86"/>
    <w:rsid w:val="00D230C1"/>
    <w:rsid w:val="00D2611B"/>
    <w:rsid w:val="00D308ED"/>
    <w:rsid w:val="00D35EF0"/>
    <w:rsid w:val="00D363F1"/>
    <w:rsid w:val="00D36D86"/>
    <w:rsid w:val="00D3703B"/>
    <w:rsid w:val="00D37199"/>
    <w:rsid w:val="00D428AA"/>
    <w:rsid w:val="00D50A34"/>
    <w:rsid w:val="00D515AF"/>
    <w:rsid w:val="00D51BF6"/>
    <w:rsid w:val="00D53EFA"/>
    <w:rsid w:val="00D65C80"/>
    <w:rsid w:val="00D757CB"/>
    <w:rsid w:val="00D75BA6"/>
    <w:rsid w:val="00D75E1F"/>
    <w:rsid w:val="00D813D7"/>
    <w:rsid w:val="00D838D9"/>
    <w:rsid w:val="00D85203"/>
    <w:rsid w:val="00D87FC8"/>
    <w:rsid w:val="00D9201C"/>
    <w:rsid w:val="00D94A7C"/>
    <w:rsid w:val="00D955CB"/>
    <w:rsid w:val="00D95896"/>
    <w:rsid w:val="00DA2E1C"/>
    <w:rsid w:val="00DA73C6"/>
    <w:rsid w:val="00DB2983"/>
    <w:rsid w:val="00DB302F"/>
    <w:rsid w:val="00DB324F"/>
    <w:rsid w:val="00DB4E6E"/>
    <w:rsid w:val="00DB5EED"/>
    <w:rsid w:val="00DB6338"/>
    <w:rsid w:val="00DC1257"/>
    <w:rsid w:val="00DC160E"/>
    <w:rsid w:val="00DC317A"/>
    <w:rsid w:val="00DC3DC0"/>
    <w:rsid w:val="00DC5B2B"/>
    <w:rsid w:val="00DC66D5"/>
    <w:rsid w:val="00DD318D"/>
    <w:rsid w:val="00DE1502"/>
    <w:rsid w:val="00DE2635"/>
    <w:rsid w:val="00DE3392"/>
    <w:rsid w:val="00DF20D1"/>
    <w:rsid w:val="00DF2E12"/>
    <w:rsid w:val="00DF3E65"/>
    <w:rsid w:val="00DF3E67"/>
    <w:rsid w:val="00DF4189"/>
    <w:rsid w:val="00DF514A"/>
    <w:rsid w:val="00DF6690"/>
    <w:rsid w:val="00DF6804"/>
    <w:rsid w:val="00E024D4"/>
    <w:rsid w:val="00E0358D"/>
    <w:rsid w:val="00E04323"/>
    <w:rsid w:val="00E070A2"/>
    <w:rsid w:val="00E17F7F"/>
    <w:rsid w:val="00E234BE"/>
    <w:rsid w:val="00E23D69"/>
    <w:rsid w:val="00E2442A"/>
    <w:rsid w:val="00E261C4"/>
    <w:rsid w:val="00E2656A"/>
    <w:rsid w:val="00E26A3D"/>
    <w:rsid w:val="00E309C9"/>
    <w:rsid w:val="00E3211E"/>
    <w:rsid w:val="00E37CCC"/>
    <w:rsid w:val="00E37FDB"/>
    <w:rsid w:val="00E4052B"/>
    <w:rsid w:val="00E412D0"/>
    <w:rsid w:val="00E42D20"/>
    <w:rsid w:val="00E43C1B"/>
    <w:rsid w:val="00E476E7"/>
    <w:rsid w:val="00E50B78"/>
    <w:rsid w:val="00E55C1F"/>
    <w:rsid w:val="00E56322"/>
    <w:rsid w:val="00E603C6"/>
    <w:rsid w:val="00E60982"/>
    <w:rsid w:val="00E62C62"/>
    <w:rsid w:val="00E654C1"/>
    <w:rsid w:val="00E65D97"/>
    <w:rsid w:val="00E72A5A"/>
    <w:rsid w:val="00E73131"/>
    <w:rsid w:val="00E73354"/>
    <w:rsid w:val="00E81972"/>
    <w:rsid w:val="00E82599"/>
    <w:rsid w:val="00E849BC"/>
    <w:rsid w:val="00E9117E"/>
    <w:rsid w:val="00E917F6"/>
    <w:rsid w:val="00E9242D"/>
    <w:rsid w:val="00E974C1"/>
    <w:rsid w:val="00EA68A9"/>
    <w:rsid w:val="00EA7510"/>
    <w:rsid w:val="00EB15EB"/>
    <w:rsid w:val="00EB49AC"/>
    <w:rsid w:val="00EB4CE0"/>
    <w:rsid w:val="00EB5255"/>
    <w:rsid w:val="00EB55CB"/>
    <w:rsid w:val="00EB5C47"/>
    <w:rsid w:val="00EC598A"/>
    <w:rsid w:val="00ED0639"/>
    <w:rsid w:val="00ED3A12"/>
    <w:rsid w:val="00ED3D84"/>
    <w:rsid w:val="00ED6C5D"/>
    <w:rsid w:val="00EE1424"/>
    <w:rsid w:val="00EE3C35"/>
    <w:rsid w:val="00EF0184"/>
    <w:rsid w:val="00EF3A54"/>
    <w:rsid w:val="00EF4755"/>
    <w:rsid w:val="00EF6B2A"/>
    <w:rsid w:val="00EF7135"/>
    <w:rsid w:val="00F027DB"/>
    <w:rsid w:val="00F03D4F"/>
    <w:rsid w:val="00F040CD"/>
    <w:rsid w:val="00F06BB6"/>
    <w:rsid w:val="00F1144C"/>
    <w:rsid w:val="00F14A7A"/>
    <w:rsid w:val="00F222C8"/>
    <w:rsid w:val="00F22985"/>
    <w:rsid w:val="00F23CBE"/>
    <w:rsid w:val="00F24DDB"/>
    <w:rsid w:val="00F307C4"/>
    <w:rsid w:val="00F3383E"/>
    <w:rsid w:val="00F426BF"/>
    <w:rsid w:val="00F465A7"/>
    <w:rsid w:val="00F50B7C"/>
    <w:rsid w:val="00F53DEB"/>
    <w:rsid w:val="00F550E6"/>
    <w:rsid w:val="00F740A6"/>
    <w:rsid w:val="00F74345"/>
    <w:rsid w:val="00F760B8"/>
    <w:rsid w:val="00F80A0A"/>
    <w:rsid w:val="00F827B9"/>
    <w:rsid w:val="00F82B19"/>
    <w:rsid w:val="00F9212D"/>
    <w:rsid w:val="00F93DF4"/>
    <w:rsid w:val="00F94BBD"/>
    <w:rsid w:val="00F96192"/>
    <w:rsid w:val="00F965DA"/>
    <w:rsid w:val="00FA10F0"/>
    <w:rsid w:val="00FA406A"/>
    <w:rsid w:val="00FA4D04"/>
    <w:rsid w:val="00FA6BF2"/>
    <w:rsid w:val="00FB18E6"/>
    <w:rsid w:val="00FB503A"/>
    <w:rsid w:val="00FB516C"/>
    <w:rsid w:val="00FB52D7"/>
    <w:rsid w:val="00FC4D71"/>
    <w:rsid w:val="00FD0236"/>
    <w:rsid w:val="00FD045E"/>
    <w:rsid w:val="00FD18F4"/>
    <w:rsid w:val="00FD4451"/>
    <w:rsid w:val="00FD54DB"/>
    <w:rsid w:val="00FD5E44"/>
    <w:rsid w:val="00FD619F"/>
    <w:rsid w:val="00FE3E0E"/>
    <w:rsid w:val="00FE4B51"/>
    <w:rsid w:val="00FE7398"/>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ADC5F21"/>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99" w:semiHidden="0" w:name="Normal Indent" w:locked="1"/>
    <w:lsdException w:unhideWhenUsed="0" w:uiPriority="0" w:semiHidden="0" w:name="footnote text" w:locked="1"/>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iPriority="0" w:name="HTML Variable" w:locked="1"/>
    <w:lsdException w:qFormat="1"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locked/>
    <w:uiPriority w:val="99"/>
    <w:pPr>
      <w:spacing w:line="360" w:lineRule="auto"/>
      <w:ind w:firstLine="420"/>
    </w:pPr>
    <w:rPr>
      <w:rFonts w:ascii="宋体" w:hAnsi="宋体"/>
      <w:kern w:val="0"/>
    </w:rPr>
  </w:style>
  <w:style w:type="paragraph" w:styleId="4">
    <w:name w:val="Body Text First Indent 2"/>
    <w:basedOn w:val="5"/>
    <w:link w:val="48"/>
    <w:locked/>
    <w:uiPriority w:val="0"/>
    <w:pPr>
      <w:ind w:firstLine="420" w:firstLineChars="200"/>
    </w:pPr>
    <w:rPr>
      <w:kern w:val="2"/>
      <w:sz w:val="21"/>
      <w:szCs w:val="24"/>
    </w:rPr>
  </w:style>
  <w:style w:type="paragraph" w:styleId="5">
    <w:name w:val="Body Text Indent"/>
    <w:basedOn w:val="1"/>
    <w:link w:val="35"/>
    <w:uiPriority w:val="0"/>
    <w:pPr>
      <w:spacing w:after="120"/>
      <w:ind w:left="420" w:leftChars="200"/>
    </w:pPr>
    <w:rPr>
      <w:kern w:val="0"/>
      <w:sz w:val="24"/>
      <w:szCs w:val="20"/>
    </w:rPr>
  </w:style>
  <w:style w:type="paragraph" w:styleId="6">
    <w:name w:val="annotation text"/>
    <w:basedOn w:val="1"/>
    <w:link w:val="27"/>
    <w:semiHidden/>
    <w:uiPriority w:val="0"/>
    <w:pPr>
      <w:jc w:val="left"/>
    </w:pPr>
    <w:rPr>
      <w:kern w:val="0"/>
      <w:sz w:val="24"/>
      <w:szCs w:val="20"/>
    </w:rPr>
  </w:style>
  <w:style w:type="paragraph" w:styleId="7">
    <w:name w:val="Body Text"/>
    <w:basedOn w:val="1"/>
    <w:link w:val="26"/>
    <w:uiPriority w:val="0"/>
    <w:pPr>
      <w:widowControl/>
      <w:snapToGrid w:val="0"/>
      <w:spacing w:before="60" w:after="160" w:line="259" w:lineRule="auto"/>
      <w:ind w:right="113"/>
    </w:pPr>
    <w:rPr>
      <w:kern w:val="0"/>
      <w:sz w:val="18"/>
      <w:szCs w:val="20"/>
    </w:rPr>
  </w:style>
  <w:style w:type="paragraph" w:styleId="8">
    <w:name w:val="Date"/>
    <w:basedOn w:val="1"/>
    <w:next w:val="1"/>
    <w:link w:val="22"/>
    <w:uiPriority w:val="0"/>
    <w:pPr>
      <w:ind w:left="100" w:leftChars="2500"/>
    </w:pPr>
    <w:rPr>
      <w:kern w:val="0"/>
      <w:sz w:val="24"/>
      <w:szCs w:val="20"/>
    </w:rPr>
  </w:style>
  <w:style w:type="paragraph" w:styleId="9">
    <w:name w:val="Balloon Text"/>
    <w:basedOn w:val="1"/>
    <w:link w:val="31"/>
    <w:semiHidden/>
    <w:uiPriority w:val="0"/>
    <w:rPr>
      <w:kern w:val="0"/>
      <w:sz w:val="18"/>
      <w:szCs w:val="20"/>
    </w:rPr>
  </w:style>
  <w:style w:type="paragraph" w:styleId="10">
    <w:name w:val="footer"/>
    <w:basedOn w:val="1"/>
    <w:link w:val="21"/>
    <w:uiPriority w:val="99"/>
    <w:pPr>
      <w:tabs>
        <w:tab w:val="center" w:pos="4153"/>
        <w:tab w:val="right" w:pos="8306"/>
      </w:tabs>
      <w:snapToGrid w:val="0"/>
      <w:jc w:val="left"/>
    </w:pPr>
    <w:rPr>
      <w:kern w:val="0"/>
      <w:sz w:val="18"/>
      <w:szCs w:val="20"/>
    </w:rPr>
  </w:style>
  <w:style w:type="paragraph" w:styleId="11">
    <w:name w:val="header"/>
    <w:basedOn w:val="1"/>
    <w:link w:val="33"/>
    <w:uiPriority w:val="0"/>
    <w:pPr>
      <w:pBdr>
        <w:bottom w:val="single" w:color="auto" w:sz="6" w:space="1"/>
      </w:pBdr>
      <w:tabs>
        <w:tab w:val="center" w:pos="4153"/>
        <w:tab w:val="right" w:pos="8306"/>
      </w:tabs>
      <w:snapToGrid w:val="0"/>
      <w:jc w:val="center"/>
    </w:pPr>
    <w:rPr>
      <w:kern w:val="0"/>
      <w:sz w:val="18"/>
      <w:szCs w:val="20"/>
    </w:rPr>
  </w:style>
  <w:style w:type="paragraph" w:styleId="12">
    <w:name w:val="Subtitle"/>
    <w:basedOn w:val="1"/>
    <w:next w:val="1"/>
    <w:link w:val="38"/>
    <w:qFormat/>
    <w:locked/>
    <w:uiPriority w:val="0"/>
    <w:pPr>
      <w:adjustRightInd w:val="0"/>
      <w:snapToGrid w:val="0"/>
      <w:jc w:val="center"/>
    </w:pPr>
    <w:rPr>
      <w:rFonts w:eastAsia="黑体"/>
      <w:bCs/>
      <w:snapToGrid w:val="0"/>
      <w:kern w:val="0"/>
      <w:sz w:val="24"/>
      <w:szCs w:val="32"/>
    </w:rPr>
  </w:style>
  <w:style w:type="paragraph" w:styleId="13">
    <w:name w:val="Normal (Web)"/>
    <w:basedOn w:val="1"/>
    <w:link w:val="24"/>
    <w:uiPriority w:val="0"/>
    <w:pPr>
      <w:widowControl/>
      <w:spacing w:before="100" w:beforeAutospacing="1" w:after="100" w:afterAutospacing="1"/>
      <w:jc w:val="left"/>
    </w:pPr>
    <w:rPr>
      <w:rFonts w:ascii="宋体" w:hAnsi="宋体"/>
      <w:kern w:val="0"/>
      <w:sz w:val="24"/>
      <w:szCs w:val="20"/>
    </w:rPr>
  </w:style>
  <w:style w:type="paragraph" w:styleId="14">
    <w:name w:val="Title"/>
    <w:basedOn w:val="1"/>
    <w:next w:val="1"/>
    <w:link w:val="40"/>
    <w:qFormat/>
    <w:locked/>
    <w:uiPriority w:val="0"/>
    <w:pPr>
      <w:spacing w:before="240" w:after="60"/>
      <w:jc w:val="center"/>
      <w:outlineLvl w:val="0"/>
    </w:pPr>
    <w:rPr>
      <w:rFonts w:ascii="等线 Light" w:hAnsi="等线 Light"/>
      <w:b/>
      <w:bCs/>
      <w:sz w:val="32"/>
      <w:szCs w:val="32"/>
    </w:rPr>
  </w:style>
  <w:style w:type="paragraph" w:styleId="15">
    <w:name w:val="annotation subject"/>
    <w:basedOn w:val="6"/>
    <w:next w:val="6"/>
    <w:link w:val="32"/>
    <w:semiHidden/>
    <w:uiPriority w:val="0"/>
    <w:rPr>
      <w:b/>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locked/>
    <w:uiPriority w:val="0"/>
  </w:style>
  <w:style w:type="character" w:styleId="20">
    <w:name w:val="annotation reference"/>
    <w:semiHidden/>
    <w:uiPriority w:val="0"/>
    <w:rPr>
      <w:sz w:val="21"/>
    </w:rPr>
  </w:style>
  <w:style w:type="character" w:customStyle="1" w:styleId="21">
    <w:name w:val="页脚 字符1"/>
    <w:link w:val="10"/>
    <w:qFormat/>
    <w:locked/>
    <w:uiPriority w:val="99"/>
    <w:rPr>
      <w:sz w:val="18"/>
    </w:rPr>
  </w:style>
  <w:style w:type="character" w:customStyle="1" w:styleId="22">
    <w:name w:val="日期 字符1"/>
    <w:link w:val="8"/>
    <w:qFormat/>
    <w:locked/>
    <w:uiPriority w:val="0"/>
    <w:rPr>
      <w:rFonts w:ascii="Times New Roman" w:hAnsi="Times New Roman" w:eastAsia="宋体"/>
      <w:sz w:val="24"/>
    </w:rPr>
  </w:style>
  <w:style w:type="character" w:customStyle="1" w:styleId="23">
    <w:name w:val="页脚 字符"/>
    <w:basedOn w:val="18"/>
    <w:qFormat/>
    <w:uiPriority w:val="99"/>
  </w:style>
  <w:style w:type="character" w:customStyle="1" w:styleId="24">
    <w:name w:val="普通(网站) 字符"/>
    <w:link w:val="13"/>
    <w:locked/>
    <w:uiPriority w:val="0"/>
    <w:rPr>
      <w:rFonts w:ascii="宋体" w:hAnsi="宋体" w:eastAsia="宋体"/>
      <w:sz w:val="24"/>
    </w:rPr>
  </w:style>
  <w:style w:type="character" w:customStyle="1" w:styleId="25">
    <w:name w:val="正文文本 字符1"/>
    <w:semiHidden/>
    <w:uiPriority w:val="0"/>
    <w:rPr>
      <w:rFonts w:ascii="Times New Roman" w:hAnsi="Times New Roman" w:eastAsia="宋体"/>
      <w:sz w:val="24"/>
    </w:rPr>
  </w:style>
  <w:style w:type="character" w:customStyle="1" w:styleId="26">
    <w:name w:val="正文文本 字符"/>
    <w:link w:val="7"/>
    <w:qFormat/>
    <w:locked/>
    <w:uiPriority w:val="0"/>
    <w:rPr>
      <w:sz w:val="18"/>
    </w:rPr>
  </w:style>
  <w:style w:type="character" w:customStyle="1" w:styleId="27">
    <w:name w:val="批注文字 字符"/>
    <w:link w:val="6"/>
    <w:qFormat/>
    <w:locked/>
    <w:uiPriority w:val="0"/>
    <w:rPr>
      <w:rFonts w:ascii="Times New Roman" w:hAnsi="Times New Roman" w:eastAsia="宋体"/>
      <w:sz w:val="24"/>
    </w:rPr>
  </w:style>
  <w:style w:type="character" w:customStyle="1" w:styleId="28">
    <w:name w:val="表格 Char"/>
    <w:link w:val="29"/>
    <w:qFormat/>
    <w:locked/>
    <w:uiPriority w:val="0"/>
    <w:rPr>
      <w:rFonts w:ascii="宋体"/>
      <w:sz w:val="21"/>
    </w:rPr>
  </w:style>
  <w:style w:type="paragraph" w:customStyle="1" w:styleId="29">
    <w:name w:val="表格"/>
    <w:basedOn w:val="1"/>
    <w:next w:val="1"/>
    <w:link w:val="28"/>
    <w:uiPriority w:val="0"/>
    <w:pPr>
      <w:adjustRightInd w:val="0"/>
      <w:snapToGrid w:val="0"/>
      <w:spacing w:beforeLines="10" w:afterLines="10" w:line="259" w:lineRule="auto"/>
      <w:jc w:val="center"/>
    </w:pPr>
    <w:rPr>
      <w:rFonts w:ascii="宋体"/>
      <w:kern w:val="0"/>
      <w:szCs w:val="20"/>
    </w:rPr>
  </w:style>
  <w:style w:type="character" w:customStyle="1" w:styleId="30">
    <w:name w:val="日期 字符"/>
    <w:semiHidden/>
    <w:qFormat/>
    <w:uiPriority w:val="0"/>
    <w:rPr>
      <w:rFonts w:ascii="Times New Roman" w:hAnsi="Times New Roman" w:eastAsia="宋体"/>
      <w:sz w:val="24"/>
    </w:rPr>
  </w:style>
  <w:style w:type="character" w:customStyle="1" w:styleId="31">
    <w:name w:val="批注框文本 字符"/>
    <w:link w:val="9"/>
    <w:semiHidden/>
    <w:qFormat/>
    <w:locked/>
    <w:uiPriority w:val="0"/>
    <w:rPr>
      <w:rFonts w:ascii="Times New Roman" w:hAnsi="Times New Roman" w:eastAsia="宋体"/>
      <w:sz w:val="18"/>
    </w:rPr>
  </w:style>
  <w:style w:type="character" w:customStyle="1" w:styleId="32">
    <w:name w:val="批注主题 字符"/>
    <w:link w:val="15"/>
    <w:semiHidden/>
    <w:locked/>
    <w:uiPriority w:val="0"/>
    <w:rPr>
      <w:rFonts w:ascii="Times New Roman" w:hAnsi="Times New Roman" w:eastAsia="宋体"/>
      <w:b/>
      <w:kern w:val="2"/>
      <w:sz w:val="24"/>
    </w:rPr>
  </w:style>
  <w:style w:type="character" w:customStyle="1" w:styleId="33">
    <w:name w:val="页眉 字符"/>
    <w:link w:val="11"/>
    <w:locked/>
    <w:uiPriority w:val="0"/>
    <w:rPr>
      <w:sz w:val="18"/>
    </w:rPr>
  </w:style>
  <w:style w:type="character" w:customStyle="1" w:styleId="34">
    <w:name w:val="批注文字 字符1"/>
    <w:semiHidden/>
    <w:qFormat/>
    <w:uiPriority w:val="0"/>
    <w:rPr>
      <w:rFonts w:ascii="Times New Roman" w:hAnsi="Times New Roman" w:eastAsia="宋体"/>
      <w:sz w:val="24"/>
    </w:rPr>
  </w:style>
  <w:style w:type="character" w:customStyle="1" w:styleId="35">
    <w:name w:val="正文文本缩进 字符"/>
    <w:link w:val="5"/>
    <w:semiHidden/>
    <w:qFormat/>
    <w:locked/>
    <w:uiPriority w:val="0"/>
    <w:rPr>
      <w:rFonts w:ascii="Times New Roman" w:hAnsi="Times New Roman" w:eastAsia="宋体"/>
      <w:sz w:val="24"/>
    </w:rPr>
  </w:style>
  <w:style w:type="paragraph" w:customStyle="1" w:styleId="36">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38">
    <w:name w:val="副标题 字符"/>
    <w:link w:val="12"/>
    <w:uiPriority w:val="0"/>
    <w:rPr>
      <w:rFonts w:eastAsia="黑体"/>
      <w:bCs/>
      <w:snapToGrid w:val="0"/>
      <w:sz w:val="24"/>
      <w:szCs w:val="32"/>
    </w:rPr>
  </w:style>
  <w:style w:type="paragraph" w:styleId="39">
    <w:name w:val="No Spacing"/>
    <w:basedOn w:val="1"/>
    <w:link w:val="45"/>
    <w:qFormat/>
    <w:uiPriority w:val="1"/>
    <w:pPr>
      <w:adjustRightInd w:val="0"/>
      <w:snapToGrid w:val="0"/>
      <w:spacing w:line="360" w:lineRule="auto"/>
      <w:ind w:firstLine="200" w:firstLineChars="200"/>
      <w:jc w:val="left"/>
    </w:pPr>
    <w:rPr>
      <w:snapToGrid w:val="0"/>
      <w:kern w:val="0"/>
      <w:sz w:val="24"/>
      <w:szCs w:val="22"/>
    </w:rPr>
  </w:style>
  <w:style w:type="character" w:customStyle="1" w:styleId="40">
    <w:name w:val="标题 字符"/>
    <w:link w:val="14"/>
    <w:uiPriority w:val="0"/>
    <w:rPr>
      <w:rFonts w:ascii="等线 Light" w:hAnsi="等线 Light" w:cs="Times New Roman"/>
      <w:b/>
      <w:bCs/>
      <w:kern w:val="2"/>
      <w:sz w:val="32"/>
      <w:szCs w:val="32"/>
    </w:rPr>
  </w:style>
  <w:style w:type="paragraph" w:customStyle="1" w:styleId="41">
    <w:name w:val="表内文字"/>
    <w:basedOn w:val="1"/>
    <w:next w:val="1"/>
    <w:link w:val="43"/>
    <w:qFormat/>
    <w:uiPriority w:val="0"/>
    <w:pPr>
      <w:adjustRightInd w:val="0"/>
      <w:snapToGrid w:val="0"/>
    </w:pPr>
    <w:rPr>
      <w:rFonts w:cs="宋体"/>
      <w:snapToGrid w:val="0"/>
      <w:color w:val="000000"/>
      <w:kern w:val="0"/>
      <w:szCs w:val="20"/>
    </w:rPr>
  </w:style>
  <w:style w:type="paragraph" w:customStyle="1" w:styleId="42">
    <w:name w:val="小标题"/>
    <w:basedOn w:val="1"/>
    <w:next w:val="7"/>
    <w:link w:val="46"/>
    <w:qFormat/>
    <w:uiPriority w:val="0"/>
    <w:pPr>
      <w:adjustRightInd w:val="0"/>
      <w:snapToGrid w:val="0"/>
      <w:spacing w:line="360" w:lineRule="auto"/>
    </w:pPr>
    <w:rPr>
      <w:rFonts w:eastAsia="黑体"/>
      <w:snapToGrid w:val="0"/>
      <w:kern w:val="0"/>
      <w:sz w:val="24"/>
    </w:rPr>
  </w:style>
  <w:style w:type="character" w:customStyle="1" w:styleId="43">
    <w:name w:val="表内文字 字符"/>
    <w:link w:val="41"/>
    <w:qFormat/>
    <w:uiPriority w:val="0"/>
    <w:rPr>
      <w:rFonts w:cs="宋体"/>
      <w:snapToGrid w:val="0"/>
      <w:color w:val="000000"/>
      <w:sz w:val="21"/>
    </w:rPr>
  </w:style>
  <w:style w:type="paragraph" w:styleId="44">
    <w:name w:val="Quote"/>
    <w:basedOn w:val="29"/>
    <w:next w:val="29"/>
    <w:link w:val="47"/>
    <w:uiPriority w:val="29"/>
    <w:pPr>
      <w:spacing w:beforeLines="0" w:afterLines="0" w:line="240" w:lineRule="auto"/>
    </w:pPr>
    <w:rPr>
      <w:rFonts w:ascii="Times New Roman"/>
      <w:iCs/>
      <w:snapToGrid w:val="0"/>
      <w:color w:val="000000"/>
      <w:szCs w:val="24"/>
    </w:rPr>
  </w:style>
  <w:style w:type="character" w:customStyle="1" w:styleId="45">
    <w:name w:val="无间隔 字符"/>
    <w:link w:val="39"/>
    <w:uiPriority w:val="1"/>
    <w:rPr>
      <w:snapToGrid w:val="0"/>
      <w:sz w:val="24"/>
      <w:szCs w:val="22"/>
    </w:rPr>
  </w:style>
  <w:style w:type="character" w:customStyle="1" w:styleId="46">
    <w:name w:val="小标题 字符"/>
    <w:link w:val="42"/>
    <w:uiPriority w:val="0"/>
    <w:rPr>
      <w:rFonts w:eastAsia="黑体"/>
      <w:snapToGrid w:val="0"/>
      <w:sz w:val="24"/>
      <w:szCs w:val="24"/>
    </w:rPr>
  </w:style>
  <w:style w:type="character" w:customStyle="1" w:styleId="47">
    <w:name w:val="引用 字符"/>
    <w:link w:val="44"/>
    <w:qFormat/>
    <w:uiPriority w:val="29"/>
    <w:rPr>
      <w:iCs/>
      <w:snapToGrid w:val="0"/>
      <w:color w:val="000000"/>
      <w:sz w:val="21"/>
      <w:szCs w:val="24"/>
    </w:rPr>
  </w:style>
  <w:style w:type="character" w:customStyle="1" w:styleId="48">
    <w:name w:val="正文文本首行缩进 2 字符"/>
    <w:link w:val="4"/>
    <w:uiPriority w:val="0"/>
    <w:rPr>
      <w:rFonts w:ascii="Times New Roman" w:hAnsi="Times New Roman" w:eastAsia="宋体"/>
      <w:kern w:val="2"/>
      <w:sz w:val="21"/>
      <w:szCs w:val="24"/>
    </w:rPr>
  </w:style>
  <w:style w:type="paragraph" w:customStyle="1" w:styleId="49">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package" Target="embeddings/Microsoft_Visio___2.vsdx"/><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2D388-FCD4-4607-898E-5C425525B58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42</Pages>
  <Words>23540</Words>
  <Characters>26789</Characters>
  <Lines>210</Lines>
  <Paragraphs>59</Paragraphs>
  <TotalTime>243</TotalTime>
  <ScaleCrop>false</ScaleCrop>
  <LinksUpToDate>false</LinksUpToDate>
  <CharactersWithSpaces>27000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2022-11-30T10:24:00Z</dcterms:created>
  <dc:creator>lhj</dc:creator>
  <cp:lastModifiedBy>失心疯</cp:lastModifiedBy>
  <cp:lastPrinted>2022-03-11T03:27:00Z</cp:lastPrinted>
  <dcterms:modified xsi:type="dcterms:W3CDTF">2023-03-20T03:13:47Z</dcterms:modified>
  <dc:title>附件2</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E16B13739B1540CEB14F40F362077C0C</vt:lpwstr>
  </property>
</Properties>
</file>