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</w:rPr>
      </w:pPr>
      <w:bookmarkStart w:id="0" w:name="_Toc487015726"/>
      <w:bookmarkStart w:id="1" w:name="_Toc478732466"/>
      <w:bookmarkStart w:id="2" w:name="_Toc18449"/>
      <w:bookmarkStart w:id="3" w:name="_Toc9999"/>
      <w:bookmarkStart w:id="4" w:name="_Toc24786"/>
      <w:bookmarkStart w:id="5" w:name="_Toc19565"/>
      <w:bookmarkStart w:id="6" w:name="_Toc30101"/>
      <w:bookmarkStart w:id="7" w:name="_Toc31075"/>
      <w:bookmarkStart w:id="8" w:name="_Toc489430618"/>
      <w:bookmarkStart w:id="9" w:name="_Toc361316481"/>
      <w:bookmarkStart w:id="10" w:name="_Toc321993750"/>
      <w:bookmarkStart w:id="11" w:name="_Toc361298243"/>
      <w:bookmarkStart w:id="12" w:name="_Toc353801837"/>
      <w:bookmarkStart w:id="13" w:name="_Toc376979858"/>
      <w:bookmarkStart w:id="14" w:name="_Toc361319784"/>
      <w:bookmarkStart w:id="15" w:name="_Toc361731109"/>
      <w:bookmarkStart w:id="16" w:name="_Toc347220738"/>
      <w:bookmarkStart w:id="17" w:name="_Toc346529843"/>
      <w:bookmarkStart w:id="18" w:name="_Toc345679915"/>
      <w:bookmarkStart w:id="19" w:name="_Toc361319791"/>
      <w:bookmarkStart w:id="20" w:name="_Toc346529864"/>
      <w:bookmarkStart w:id="21" w:name="_Toc354059904"/>
      <w:bookmarkStart w:id="96" w:name="_GoBack"/>
      <w:r>
        <w:rPr>
          <w:rFonts w:hint="eastAsia"/>
          <w:lang w:eastAsia="zh-CN"/>
        </w:rPr>
        <w:t>固原市环境</w:t>
      </w:r>
      <w:r>
        <w:rPr>
          <w:rFonts w:hint="eastAsia"/>
        </w:rPr>
        <w:t>质量月报</w:t>
      </w:r>
    </w:p>
    <w:p>
      <w:pPr>
        <w:jc w:val="center"/>
        <w:rPr>
          <w:rFonts w:hint="eastAsia" w:ascii="Arial" w:hAnsi="Arial" w:eastAsia="创艺简标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创艺简标宋" w:cs="Times New Roman"/>
          <w:b w:val="0"/>
          <w:bCs w:val="0"/>
          <w:kern w:val="2"/>
          <w:sz w:val="32"/>
          <w:szCs w:val="32"/>
          <w:lang w:val="en-US" w:eastAsia="zh-CN" w:bidi="ar-SA"/>
        </w:rPr>
        <w:t>（2018年9月</w:t>
      </w:r>
      <w:r>
        <w:rPr>
          <w:rFonts w:hint="eastAsia" w:ascii="Arial" w:hAnsi="Arial" w:eastAsia="创艺简标宋" w:cs="Times New Roman"/>
          <w:b w:val="0"/>
          <w:bCs w:val="0"/>
          <w:kern w:val="2"/>
          <w:sz w:val="32"/>
          <w:szCs w:val="32"/>
          <w:lang w:val="en-US" w:eastAsia="zh-CN" w:bidi="ar-SA"/>
        </w:rPr>
        <w:t>）</w:t>
      </w:r>
    </w:p>
    <w:p>
      <w:pPr>
        <w:pStyle w:val="3"/>
        <w:adjustRightInd w:val="0"/>
        <w:snapToGrid w:val="0"/>
        <w:spacing w:before="120" w:beforeLines="50" w:afterLines="50"/>
        <w:rPr>
          <w:rStyle w:val="95"/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Style w:val="95"/>
          <w:rFonts w:hint="eastAsia" w:asciiTheme="minorEastAsia" w:hAnsiTheme="minorEastAsia" w:eastAsiaTheme="minorEastAsia"/>
          <w:b/>
          <w:bCs/>
          <w:sz w:val="28"/>
          <w:szCs w:val="28"/>
        </w:rPr>
        <w:t>一</w:t>
      </w:r>
      <w:r>
        <w:rPr>
          <w:rStyle w:val="95"/>
          <w:rFonts w:asciiTheme="minorEastAsia" w:hAnsiTheme="minorEastAsia" w:eastAsiaTheme="minorEastAsia"/>
          <w:b/>
          <w:bCs/>
          <w:sz w:val="28"/>
          <w:szCs w:val="28"/>
        </w:rPr>
        <w:t xml:space="preserve">  </w:t>
      </w:r>
      <w:r>
        <w:rPr>
          <w:rStyle w:val="95"/>
          <w:rFonts w:hint="eastAsia" w:asciiTheme="minorEastAsia" w:hAnsiTheme="minorEastAsia" w:eastAsiaTheme="minorEastAsia"/>
          <w:b/>
          <w:bCs/>
          <w:sz w:val="28"/>
          <w:szCs w:val="28"/>
        </w:rPr>
        <w:t>水环境质量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Start w:id="22" w:name="_Toc28599"/>
      <w:bookmarkStart w:id="23" w:name="_Toc4887"/>
      <w:bookmarkStart w:id="24" w:name="_Toc489430619"/>
      <w:bookmarkStart w:id="25" w:name="_Toc17892"/>
      <w:bookmarkStart w:id="26" w:name="_Toc25279"/>
      <w:bookmarkStart w:id="27" w:name="_Toc21713"/>
      <w:bookmarkStart w:id="28" w:name="_Toc4579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22"/>
    <w:bookmarkEnd w:id="23"/>
    <w:bookmarkEnd w:id="24"/>
    <w:bookmarkEnd w:id="25"/>
    <w:bookmarkEnd w:id="26"/>
    <w:bookmarkEnd w:id="27"/>
    <w:bookmarkEnd w:id="28"/>
    <w:p>
      <w:pPr>
        <w:pStyle w:val="3"/>
        <w:adjustRightInd w:val="0"/>
        <w:snapToGrid w:val="0"/>
        <w:spacing w:before="120" w:beforeLines="50" w:afterLines="50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bookmarkStart w:id="29" w:name="_Toc13784"/>
      <w:bookmarkStart w:id="30" w:name="_Toc32721"/>
      <w:bookmarkStart w:id="31" w:name="_Toc1699"/>
      <w:bookmarkStart w:id="32" w:name="_Toc6012"/>
      <w:bookmarkStart w:id="33" w:name="_Toc29553"/>
      <w:bookmarkStart w:id="34" w:name="_Toc489430620"/>
      <w:bookmarkStart w:id="35" w:name="_Toc16491"/>
      <w:bookmarkStart w:id="36" w:name="_Toc361316483"/>
      <w:bookmarkStart w:id="37" w:name="_Toc361731111"/>
      <w:bookmarkStart w:id="38" w:name="_Toc353801840"/>
      <w:bookmarkStart w:id="39" w:name="_Toc361298245"/>
      <w:bookmarkStart w:id="40" w:name="_Toc361319786"/>
      <w:bookmarkStart w:id="41" w:name="_Toc393041857"/>
      <w:bookmarkStart w:id="42" w:name="_Toc376979860"/>
      <w:r>
        <w:rPr>
          <w:rFonts w:hint="eastAsia" w:asciiTheme="minorEastAsia" w:hAnsiTheme="minorEastAsia" w:eastAsiaTheme="minorEastAsia"/>
          <w:sz w:val="28"/>
          <w:szCs w:val="28"/>
        </w:rPr>
        <w:t>（一）地表水环境质量状况</w:t>
      </w:r>
      <w:bookmarkEnd w:id="29"/>
      <w:bookmarkEnd w:id="30"/>
      <w:bookmarkEnd w:id="31"/>
      <w:bookmarkEnd w:id="32"/>
      <w:bookmarkEnd w:id="33"/>
      <w:bookmarkEnd w:id="34"/>
      <w:bookmarkEnd w:id="35"/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bookmarkStart w:id="43" w:name="_Toc489430623"/>
      <w:bookmarkStart w:id="44" w:name="_Toc489430621"/>
      <w:r>
        <w:rPr>
          <w:rFonts w:hint="eastAsia" w:asciiTheme="minorEastAsia" w:hAnsiTheme="minorEastAsia" w:eastAsiaTheme="minorEastAsia"/>
          <w:bCs/>
          <w:sz w:val="28"/>
          <w:szCs w:val="28"/>
        </w:rPr>
        <w:t>全市渝河、葫芦河、清水河、茹河、浦河、洪河、泾河、7条主要河流，共布设15个监测断面。其中国控出境断面5个：泾河弹筝峡断面、葫芦河玉桥断面、渝河联财断面、茹河沟圈断面、清水河三营断面，由第三方采样监测数据评价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9月份出境断面达标率100%。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1-9月份出境断面水质达标率100%。</w:t>
      </w:r>
    </w:p>
    <w:p>
      <w:pPr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b/>
          <w:bCs/>
          <w:snapToGrid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napToGrid w:val="0"/>
          <w:kern w:val="0"/>
          <w:sz w:val="28"/>
          <w:szCs w:val="28"/>
        </w:rPr>
        <w:t>1、渝河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峰台，Ⅱ类良好水质，去年同期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类良好水质，同比水质无变化；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三里店水库：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Ⅲ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类良好水质，去年同期无蓄水。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联财：Ⅱ类良好水质，去年同期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Ⅲ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类良好水质，同比水质好转。</w:t>
      </w:r>
    </w:p>
    <w:p>
      <w:pPr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2、葫芦河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夏寨水库：劣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类重度污染水质，去年同期劣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类重度污染水质，同比水质无变化。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玉桥：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Ⅲ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类良好水质，考核目标为地表水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Ⅳ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类标准，达到考核目标要求；去年同期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Ⅳ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类轻度污染水质，同比上升了1个水质类别。</w:t>
      </w:r>
    </w:p>
    <w:p>
      <w:pPr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3、清水河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二十里铺：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类良好水质，同比无变化。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沈家河水库：劣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类重度污染水质，去年同期劣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类重度污染水质，同比无变化。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三营，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Ⅳ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类轻度污染水质，考核目标为地表水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Ⅳ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类标准，达到考核目标要求；去年同期劣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类重度污染水质，同比水质明显好转。</w:t>
      </w:r>
    </w:p>
    <w:p>
      <w:pPr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4、茹河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乃河水库断面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Ⅱ类良好水质，去年同期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Ⅲ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类良好水质，同比水质好转。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asciiTheme="minorEastAsia" w:hAnsiTheme="minorEastAsia" w:eastAsiaTheme="minorEastAsia"/>
          <w:bCs/>
          <w:sz w:val="28"/>
          <w:szCs w:val="28"/>
        </w:rPr>
        <w:t>李河桥断面，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Ⅳ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类轻度污染水质，考核目标为地表水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Ⅳ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类标准，达到考核目标要求；去年同期劣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类重度污染水质，同比水质明显好转。</w:t>
      </w:r>
    </w:p>
    <w:p>
      <w:pPr>
        <w:adjustRightInd w:val="0"/>
        <w:snapToGrid w:val="0"/>
        <w:spacing w:before="120" w:beforeLines="50" w:after="120" w:afterLines="50" w:line="360" w:lineRule="auto"/>
        <w:ind w:firstLine="52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pacing w:val="-10"/>
          <w:sz w:val="28"/>
          <w:szCs w:val="28"/>
        </w:rPr>
        <w:t>沟圈：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类良好水质（氟化物1.04</w:t>
      </w:r>
      <w:r>
        <w:rPr>
          <w:rFonts w:asciiTheme="minorEastAsia" w:hAnsiTheme="minorEastAsia" w:eastAsiaTheme="minorEastAsia"/>
          <w:bCs/>
          <w:snapToGrid w:val="0"/>
          <w:kern w:val="0"/>
          <w:sz w:val="28"/>
          <w:szCs w:val="28"/>
        </w:rPr>
        <w:t>mg/L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，应为Ⅳ类轻度污染水质，根据要求氟化物不参与评价），考核目标为地表水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Ⅲ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类标准，达到考核目标要求，去年同期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类良好水质（氟化物1.25</w:t>
      </w:r>
      <w:r>
        <w:rPr>
          <w:rFonts w:asciiTheme="minorEastAsia" w:hAnsiTheme="minorEastAsia" w:eastAsiaTheme="minorEastAsia"/>
          <w:bCs/>
          <w:snapToGrid w:val="0"/>
          <w:kern w:val="0"/>
          <w:sz w:val="28"/>
          <w:szCs w:val="28"/>
        </w:rPr>
        <w:t>mg/L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，应为Ⅳ类轻度污染水质，根据要求氟化物不参与评价），同比无变化。</w:t>
      </w:r>
    </w:p>
    <w:p>
      <w:pPr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5、蒲河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石家河桥：Ⅳ类轻度污染水质，去年同期Ⅳ类轻度污染水质，同比无变化。</w:t>
      </w:r>
    </w:p>
    <w:p>
      <w:pPr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6、洪河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napToGrid w:val="0"/>
          <w:kern w:val="0"/>
          <w:sz w:val="28"/>
          <w:szCs w:val="28"/>
        </w:rPr>
        <w:t>常沟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断面：Ⅳ类轻度污染水质，去年同期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类良好水质，同比水质下降了2个水质类别。</w:t>
      </w:r>
    </w:p>
    <w:p>
      <w:pPr>
        <w:adjustRightInd w:val="0"/>
        <w:snapToGrid w:val="0"/>
        <w:spacing w:before="120" w:beforeLines="50" w:after="120" w:afterLines="50" w:line="360" w:lineRule="auto"/>
        <w:ind w:firstLine="530" w:firstLineChars="200"/>
        <w:rPr>
          <w:rFonts w:asciiTheme="minorEastAsia" w:hAnsiTheme="minorEastAsia" w:eastAsiaTheme="minorEastAsia"/>
          <w:b/>
          <w:bCs/>
          <w:snapToGrid w:val="0"/>
          <w:spacing w:val="-8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napToGrid w:val="0"/>
          <w:spacing w:val="-8"/>
          <w:kern w:val="0"/>
          <w:sz w:val="28"/>
          <w:szCs w:val="28"/>
        </w:rPr>
        <w:t>7、泾河</w:t>
      </w:r>
    </w:p>
    <w:p>
      <w:pPr>
        <w:adjustRightInd w:val="0"/>
        <w:snapToGrid w:val="0"/>
        <w:spacing w:before="120" w:beforeLines="50" w:after="120" w:afterLines="50" w:line="360" w:lineRule="auto"/>
        <w:ind w:firstLine="53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napToGrid w:val="0"/>
          <w:spacing w:val="-8"/>
          <w:kern w:val="0"/>
          <w:sz w:val="28"/>
          <w:szCs w:val="28"/>
        </w:rPr>
        <w:t>龙潭水库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类良好水质，同比水质无变化。</w:t>
      </w:r>
    </w:p>
    <w:p>
      <w:pPr>
        <w:adjustRightInd w:val="0"/>
        <w:snapToGrid w:val="0"/>
        <w:spacing w:before="120" w:beforeLines="50" w:after="120" w:afterLines="50" w:line="360" w:lineRule="auto"/>
        <w:ind w:firstLine="530" w:firstLineChars="200"/>
        <w:rPr>
          <w:rFonts w:asciiTheme="minorEastAsia" w:hAnsiTheme="minorEastAsia" w:eastAsiaTheme="minorEastAsia"/>
          <w:bCs/>
          <w:spacing w:val="6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napToGrid w:val="0"/>
          <w:spacing w:val="-8"/>
          <w:kern w:val="0"/>
          <w:sz w:val="28"/>
          <w:szCs w:val="28"/>
        </w:rPr>
        <w:t>弹筝峡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类良好水质，考核目标为地表水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类标准，达到考核目标要求，去年同期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类良好水质，同比水质无变化。</w:t>
      </w:r>
      <w:r>
        <w:rPr>
          <w:rFonts w:asciiTheme="minorEastAsia" w:hAnsiTheme="minorEastAsia" w:eastAsiaTheme="minorEastAsia"/>
          <w:bCs/>
          <w:spacing w:val="6"/>
          <w:sz w:val="28"/>
          <w:szCs w:val="28"/>
        </w:rPr>
        <w:t xml:space="preserve">  </w:t>
      </w:r>
    </w:p>
    <w:bookmarkEnd w:id="43"/>
    <w:bookmarkEnd w:id="44"/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各断面主要水类统计见表1-1。出境断面主要监测数据统计见表1-2。</w:t>
      </w:r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bookmarkStart w:id="45" w:name="_Toc346529876"/>
      <w:bookmarkStart w:id="46" w:name="_Toc394762276"/>
      <w:bookmarkStart w:id="47" w:name="_Toc382233178"/>
      <w:bookmarkStart w:id="48" w:name="_Toc413247355"/>
      <w:bookmarkStart w:id="49" w:name="_Toc381777738"/>
      <w:bookmarkStart w:id="50" w:name="_Toc371690628"/>
      <w:bookmarkStart w:id="51" w:name="_Toc456600469"/>
      <w:bookmarkStart w:id="52" w:name="_Toc437337402"/>
      <w:bookmarkStart w:id="53" w:name="_Toc442177211"/>
      <w:bookmarkStart w:id="54" w:name="_Toc350753752"/>
      <w:bookmarkStart w:id="55" w:name="_Toc426561812"/>
      <w:bookmarkStart w:id="56" w:name="_Toc456256223"/>
      <w:bookmarkStart w:id="57" w:name="_Toc443410867"/>
      <w:bookmarkStart w:id="58" w:name="_Toc487015703"/>
      <w:bookmarkStart w:id="59" w:name="_Toc12965"/>
      <w:bookmarkStart w:id="60" w:name="_Toc2735"/>
      <w:bookmarkStart w:id="61" w:name="_Toc27401"/>
      <w:bookmarkStart w:id="62" w:name="_Toc456600356"/>
      <w:bookmarkStart w:id="63" w:name="_Toc489430626"/>
      <w:bookmarkStart w:id="64" w:name="_Toc10466"/>
      <w:bookmarkStart w:id="65" w:name="_Toc31673"/>
      <w:bookmarkStart w:id="66" w:name="_Toc14350"/>
      <w:r>
        <w:rPr>
          <w:rFonts w:hint="eastAsia" w:asciiTheme="minorEastAsia" w:hAnsiTheme="minorEastAsia" w:eastAsiaTheme="minorEastAsia"/>
          <w:sz w:val="28"/>
          <w:szCs w:val="28"/>
        </w:rPr>
        <w:t>（二）饮用水水源地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1、地表水型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监测的8个集中式饮用水源中，有</w:t>
      </w:r>
      <w:r>
        <w:rPr>
          <w:rFonts w:asciiTheme="minorEastAsia" w:hAnsiTheme="minorEastAsia" w:eastAsiaTheme="minorEastAsia"/>
          <w:bCs/>
          <w:sz w:val="28"/>
          <w:szCs w:val="28"/>
        </w:rPr>
        <w:t>西峡水库、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直峡水库</w:t>
      </w:r>
      <w:r>
        <w:rPr>
          <w:rFonts w:asciiTheme="minorEastAsia" w:hAnsiTheme="minorEastAsia" w:eastAsiaTheme="minorEastAsia"/>
          <w:bCs/>
          <w:sz w:val="28"/>
          <w:szCs w:val="28"/>
        </w:rPr>
        <w:t xml:space="preserve"> 、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黄家峡、清凉水库、中庄水库、张士水库6个饮用水源地达标，达标率75%。贺家湾水库硫酸盐</w:t>
      </w:r>
      <w:r>
        <w:rPr>
          <w:rFonts w:asciiTheme="minorEastAsia" w:hAnsiTheme="minorEastAsia" w:eastAsiaTheme="minorEastAsia"/>
          <w:bCs/>
          <w:sz w:val="28"/>
          <w:szCs w:val="28"/>
        </w:rPr>
        <w:t xml:space="preserve">361mg/L 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（</w:t>
      </w:r>
      <w:r>
        <w:rPr>
          <w:rFonts w:asciiTheme="minorEastAsia" w:hAnsiTheme="minorEastAsia" w:eastAsiaTheme="minorEastAsia"/>
          <w:bCs/>
          <w:sz w:val="28"/>
          <w:szCs w:val="28"/>
        </w:rPr>
        <w:t>0.44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倍）（备注：硫酸盐</w:t>
      </w:r>
      <w:r>
        <w:rPr>
          <w:rFonts w:asciiTheme="minorEastAsia" w:hAnsiTheme="minorEastAsia" w:eastAsiaTheme="minorEastAsia"/>
          <w:bCs/>
          <w:sz w:val="28"/>
          <w:szCs w:val="28"/>
        </w:rPr>
        <w:t xml:space="preserve">361mg/L 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（</w:t>
      </w:r>
      <w:r>
        <w:rPr>
          <w:rFonts w:asciiTheme="minorEastAsia" w:hAnsiTheme="minorEastAsia" w:eastAsiaTheme="minorEastAsia"/>
          <w:bCs/>
          <w:sz w:val="28"/>
          <w:szCs w:val="28"/>
        </w:rPr>
        <w:t>0.44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倍）</w:t>
      </w:r>
      <w:r>
        <w:rPr>
          <w:rFonts w:asciiTheme="minorEastAsia" w:hAnsiTheme="minorEastAsia" w:eastAsiaTheme="minorEastAsia"/>
          <w:bCs/>
          <w:sz w:val="28"/>
          <w:szCs w:val="28"/>
        </w:rPr>
        <w:t>——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监测指标</w:t>
      </w:r>
      <w:r>
        <w:rPr>
          <w:rFonts w:asciiTheme="minorEastAsia" w:hAnsiTheme="minorEastAsia" w:eastAsiaTheme="minorEastAsia"/>
          <w:bCs/>
          <w:sz w:val="28"/>
          <w:szCs w:val="28"/>
        </w:rPr>
        <w:t>-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监测值（超过《地表水环境质量标准》</w:t>
      </w:r>
      <w:r>
        <w:rPr>
          <w:rFonts w:asciiTheme="minorEastAsia" w:hAnsiTheme="minorEastAsia" w:eastAsiaTheme="minorEastAsia"/>
          <w:bCs/>
          <w:sz w:val="28"/>
          <w:szCs w:val="28"/>
        </w:rPr>
        <w:t>GB3838-2002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表2中水质标准限值倍数）；海子峡水库硫酸盐352mg/L （0.41倍），硼0.512mg/L （0.02倍）。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2、地下水型水源地</w:t>
      </w:r>
    </w:p>
    <w:bookmarkEnd w:id="36"/>
    <w:bookmarkEnd w:id="37"/>
    <w:bookmarkEnd w:id="38"/>
    <w:bookmarkEnd w:id="39"/>
    <w:bookmarkEnd w:id="40"/>
    <w:bookmarkEnd w:id="41"/>
    <w:bookmarkEnd w:id="42"/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bookmarkStart w:id="67" w:name="_Toc456256220"/>
      <w:r>
        <w:rPr>
          <w:rFonts w:hint="eastAsia" w:asciiTheme="minorEastAsia" w:hAnsiTheme="minorEastAsia" w:eastAsiaTheme="minorEastAsia"/>
          <w:bCs/>
          <w:sz w:val="28"/>
          <w:szCs w:val="28"/>
        </w:rPr>
        <w:t>监测的4个集中式地下水饮用水源中，西吉县城、沙岗子</w:t>
      </w:r>
      <w:r>
        <w:rPr>
          <w:rFonts w:asciiTheme="minorEastAsia" w:hAnsiTheme="minorEastAsia" w:eastAsiaTheme="minorEastAsia"/>
          <w:bCs/>
          <w:sz w:val="28"/>
          <w:szCs w:val="28"/>
        </w:rPr>
        <w:t xml:space="preserve"> 、彭阳县城、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彭堡水源地4个饮用水源地均不达标，达标率0%。西吉县城溶解性总固体1106 mg/L （0.1倍）（备注：溶解性总固体1106 mg/L （0.1倍）</w:t>
      </w:r>
      <w:r>
        <w:rPr>
          <w:rFonts w:asciiTheme="minorEastAsia" w:hAnsiTheme="minorEastAsia" w:eastAsiaTheme="minorEastAsia"/>
          <w:bCs/>
          <w:sz w:val="28"/>
          <w:szCs w:val="28"/>
        </w:rPr>
        <w:t>——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监测指标</w:t>
      </w:r>
      <w:r>
        <w:rPr>
          <w:rFonts w:asciiTheme="minorEastAsia" w:hAnsiTheme="minorEastAsia" w:eastAsiaTheme="minorEastAsia"/>
          <w:bCs/>
          <w:sz w:val="28"/>
          <w:szCs w:val="28"/>
        </w:rPr>
        <w:t>-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监测值（超过《地下水环境质量标准》</w:t>
      </w:r>
      <w:r>
        <w:rPr>
          <w:rFonts w:asciiTheme="minorEastAsia" w:hAnsiTheme="minorEastAsia" w:eastAsiaTheme="minorEastAsia"/>
          <w:bCs/>
          <w:sz w:val="28"/>
          <w:szCs w:val="28"/>
        </w:rPr>
        <w:t>GB/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T14848-2017表1中Ⅲ类水质标准限值倍数），硫酸盐525 mg/L （1.1倍），沙岗子总硬度570 mg/L （0.27倍），硫酸盐564 mg/L （1.26倍），溶解性总固体1344mg/L （0.34倍），</w:t>
      </w:r>
      <w:r>
        <w:rPr>
          <w:rFonts w:asciiTheme="minorEastAsia" w:hAnsiTheme="minorEastAsia" w:eastAsiaTheme="minorEastAsia"/>
          <w:bCs/>
          <w:sz w:val="28"/>
          <w:szCs w:val="28"/>
        </w:rPr>
        <w:t>彭阳县城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硫酸盐389mg/L （0.57倍），彭堡地下水源地硫酸盐256mg/L （0.02倍）。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根据宁夏区环保厅要求，因地质原因引起的超标，水质不低于现状视为达标，因此，可认为地表水、地下水水源12个均达标。</w:t>
      </w:r>
    </w:p>
    <w:p>
      <w:pPr>
        <w:spacing w:before="120" w:beforeLines="50" w:after="120" w:afterLines="50" w:line="600" w:lineRule="exact"/>
        <w:jc w:val="center"/>
        <w:rPr>
          <w:rFonts w:asciiTheme="minorEastAsia" w:hAnsiTheme="minorEastAsia" w:eastAsiaTheme="minorEastAsia"/>
          <w:b/>
          <w:bCs/>
          <w:spacing w:val="6"/>
          <w:sz w:val="24"/>
        </w:rPr>
      </w:pPr>
      <w:r>
        <w:rPr>
          <w:rFonts w:hint="eastAsia" w:asciiTheme="minorEastAsia" w:hAnsiTheme="minorEastAsia" w:eastAsiaTheme="minorEastAsia"/>
          <w:b/>
          <w:bCs/>
          <w:spacing w:val="6"/>
          <w:sz w:val="24"/>
        </w:rPr>
        <w:t>表</w:t>
      </w:r>
      <w:r>
        <w:rPr>
          <w:rFonts w:asciiTheme="minorEastAsia" w:hAnsiTheme="minorEastAsia" w:eastAsiaTheme="minorEastAsia"/>
          <w:b/>
          <w:bCs/>
          <w:spacing w:val="6"/>
          <w:sz w:val="24"/>
        </w:rPr>
        <w:t>1-</w:t>
      </w:r>
      <w:r>
        <w:rPr>
          <w:rFonts w:hint="eastAsia" w:asciiTheme="minorEastAsia" w:hAnsiTheme="minorEastAsia" w:eastAsiaTheme="minorEastAsia"/>
          <w:b/>
          <w:bCs/>
          <w:spacing w:val="6"/>
          <w:sz w:val="24"/>
        </w:rPr>
        <w:t>1     9月份监测断面水类统计表</w:t>
      </w:r>
    </w:p>
    <w:tbl>
      <w:tblPr>
        <w:tblStyle w:val="37"/>
        <w:tblW w:w="83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173"/>
        <w:gridCol w:w="749"/>
        <w:gridCol w:w="1675"/>
        <w:gridCol w:w="749"/>
        <w:gridCol w:w="671"/>
        <w:gridCol w:w="637"/>
        <w:gridCol w:w="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河流</w:t>
            </w:r>
          </w:p>
        </w:tc>
        <w:tc>
          <w:tcPr>
            <w:tcW w:w="117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断面名称</w:t>
            </w:r>
          </w:p>
        </w:tc>
        <w:tc>
          <w:tcPr>
            <w:tcW w:w="7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断面属性</w:t>
            </w:r>
          </w:p>
        </w:tc>
        <w:tc>
          <w:tcPr>
            <w:tcW w:w="16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断面功能</w:t>
            </w:r>
          </w:p>
        </w:tc>
        <w:tc>
          <w:tcPr>
            <w:tcW w:w="7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考核目标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水质类别</w:t>
            </w:r>
          </w:p>
        </w:tc>
        <w:tc>
          <w:tcPr>
            <w:tcW w:w="786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同比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</w:t>
            </w:r>
          </w:p>
        </w:tc>
        <w:tc>
          <w:tcPr>
            <w:tcW w:w="7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渝河（黄河三级支流，渭河二级支流，葫芦河一级支流）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峰台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三里店水库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联财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宁夏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葫芦河（黄河二级支流，渭河一级支流）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夏寨水库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劣Ⅴ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玉桥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宁夏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清水河（黄河一级支流）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二十里铺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沈家河水库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劣Ⅴ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三营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固原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中卫市界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茹河（黄河四级支流，渭河三级支流，泾河二级支流，蒲河一级支流）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乃家河水库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李河桥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沟圈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宁夏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Ⅳ(Ⅱ)*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Ⅳ(Ⅱ)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蒲河（黄河三级支流，渭河二级支流，泾河一级支流）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石家河桥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宁夏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洪河（泾河一级支流）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常沟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宁夏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泾河（黄河二级支流，渭河一级支流）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龙潭水库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弹筝峡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宁夏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bookmarkEnd w:id="17"/>
      <w:bookmarkEnd w:id="18"/>
      <w:bookmarkEnd w:id="19"/>
      <w:bookmarkEnd w:id="20"/>
      <w:bookmarkEnd w:id="21"/>
      <w:bookmarkEnd w:id="67"/>
    </w:tbl>
    <w:p>
      <w:bookmarkStart w:id="68" w:name="_Toc6487"/>
      <w:bookmarkStart w:id="69" w:name="_Toc489430628"/>
      <w:bookmarkStart w:id="70" w:name="_Toc11756"/>
      <w:bookmarkStart w:id="71" w:name="_Toc10903"/>
      <w:bookmarkStart w:id="72" w:name="_Toc5292"/>
      <w:bookmarkStart w:id="73" w:name="_Toc23622"/>
      <w:bookmarkStart w:id="74" w:name="_Toc229"/>
      <w:bookmarkStart w:id="75" w:name="_Toc453595013"/>
      <w:bookmarkStart w:id="76" w:name="_Toc291591412"/>
      <w:bookmarkStart w:id="77" w:name="_Toc291080464"/>
      <w:bookmarkStart w:id="78" w:name="_Toc320892771"/>
      <w:bookmarkStart w:id="79" w:name="_Toc294173881"/>
      <w:bookmarkStart w:id="80" w:name="_Toc353351802"/>
      <w:bookmarkStart w:id="81" w:name="_Toc322438678"/>
      <w:bookmarkStart w:id="82" w:name="_Toc325698315"/>
      <w:bookmarkStart w:id="83" w:name="_Toc371690638"/>
      <w:bookmarkStart w:id="84" w:name="_Toc393041862"/>
      <w:bookmarkStart w:id="85" w:name="_Toc442177202"/>
      <w:r>
        <w:rPr>
          <w:rFonts w:hint="eastAsia"/>
        </w:rPr>
        <w:t>备注：茹河沟圈断面，Ⅳ(Ⅱ)*--水质现状（剔除氟化物影响后水质现状）</w:t>
      </w:r>
    </w:p>
    <w:p>
      <w:pPr>
        <w:pStyle w:val="3"/>
        <w:adjustRightInd w:val="0"/>
        <w:snapToGrid w:val="0"/>
        <w:spacing w:before="120" w:beforeLines="50" w:afterLines="50"/>
        <w:rPr>
          <w:rStyle w:val="95"/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Style w:val="95"/>
          <w:rFonts w:hint="eastAsia" w:asciiTheme="minorEastAsia" w:hAnsiTheme="minorEastAsia" w:eastAsiaTheme="minorEastAsia"/>
          <w:b/>
          <w:bCs/>
          <w:sz w:val="28"/>
          <w:szCs w:val="28"/>
        </w:rPr>
        <w:t>二、环境空气质量</w:t>
      </w:r>
      <w:bookmarkEnd w:id="68"/>
      <w:bookmarkEnd w:id="69"/>
      <w:bookmarkEnd w:id="70"/>
      <w:bookmarkEnd w:id="71"/>
      <w:bookmarkEnd w:id="72"/>
      <w:bookmarkEnd w:id="73"/>
      <w:bookmarkEnd w:id="74"/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bookmarkStart w:id="86" w:name="_Toc489430629"/>
      <w:bookmarkStart w:id="87" w:name="_Toc23295"/>
      <w:bookmarkStart w:id="88" w:name="_Toc27455"/>
      <w:bookmarkStart w:id="89" w:name="_Toc15307"/>
      <w:bookmarkStart w:id="90" w:name="_Toc11511"/>
      <w:bookmarkStart w:id="91" w:name="_Toc6283"/>
      <w:bookmarkStart w:id="92" w:name="_Toc443407614"/>
      <w:bookmarkStart w:id="93" w:name="_Toc443558145"/>
      <w:bookmarkStart w:id="94" w:name="_Toc443411271"/>
      <w:r>
        <w:rPr>
          <w:rFonts w:hint="eastAsia" w:asciiTheme="minorEastAsia" w:hAnsiTheme="minorEastAsia" w:eastAsiaTheme="minorEastAsia"/>
          <w:sz w:val="28"/>
          <w:szCs w:val="28"/>
        </w:rPr>
        <w:t>（一）市区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>
        <w:rPr>
          <w:rFonts w:hint="eastAsia" w:asciiTheme="minorEastAsia" w:hAnsiTheme="minorEastAsia" w:eastAsiaTheme="minorEastAsia"/>
          <w:sz w:val="28"/>
          <w:szCs w:val="28"/>
        </w:rPr>
        <w:t>（原州区）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spacing w:val="-4"/>
        </w:rPr>
      </w:pP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有效监测天数30天，其中，一级（优）天数14天，二级（良）天数16天，良好以上天数占总有效监测天数的100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；首要污染物主要为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-4"/>
        </w:rPr>
        <w:t>、</w:t>
      </w:r>
      <w:r>
        <w:rPr>
          <w:rFonts w:asciiTheme="minorEastAsia" w:hAnsiTheme="minorEastAsia" w:eastAsiaTheme="minorEastAsia"/>
          <w:spacing w:val="2"/>
        </w:rPr>
        <w:t>O</w:t>
      </w:r>
      <w:r>
        <w:rPr>
          <w:rFonts w:asciiTheme="minorEastAsia" w:hAnsiTheme="minorEastAsia" w:eastAsiaTheme="minorEastAsia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color w:val="auto"/>
          <w:spacing w:val="-4"/>
        </w:rPr>
        <w:t>，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占75%和25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</w:t>
      </w:r>
      <w:r>
        <w:rPr>
          <w:rFonts w:hint="eastAsia" w:asciiTheme="minorEastAsia" w:hAnsiTheme="minorEastAsia" w:eastAsiaTheme="minorEastAsia"/>
          <w:spacing w:val="2"/>
        </w:rPr>
        <w:t>为</w:t>
      </w:r>
      <w:r>
        <w:rPr>
          <w:rFonts w:asciiTheme="minorEastAsia" w:hAnsiTheme="minorEastAsia" w:eastAsiaTheme="minorEastAsia"/>
          <w:bCs w:val="0"/>
          <w:spacing w:val="2"/>
        </w:rPr>
        <w:t>PM</w:t>
      </w:r>
      <w:r>
        <w:rPr>
          <w:rFonts w:asciiTheme="minorEastAsia" w:hAnsiTheme="minorEastAsia" w:eastAsiaTheme="minorEastAsia"/>
          <w:bCs w:val="0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spacing w:val="-4"/>
        </w:rPr>
        <w:t>为</w:t>
      </w:r>
      <w:r>
        <w:rPr>
          <w:rFonts w:hint="eastAsia" w:asciiTheme="minorEastAsia" w:hAnsiTheme="minorEastAsia" w:eastAsiaTheme="minorEastAsia"/>
          <w:spacing w:val="2"/>
        </w:rPr>
        <w:t>60微克</w:t>
      </w:r>
      <w:r>
        <w:rPr>
          <w:rFonts w:asciiTheme="minorEastAsia" w:hAnsiTheme="minorEastAsia" w:eastAsiaTheme="minorEastAsia"/>
          <w:spacing w:val="2"/>
        </w:rPr>
        <w:t>/</w:t>
      </w:r>
      <w:r>
        <w:rPr>
          <w:rFonts w:hint="eastAsia" w:asciiTheme="minorEastAsia" w:hAnsiTheme="minorEastAsia" w:eastAsiaTheme="minorEastAsia"/>
          <w:spacing w:val="2"/>
        </w:rPr>
        <w:t>立方米，</w:t>
      </w:r>
      <w:r>
        <w:rPr>
          <w:rFonts w:asciiTheme="minorEastAsia" w:hAnsiTheme="minorEastAsia" w:eastAsiaTheme="minorEastAsia"/>
          <w:spacing w:val="-4"/>
        </w:rPr>
        <w:t>PM</w:t>
      </w:r>
      <w:r>
        <w:rPr>
          <w:rFonts w:asciiTheme="minorEastAsia" w:hAnsiTheme="minorEastAsia" w:eastAsiaTheme="minorEastAsia"/>
          <w:spacing w:val="-4"/>
          <w:vertAlign w:val="subscript"/>
        </w:rPr>
        <w:t>2.5</w:t>
      </w:r>
      <w:r>
        <w:rPr>
          <w:rFonts w:hint="eastAsia" w:asciiTheme="minorEastAsia" w:hAnsiTheme="minorEastAsia" w:eastAsiaTheme="minorEastAsia"/>
          <w:spacing w:val="-4"/>
        </w:rPr>
        <w:t>为</w:t>
      </w:r>
      <w:r>
        <w:rPr>
          <w:rFonts w:hint="eastAsia" w:asciiTheme="minorEastAsia" w:hAnsiTheme="minorEastAsia" w:eastAsiaTheme="minorEastAsia"/>
          <w:spacing w:val="2"/>
        </w:rPr>
        <w:t>20微克</w:t>
      </w:r>
      <w:r>
        <w:rPr>
          <w:rFonts w:asciiTheme="minorEastAsia" w:hAnsiTheme="minorEastAsia" w:eastAsiaTheme="minorEastAsia"/>
          <w:spacing w:val="2"/>
        </w:rPr>
        <w:t>/</w:t>
      </w:r>
      <w:r>
        <w:rPr>
          <w:rFonts w:hint="eastAsia" w:asciiTheme="minorEastAsia" w:hAnsiTheme="minorEastAsia" w:eastAsiaTheme="minorEastAsia"/>
          <w:spacing w:val="2"/>
        </w:rPr>
        <w:t>立方米，</w:t>
      </w:r>
      <w:r>
        <w:rPr>
          <w:rFonts w:asciiTheme="minorEastAsia" w:hAnsiTheme="minorEastAsia" w:eastAsiaTheme="minorEastAsia"/>
          <w:kern w:val="0"/>
        </w:rPr>
        <w:t>SO</w:t>
      </w:r>
      <w:r>
        <w:rPr>
          <w:rFonts w:asciiTheme="minorEastAsia" w:hAnsiTheme="minorEastAsia" w:eastAsiaTheme="minorEastAsia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spacing w:val="-4"/>
        </w:rPr>
        <w:t>为5</w:t>
      </w:r>
      <w:r>
        <w:rPr>
          <w:rFonts w:hint="eastAsia" w:asciiTheme="minorEastAsia" w:hAnsiTheme="minorEastAsia" w:eastAsiaTheme="minorEastAsia"/>
          <w:spacing w:val="2"/>
        </w:rPr>
        <w:t>微克</w:t>
      </w:r>
      <w:r>
        <w:rPr>
          <w:rFonts w:asciiTheme="minorEastAsia" w:hAnsiTheme="minorEastAsia" w:eastAsiaTheme="minorEastAsia"/>
          <w:spacing w:val="2"/>
        </w:rPr>
        <w:t>/</w:t>
      </w:r>
      <w:r>
        <w:rPr>
          <w:rFonts w:hint="eastAsia" w:asciiTheme="minorEastAsia" w:hAnsiTheme="minorEastAsia" w:eastAsiaTheme="minorEastAsia"/>
          <w:spacing w:val="2"/>
        </w:rPr>
        <w:t>立方米，</w:t>
      </w:r>
      <w:r>
        <w:rPr>
          <w:rFonts w:asciiTheme="minorEastAsia" w:hAnsiTheme="minorEastAsia" w:eastAsiaTheme="minorEastAsia"/>
          <w:kern w:val="0"/>
        </w:rPr>
        <w:t>NO</w:t>
      </w:r>
      <w:r>
        <w:rPr>
          <w:rFonts w:asciiTheme="minorEastAsia" w:hAnsiTheme="minorEastAsia" w:eastAsiaTheme="minorEastAsia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spacing w:val="-4"/>
        </w:rPr>
        <w:t>为</w:t>
      </w:r>
      <w:r>
        <w:rPr>
          <w:rFonts w:hint="eastAsia" w:asciiTheme="minorEastAsia" w:hAnsiTheme="minorEastAsia" w:eastAsiaTheme="minorEastAsia"/>
        </w:rPr>
        <w:t>24</w:t>
      </w:r>
      <w:r>
        <w:rPr>
          <w:rFonts w:hint="eastAsia" w:asciiTheme="minorEastAsia" w:hAnsiTheme="minorEastAsia" w:eastAsiaTheme="minorEastAsia"/>
          <w:spacing w:val="-4"/>
        </w:rPr>
        <w:t>微克</w:t>
      </w:r>
      <w:r>
        <w:rPr>
          <w:rFonts w:asciiTheme="minorEastAsia" w:hAnsiTheme="minorEastAsia" w:eastAsiaTheme="minorEastAsia"/>
          <w:spacing w:val="-4"/>
        </w:rPr>
        <w:t>/</w:t>
      </w:r>
      <w:r>
        <w:rPr>
          <w:rFonts w:hint="eastAsia" w:asciiTheme="minorEastAsia" w:hAnsiTheme="minorEastAsia" w:eastAsiaTheme="minorEastAsia"/>
          <w:spacing w:val="-4"/>
        </w:rPr>
        <w:t>立方米，</w:t>
      </w:r>
      <w:r>
        <w:rPr>
          <w:rFonts w:asciiTheme="minorEastAsia" w:hAnsiTheme="minorEastAsia" w:eastAsiaTheme="minorEastAsia"/>
          <w:spacing w:val="2"/>
        </w:rPr>
        <w:t>CO</w:t>
      </w:r>
      <w:r>
        <w:rPr>
          <w:rFonts w:hint="eastAsia" w:asciiTheme="minorEastAsia" w:hAnsiTheme="minorEastAsia" w:eastAsiaTheme="minorEastAsia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spacing w:val="-4"/>
        </w:rPr>
        <w:t>为</w:t>
      </w:r>
      <w:r>
        <w:rPr>
          <w:rFonts w:hint="eastAsia" w:asciiTheme="minorEastAsia" w:hAnsiTheme="minorEastAsia" w:eastAsiaTheme="minorEastAsia"/>
        </w:rPr>
        <w:t>0.8</w:t>
      </w:r>
      <w:r>
        <w:rPr>
          <w:rFonts w:hint="eastAsia" w:asciiTheme="minorEastAsia" w:hAnsiTheme="minorEastAsia" w:eastAsiaTheme="minorEastAsia"/>
          <w:spacing w:val="-4"/>
        </w:rPr>
        <w:t>毫克</w:t>
      </w:r>
      <w:r>
        <w:rPr>
          <w:rFonts w:asciiTheme="minorEastAsia" w:hAnsiTheme="minorEastAsia" w:eastAsiaTheme="minorEastAsia"/>
          <w:spacing w:val="-4"/>
        </w:rPr>
        <w:t>/</w:t>
      </w:r>
      <w:r>
        <w:rPr>
          <w:rFonts w:hint="eastAsia" w:asciiTheme="minorEastAsia" w:hAnsiTheme="minorEastAsia" w:eastAsiaTheme="minorEastAsia"/>
          <w:spacing w:val="-4"/>
        </w:rPr>
        <w:t>立方米，</w:t>
      </w:r>
      <w:r>
        <w:rPr>
          <w:rFonts w:asciiTheme="minorEastAsia" w:hAnsiTheme="minorEastAsia" w:eastAsiaTheme="minorEastAsia"/>
          <w:spacing w:val="2"/>
        </w:rPr>
        <w:t>O</w:t>
      </w:r>
      <w:r>
        <w:rPr>
          <w:rFonts w:asciiTheme="minorEastAsia" w:hAnsiTheme="minorEastAsia" w:eastAsiaTheme="minorEastAsia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spacing w:val="-4"/>
        </w:rPr>
        <w:t>为110微克</w:t>
      </w:r>
      <w:r>
        <w:rPr>
          <w:rFonts w:asciiTheme="minorEastAsia" w:hAnsiTheme="minorEastAsia" w:eastAsiaTheme="minorEastAsia"/>
          <w:spacing w:val="-4"/>
        </w:rPr>
        <w:t>/</w:t>
      </w:r>
      <w:r>
        <w:rPr>
          <w:rFonts w:hint="eastAsia" w:asciiTheme="minorEastAsia" w:hAnsiTheme="minorEastAsia" w:eastAsiaTheme="minorEastAsia"/>
          <w:spacing w:val="-4"/>
        </w:rPr>
        <w:t>立方米。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同2017年同期相比，</w:t>
      </w:r>
      <w:r>
        <w:rPr>
          <w:rFonts w:asciiTheme="minorEastAsia" w:hAnsiTheme="minorEastAsia" w:eastAsiaTheme="minorEastAsia"/>
          <w:bCs w:val="0"/>
          <w:color w:val="000000" w:themeColor="text1"/>
          <w:spacing w:val="2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bCs w:val="0"/>
          <w:color w:val="000000" w:themeColor="text1"/>
          <w:spacing w:val="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同比下降了23.1%，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color w:val="000000" w:themeColor="text1"/>
          <w:spacing w:val="-4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同比下降了35.5%。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1-9月份，优良天数比率85.0%，</w:t>
      </w:r>
      <w:r>
        <w:rPr>
          <w:rFonts w:asciiTheme="minorEastAsia" w:hAnsiTheme="minorEastAsia" w:eastAsiaTheme="minorEastAsia"/>
          <w:bCs w:val="0"/>
          <w:color w:val="000000" w:themeColor="text1"/>
          <w:spacing w:val="2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bCs w:val="0"/>
          <w:color w:val="000000" w:themeColor="text1"/>
          <w:spacing w:val="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为96微克</w:t>
      </w:r>
      <w:r>
        <w:rPr>
          <w:rFonts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立方米，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color w:val="000000" w:themeColor="text1"/>
          <w:spacing w:val="-4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为34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微克</w:t>
      </w:r>
      <w:r>
        <w:rPr>
          <w:rFonts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立方米，同2017年同比，优良天数比率稳定，</w:t>
      </w:r>
      <w:r>
        <w:rPr>
          <w:rFonts w:asciiTheme="minorEastAsia" w:hAnsiTheme="minorEastAsia" w:eastAsiaTheme="minorEastAsia"/>
          <w:bCs w:val="0"/>
          <w:color w:val="000000" w:themeColor="text1"/>
          <w:spacing w:val="2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bCs w:val="0"/>
          <w:color w:val="000000" w:themeColor="text1"/>
          <w:spacing w:val="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color w:val="000000" w:themeColor="text1"/>
          <w:spacing w:val="-4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分别下降了23.1%和35.5%；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扣除沙尘天气影响后，优良天数比率96.6%，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color w:val="000000" w:themeColor="text1"/>
          <w:spacing w:val="-4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为71微克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立方米，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color w:val="000000" w:themeColor="text1"/>
          <w:spacing w:val="-4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为29微克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立方米，同2017年同比，优良天数比率上升了2.4%，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color w:val="000000" w:themeColor="text1"/>
          <w:spacing w:val="-4"/>
          <w:vertAlign w:val="subscript"/>
          <w14:textFill>
            <w14:solidFill>
              <w14:schemeClr w14:val="tx1"/>
            </w14:solidFill>
          </w14:textFill>
        </w:rPr>
        <w:t xml:space="preserve">10 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color w:val="000000" w:themeColor="text1"/>
          <w:spacing w:val="-4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分别下降了5.3%和6.5%。</w:t>
      </w:r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（二）彭阳县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color w:val="auto"/>
          <w:spacing w:val="2"/>
        </w:rPr>
      </w:pP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有效监测天数30天，其中，一级（优）天数8天，二级（良）天数22天，良好以上天数占总有效监测天数的100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；首要污染物主要为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O</w:t>
      </w:r>
      <w:r>
        <w:rPr>
          <w:rFonts w:asciiTheme="minorEastAsia" w:hAnsiTheme="minorEastAsia" w:eastAsiaTheme="minorEastAsia"/>
          <w:b/>
          <w:bCs w:val="0"/>
          <w:color w:val="auto"/>
          <w:kern w:val="0"/>
          <w:vertAlign w:val="subscript"/>
        </w:rPr>
        <w:t>3_8h</w:t>
      </w:r>
      <w:r>
        <w:rPr>
          <w:rFonts w:hint="eastAsia" w:asciiTheme="minorEastAsia" w:hAnsiTheme="minorEastAsia" w:eastAsiaTheme="minorEastAsia"/>
          <w:color w:val="auto"/>
          <w:spacing w:val="-4"/>
        </w:rPr>
        <w:t>，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占100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%；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2"/>
        </w:rPr>
        <w:t>为33微克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spacing w:val="-4"/>
        </w:rPr>
        <w:t>PM</w:t>
      </w:r>
      <w:r>
        <w:rPr>
          <w:rFonts w:asciiTheme="minorEastAsia" w:hAnsiTheme="minorEastAsia" w:eastAsiaTheme="minorEastAsia"/>
          <w:color w:val="auto"/>
          <w:spacing w:val="-4"/>
          <w:vertAlign w:val="subscript"/>
        </w:rPr>
        <w:t>2.5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  <w:spacing w:val="2"/>
        </w:rPr>
        <w:t>15微克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SO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为4</w:t>
      </w:r>
      <w:r>
        <w:rPr>
          <w:rFonts w:hint="eastAsia" w:asciiTheme="minorEastAsia" w:hAnsiTheme="minorEastAsia" w:eastAsiaTheme="minorEastAsia"/>
          <w:color w:val="auto"/>
          <w:spacing w:val="2"/>
        </w:rPr>
        <w:t>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NO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14</w:t>
      </w:r>
      <w:r>
        <w:rPr>
          <w:rFonts w:hint="eastAsia" w:asciiTheme="minorEastAsia" w:hAnsiTheme="minorEastAsia" w:eastAsiaTheme="minorEastAsia"/>
          <w:color w:val="auto"/>
          <w:spacing w:val="-4"/>
        </w:rPr>
        <w:t>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CO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0.9</w:t>
      </w:r>
      <w:r>
        <w:rPr>
          <w:rFonts w:hint="eastAsia" w:asciiTheme="minorEastAsia" w:hAnsiTheme="minorEastAsia" w:eastAsiaTheme="minorEastAsia"/>
          <w:color w:val="auto"/>
          <w:spacing w:val="-4"/>
        </w:rPr>
        <w:t>毫克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O</w:t>
      </w:r>
      <w:r>
        <w:rPr>
          <w:rFonts w:asciiTheme="minorEastAsia" w:hAnsiTheme="minorEastAsia" w:eastAsiaTheme="minorEastAsia"/>
          <w:color w:val="auto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为129微克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</w:t>
      </w:r>
      <w:r>
        <w:rPr>
          <w:rFonts w:hint="eastAsia" w:asciiTheme="minorEastAsia" w:hAnsiTheme="minorEastAsia" w:eastAsiaTheme="minorEastAsia"/>
          <w:color w:val="auto"/>
          <w:spacing w:val="2"/>
        </w:rPr>
        <w:t>。</w:t>
      </w:r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（三）西吉县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color w:val="auto"/>
          <w:spacing w:val="-4"/>
        </w:rPr>
      </w:pP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有效监测天数30天，其中，一级（优）天数8天，二级（良）天数22天，良好以上天数占总有效监测天数的100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；首要污染物主要为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-4"/>
        </w:rPr>
        <w:t>、</w:t>
      </w:r>
      <w:r>
        <w:rPr>
          <w:rFonts w:asciiTheme="minorEastAsia" w:hAnsiTheme="minorEastAsia" w:eastAsiaTheme="minorEastAsia"/>
          <w:spacing w:val="2"/>
        </w:rPr>
        <w:t>O</w:t>
      </w:r>
      <w:r>
        <w:rPr>
          <w:rFonts w:asciiTheme="minorEastAsia" w:hAnsiTheme="minorEastAsia" w:eastAsiaTheme="minorEastAsia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color w:val="auto"/>
          <w:spacing w:val="-4"/>
        </w:rPr>
        <w:t>，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占81.8%和18.2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2"/>
        </w:rPr>
        <w:t>为38微克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spacing w:val="-4"/>
        </w:rPr>
        <w:t>PM</w:t>
      </w:r>
      <w:r>
        <w:rPr>
          <w:rFonts w:asciiTheme="minorEastAsia" w:hAnsiTheme="minorEastAsia" w:eastAsiaTheme="minorEastAsia"/>
          <w:color w:val="auto"/>
          <w:spacing w:val="-4"/>
          <w:vertAlign w:val="subscript"/>
        </w:rPr>
        <w:t>2.5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  <w:spacing w:val="2"/>
        </w:rPr>
        <w:t>13微克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SO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为8</w:t>
      </w:r>
      <w:r>
        <w:rPr>
          <w:rFonts w:hint="eastAsia" w:asciiTheme="minorEastAsia" w:hAnsiTheme="minorEastAsia" w:eastAsiaTheme="minorEastAsia"/>
          <w:color w:val="auto"/>
          <w:spacing w:val="2"/>
        </w:rPr>
        <w:t>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NO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13</w:t>
      </w:r>
      <w:r>
        <w:rPr>
          <w:rFonts w:hint="eastAsia" w:asciiTheme="minorEastAsia" w:hAnsiTheme="minorEastAsia" w:eastAsiaTheme="minorEastAsia"/>
          <w:color w:val="auto"/>
          <w:spacing w:val="-4"/>
        </w:rPr>
        <w:t>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CO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0.7</w:t>
      </w:r>
      <w:r>
        <w:rPr>
          <w:rFonts w:hint="eastAsia" w:asciiTheme="minorEastAsia" w:hAnsiTheme="minorEastAsia" w:eastAsiaTheme="minorEastAsia"/>
          <w:color w:val="auto"/>
          <w:spacing w:val="-4"/>
        </w:rPr>
        <w:t>毫克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O</w:t>
      </w:r>
      <w:r>
        <w:rPr>
          <w:rFonts w:asciiTheme="minorEastAsia" w:hAnsiTheme="minorEastAsia" w:eastAsiaTheme="minorEastAsia"/>
          <w:color w:val="auto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为123微克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立方米。</w:t>
      </w:r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（四）泾源县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color w:val="auto"/>
          <w:spacing w:val="2"/>
        </w:rPr>
      </w:pP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有效监测天数30天，其中，一级（优）天数10天，二级（良）天数20天，良好以上天数占总有效监测天数的100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；首要污染物主要为</w:t>
      </w:r>
      <w:r>
        <w:rPr>
          <w:rFonts w:hint="eastAsia" w:asciiTheme="minorEastAsia" w:hAnsiTheme="minorEastAsia" w:eastAsiaTheme="minorEastAsia"/>
          <w:color w:val="auto"/>
          <w:spacing w:val="-4"/>
        </w:rPr>
        <w:t>O</w:t>
      </w:r>
      <w:r>
        <w:rPr>
          <w:rFonts w:asciiTheme="minorEastAsia" w:hAnsiTheme="minorEastAsia" w:eastAsiaTheme="minorEastAsia"/>
          <w:b/>
          <w:bCs w:val="0"/>
          <w:color w:val="auto"/>
          <w:kern w:val="0"/>
          <w:vertAlign w:val="subscript"/>
        </w:rPr>
        <w:t>3_8h</w:t>
      </w:r>
      <w:r>
        <w:rPr>
          <w:rFonts w:hint="eastAsia" w:asciiTheme="minorEastAsia" w:hAnsiTheme="minorEastAsia" w:eastAsiaTheme="minorEastAsia"/>
          <w:color w:val="auto"/>
          <w:spacing w:val="-4"/>
        </w:rPr>
        <w:t>，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占100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2"/>
        </w:rPr>
        <w:t>为19微克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</w:t>
      </w:r>
      <w:r>
        <w:rPr>
          <w:rFonts w:hint="eastAsia" w:cs="Times New Roman" w:asciiTheme="minorEastAsia" w:hAnsiTheme="minorEastAsia" w:eastAsiaTheme="minorEastAsia"/>
          <w:color w:val="auto"/>
        </w:rPr>
        <w:t>，</w:t>
      </w:r>
      <w:r>
        <w:rPr>
          <w:rFonts w:asciiTheme="minorEastAsia" w:hAnsiTheme="minorEastAsia" w:eastAsiaTheme="minorEastAsia"/>
          <w:color w:val="auto"/>
          <w:spacing w:val="-4"/>
        </w:rPr>
        <w:t>PM</w:t>
      </w:r>
      <w:r>
        <w:rPr>
          <w:rFonts w:asciiTheme="minorEastAsia" w:hAnsiTheme="minorEastAsia" w:eastAsiaTheme="minorEastAsia"/>
          <w:color w:val="auto"/>
          <w:spacing w:val="-4"/>
          <w:vertAlign w:val="subscript"/>
        </w:rPr>
        <w:t>2.5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  <w:spacing w:val="2"/>
        </w:rPr>
        <w:t>9微克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SO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为4</w:t>
      </w:r>
      <w:r>
        <w:rPr>
          <w:rFonts w:hint="eastAsia" w:asciiTheme="minorEastAsia" w:hAnsiTheme="minorEastAsia" w:eastAsiaTheme="minorEastAsia"/>
          <w:color w:val="auto"/>
          <w:spacing w:val="2"/>
        </w:rPr>
        <w:t>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NO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9</w:t>
      </w:r>
      <w:r>
        <w:rPr>
          <w:rFonts w:hint="eastAsia" w:asciiTheme="minorEastAsia" w:hAnsiTheme="minorEastAsia" w:eastAsiaTheme="minorEastAsia"/>
          <w:color w:val="auto"/>
          <w:spacing w:val="-4"/>
        </w:rPr>
        <w:t>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CO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0.8</w:t>
      </w:r>
      <w:r>
        <w:rPr>
          <w:rFonts w:hint="eastAsia" w:asciiTheme="minorEastAsia" w:hAnsiTheme="minorEastAsia" w:eastAsiaTheme="minorEastAsia"/>
          <w:color w:val="auto"/>
          <w:spacing w:val="-4"/>
        </w:rPr>
        <w:t>毫克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O</w:t>
      </w:r>
      <w:r>
        <w:rPr>
          <w:rFonts w:asciiTheme="minorEastAsia" w:hAnsiTheme="minorEastAsia" w:eastAsiaTheme="minorEastAsia"/>
          <w:color w:val="auto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为120微克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</w:t>
      </w:r>
      <w:r>
        <w:rPr>
          <w:rFonts w:hint="eastAsia" w:asciiTheme="minorEastAsia" w:hAnsiTheme="minorEastAsia" w:eastAsiaTheme="minorEastAsia"/>
          <w:color w:val="auto"/>
          <w:spacing w:val="2"/>
        </w:rPr>
        <w:t>。</w:t>
      </w:r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（五）隆德县</w:t>
      </w:r>
    </w:p>
    <w:p>
      <w:pPr>
        <w:pStyle w:val="85"/>
        <w:spacing w:before="120" w:after="120"/>
        <w:ind w:firstLine="544" w:firstLineChars="200"/>
        <w:rPr>
          <w:rFonts w:cs="Times New Roman" w:asciiTheme="minorEastAsia" w:hAnsiTheme="minorEastAsia" w:eastAsiaTheme="minorEastAsia"/>
          <w:color w:val="auto"/>
        </w:rPr>
      </w:pP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有效监测天数27天，其中，一级（优）天数10天，二级（良）天数17天，良好以上天数占总有效监测天数的100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；首要污染物为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O</w:t>
      </w:r>
      <w:r>
        <w:rPr>
          <w:rFonts w:asciiTheme="minorEastAsia" w:hAnsiTheme="minorEastAsia" w:eastAsiaTheme="minorEastAsia"/>
          <w:b/>
          <w:bCs w:val="0"/>
          <w:color w:val="auto"/>
          <w:kern w:val="0"/>
          <w:vertAlign w:val="subscript"/>
        </w:rPr>
        <w:t>3_8h</w:t>
      </w:r>
      <w:r>
        <w:rPr>
          <w:rFonts w:hint="eastAsia" w:asciiTheme="minorEastAsia" w:hAnsiTheme="minorEastAsia" w:eastAsiaTheme="minorEastAsia"/>
          <w:color w:val="auto"/>
          <w:spacing w:val="-4"/>
        </w:rPr>
        <w:t>，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占100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2"/>
        </w:rPr>
        <w:t>为22微克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spacing w:val="-4"/>
        </w:rPr>
        <w:t>PM</w:t>
      </w:r>
      <w:r>
        <w:rPr>
          <w:rFonts w:asciiTheme="minorEastAsia" w:hAnsiTheme="minorEastAsia" w:eastAsiaTheme="minorEastAsia"/>
          <w:color w:val="auto"/>
          <w:spacing w:val="-4"/>
          <w:vertAlign w:val="subscript"/>
        </w:rPr>
        <w:t>2.5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  <w:spacing w:val="2"/>
        </w:rPr>
        <w:t>9微克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SO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为3</w:t>
      </w:r>
      <w:r>
        <w:rPr>
          <w:rFonts w:hint="eastAsia" w:asciiTheme="minorEastAsia" w:hAnsiTheme="minorEastAsia" w:eastAsiaTheme="minorEastAsia"/>
          <w:color w:val="auto"/>
          <w:spacing w:val="2"/>
        </w:rPr>
        <w:t>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NO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为为</w:t>
      </w:r>
      <w:r>
        <w:rPr>
          <w:rFonts w:hint="eastAsia" w:asciiTheme="minorEastAsia" w:hAnsiTheme="minorEastAsia" w:eastAsiaTheme="minorEastAsia"/>
          <w:color w:val="auto"/>
        </w:rPr>
        <w:t>10</w:t>
      </w:r>
      <w:r>
        <w:rPr>
          <w:rFonts w:hint="eastAsia" w:asciiTheme="minorEastAsia" w:hAnsiTheme="minorEastAsia" w:eastAsiaTheme="minorEastAsia"/>
          <w:color w:val="auto"/>
          <w:spacing w:val="-4"/>
        </w:rPr>
        <w:t>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CO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0.8</w:t>
      </w:r>
      <w:r>
        <w:rPr>
          <w:rFonts w:hint="eastAsia" w:asciiTheme="minorEastAsia" w:hAnsiTheme="minorEastAsia" w:eastAsiaTheme="minorEastAsia"/>
          <w:color w:val="auto"/>
          <w:spacing w:val="-4"/>
        </w:rPr>
        <w:t>毫克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O</w:t>
      </w:r>
      <w:r>
        <w:rPr>
          <w:rFonts w:asciiTheme="minorEastAsia" w:hAnsiTheme="minorEastAsia" w:eastAsiaTheme="minorEastAsia"/>
          <w:color w:val="auto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为117微克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</w:t>
      </w:r>
      <w:r>
        <w:rPr>
          <w:rFonts w:hint="eastAsia" w:cs="Times New Roman" w:asciiTheme="minorEastAsia" w:hAnsiTheme="minorEastAsia" w:eastAsiaTheme="minorEastAsia"/>
          <w:color w:val="auto"/>
        </w:rPr>
        <w:t>。</w:t>
      </w:r>
    </w:p>
    <w:p>
      <w:pPr>
        <w:pStyle w:val="85"/>
        <w:spacing w:before="120" w:after="120"/>
        <w:ind w:firstLine="560" w:firstLineChars="200"/>
        <w:rPr>
          <w:rFonts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详见表2-1《主要环境质量数据统计》。</w:t>
      </w:r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（六）环境空气质量排名</w:t>
      </w:r>
    </w:p>
    <w:p>
      <w:pPr>
        <w:pStyle w:val="85"/>
        <w:spacing w:before="120" w:after="120"/>
        <w:ind w:firstLine="560" w:firstLineChars="200"/>
        <w:rPr>
          <w:rFonts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  <w:color w:val="auto"/>
        </w:rPr>
        <w:t>采用综合污染指数法，对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asciiTheme="minorEastAsia" w:hAnsiTheme="minorEastAsia" w:eastAsiaTheme="minorEastAsia"/>
          <w:color w:val="auto"/>
          <w:spacing w:val="-4"/>
        </w:rPr>
        <w:t xml:space="preserve"> </w:t>
      </w:r>
      <w:r>
        <w:rPr>
          <w:rFonts w:cs="Times New Roman" w:asciiTheme="minorEastAsia" w:hAnsiTheme="minorEastAsia" w:eastAsiaTheme="minorEastAsia"/>
          <w:color w:val="auto"/>
        </w:rPr>
        <w:t>、</w:t>
      </w:r>
      <w:r>
        <w:rPr>
          <w:rFonts w:asciiTheme="minorEastAsia" w:hAnsiTheme="minorEastAsia" w:eastAsiaTheme="minorEastAsia"/>
          <w:color w:val="auto"/>
          <w:spacing w:val="-4"/>
        </w:rPr>
        <w:t>PM</w:t>
      </w:r>
      <w:r>
        <w:rPr>
          <w:rFonts w:asciiTheme="minorEastAsia" w:hAnsiTheme="minorEastAsia" w:eastAsiaTheme="minorEastAsia"/>
          <w:color w:val="auto"/>
          <w:spacing w:val="-4"/>
          <w:vertAlign w:val="subscript"/>
        </w:rPr>
        <w:t>2.5</w:t>
      </w:r>
      <w:r>
        <w:rPr>
          <w:rFonts w:cs="Times New Roman" w:asciiTheme="minorEastAsia" w:hAnsiTheme="minorEastAsia" w:eastAsiaTheme="minorEastAsia"/>
          <w:color w:val="auto"/>
        </w:rPr>
        <w:t>、</w:t>
      </w:r>
      <w:r>
        <w:rPr>
          <w:rFonts w:asciiTheme="minorEastAsia" w:hAnsiTheme="minorEastAsia" w:eastAsiaTheme="minorEastAsia"/>
          <w:color w:val="auto"/>
          <w:kern w:val="0"/>
        </w:rPr>
        <w:t xml:space="preserve"> SO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cs="Times New Roman" w:asciiTheme="minorEastAsia" w:hAnsiTheme="minorEastAsia" w:eastAsiaTheme="minorEastAsia"/>
          <w:color w:val="auto"/>
        </w:rPr>
        <w:t>、</w:t>
      </w:r>
      <w:r>
        <w:rPr>
          <w:rFonts w:asciiTheme="minorEastAsia" w:hAnsiTheme="minorEastAsia" w:eastAsiaTheme="minorEastAsia"/>
          <w:color w:val="auto"/>
          <w:kern w:val="0"/>
        </w:rPr>
        <w:t xml:space="preserve"> NO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cs="Times New Roman" w:asciiTheme="minorEastAsia" w:hAnsiTheme="minorEastAsia" w:eastAsiaTheme="minorEastAsia"/>
          <w:color w:val="auto"/>
        </w:rPr>
        <w:t>、</w:t>
      </w:r>
      <w:r>
        <w:rPr>
          <w:rFonts w:asciiTheme="minorEastAsia" w:hAnsiTheme="minorEastAsia" w:eastAsiaTheme="minorEastAsia"/>
          <w:color w:val="auto"/>
          <w:spacing w:val="2"/>
        </w:rPr>
        <w:t xml:space="preserve">CO </w:t>
      </w:r>
      <w:r>
        <w:rPr>
          <w:rFonts w:cs="Times New Roman" w:asciiTheme="minorEastAsia" w:hAnsiTheme="minorEastAsia" w:eastAsiaTheme="minorEastAsia"/>
          <w:color w:val="auto"/>
        </w:rPr>
        <w:t>、</w:t>
      </w:r>
      <w:r>
        <w:rPr>
          <w:rFonts w:asciiTheme="minorEastAsia" w:hAnsiTheme="minorEastAsia" w:eastAsiaTheme="minorEastAsia"/>
          <w:color w:val="auto"/>
          <w:spacing w:val="2"/>
        </w:rPr>
        <w:t>O</w:t>
      </w:r>
      <w:r>
        <w:rPr>
          <w:rFonts w:asciiTheme="minorEastAsia" w:hAnsiTheme="minorEastAsia" w:eastAsiaTheme="minorEastAsia"/>
          <w:color w:val="auto"/>
          <w:spacing w:val="2"/>
          <w:vertAlign w:val="subscript"/>
        </w:rPr>
        <w:t>3</w:t>
      </w:r>
      <w:r>
        <w:rPr>
          <w:rFonts w:cs="Times New Roman" w:asciiTheme="minorEastAsia" w:hAnsiTheme="minorEastAsia" w:eastAsiaTheme="minorEastAsia"/>
          <w:color w:val="auto"/>
        </w:rPr>
        <w:t>六项指标进行计算，泾源县污染指数</w:t>
      </w:r>
      <w:r>
        <w:rPr>
          <w:rFonts w:hint="eastAsia" w:cs="Times New Roman" w:asciiTheme="minorEastAsia" w:hAnsiTheme="minorEastAsia" w:eastAsiaTheme="minorEastAsia"/>
          <w:color w:val="auto"/>
        </w:rPr>
        <w:t>1.77，相对环境质量最好排第一，其次为隆德县、西吉县、彭阳县，原州区排最后。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Start w:id="95" w:name="_Toc421799427"/>
    </w:p>
    <w:p>
      <w:pPr>
        <w:rPr>
          <w:rFonts w:asciiTheme="minorEastAsia" w:hAnsiTheme="minorEastAsia" w:eastAsiaTheme="minorEastAsia"/>
          <w:bCs/>
          <w:spacing w:val="-4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701" w:bottom="1701" w:left="1701" w:header="851" w:footer="1134" w:gutter="0"/>
          <w:cols w:space="425" w:num="1"/>
          <w:docGrid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bCs/>
          <w:snapToGrid w:val="0"/>
          <w:kern w:val="0"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 xml:space="preserve">表1-2     出境断面主要监测数据统计表       </w:t>
      </w:r>
    </w:p>
    <w:tbl>
      <w:tblPr>
        <w:tblStyle w:val="37"/>
        <w:tblW w:w="134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57"/>
        <w:gridCol w:w="1213"/>
        <w:gridCol w:w="1213"/>
        <w:gridCol w:w="1213"/>
        <w:gridCol w:w="1213"/>
        <w:gridCol w:w="1221"/>
        <w:gridCol w:w="1213"/>
        <w:gridCol w:w="1213"/>
        <w:gridCol w:w="816"/>
        <w:gridCol w:w="11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月份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出境断面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溶解氧(mg/L)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高锰酸盐指数(mg/L)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五日生化需氧量(mg/L)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氨氮(mg/L)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化学需氧量(mg/L)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总磷(mg/L)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氟化物(mg/L)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水质类别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根据要求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,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沟圈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F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本底除外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</w:rPr>
              <w:t>《地表水环境质量标准》GB3838-2002标准限值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Ⅰ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7.5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Ⅱ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Ⅳ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Ⅴ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玉桥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6.50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3.60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2.80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0.86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Ⅲ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弹筝峡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7.40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1.40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1.40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0.23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0.80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0.48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1.28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沟圈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7.50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2.50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2.20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0.77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联财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6.80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2.80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1.70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0.26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0.51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1-9月平均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玉桥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8.08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2.15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1.78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12.88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0.91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弹筝峡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8.85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1.53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1.57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0.24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8.13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0.34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7.44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4.03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2.43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0.38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23.14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沟圈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7.83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2.89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2.18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0.50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14.50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联财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8.31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2.97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1.85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0.20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13.88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0.63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3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第三方共监测电导率、水温、pH值、溶解氧、透明度、盐度、COD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bscript"/>
              </w:rPr>
              <w:t>Mn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、COD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bscript"/>
              </w:rPr>
              <w:t>Cr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、NH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bscript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-N、T-P、T-N、Cu、Zn、Pb、Cd、BOD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bscript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、T-As、T-Se、T-Hg、Cr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perscript"/>
              </w:rPr>
              <w:t>6+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、F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perscript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、CN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perscript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、挥发酚、石油类、LAS、S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perscript"/>
              </w:rPr>
              <w:t>2-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、Chla、NO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perscript"/>
              </w:rPr>
              <w:t>3-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、NO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perscript"/>
              </w:rPr>
              <w:t>2-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流量30项，其中未检出或者监测值达到《地表水环境质量标准》GB3838-2002中Ⅱ类水标准限值的指标未统计，仅对主要污染物溶解氧、高锰酸盐指数、五日生化需氧量、氨氮、化学需氧量、总磷、氟化物7项指标进行统计。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bCs/>
          <w:snapToGrid w:val="0"/>
          <w:kern w:val="0"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表2-1      主要环境质量数据统计</w:t>
      </w:r>
    </w:p>
    <w:bookmarkEnd w:id="95"/>
    <w:tbl>
      <w:tblPr>
        <w:tblStyle w:val="37"/>
        <w:tblW w:w="14232" w:type="dxa"/>
        <w:jc w:val="center"/>
        <w:tblInd w:w="-2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110"/>
        <w:gridCol w:w="568"/>
        <w:gridCol w:w="766"/>
        <w:gridCol w:w="766"/>
        <w:gridCol w:w="766"/>
        <w:gridCol w:w="1066"/>
        <w:gridCol w:w="766"/>
        <w:gridCol w:w="766"/>
        <w:gridCol w:w="816"/>
        <w:gridCol w:w="816"/>
        <w:gridCol w:w="716"/>
        <w:gridCol w:w="418"/>
        <w:gridCol w:w="418"/>
        <w:gridCol w:w="418"/>
        <w:gridCol w:w="418"/>
        <w:gridCol w:w="418"/>
        <w:gridCol w:w="418"/>
        <w:gridCol w:w="517"/>
        <w:gridCol w:w="566"/>
        <w:gridCol w:w="418"/>
        <w:gridCol w:w="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时间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指标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污染指数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二氧化硫（μg/m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二氧化氮（μg/m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可吸入颗粒物（μg/m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一氧化碳95Per（mg/m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臭氧90Per（μg/m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细颗粒物（μg/m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）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总天数（天）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有效监测天数（天）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优良天数比率（%）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其中：（天）</w:t>
            </w: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首要污染物（天）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良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轻度污染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中度污染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重度污染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严重污染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PM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bscript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PM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bscript"/>
              </w:rPr>
              <w:t>2.5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O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bscript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2017-09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宋三简体" w:hAnsi="宋体" w:eastAsia="方正宋三简体" w:cs="宋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原州区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3.79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78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彭阳县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2.68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西吉县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2.68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泾源县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2.60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1.2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隆德县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3.22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4.3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93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2018-08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宋三简体" w:hAnsi="宋体" w:eastAsia="方正宋三简体" w:cs="宋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原州区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3.01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彭阳县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2.19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西吉县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2.39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0.7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泾源县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1.88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隆德县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2.13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0.9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2018-09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宋三简体" w:hAnsi="宋体" w:eastAsia="方正宋三简体" w:cs="宋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原州区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2.70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rFonts w:hint="eastAsia"/>
                <w:sz w:val="20"/>
                <w:szCs w:val="10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rFonts w:hint="eastAsia"/>
                <w:sz w:val="20"/>
                <w:szCs w:val="1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彭阳县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2.35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0.9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西吉县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2.32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0.7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泾源县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1.77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隆德县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1.80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96"/>
    <w:sectPr>
      <w:headerReference r:id="rId6" w:type="default"/>
      <w:footerReference r:id="rId7" w:type="default"/>
      <w:footerReference r:id="rId8" w:type="even"/>
      <w:pgSz w:w="16838" w:h="11906" w:orient="landscape"/>
      <w:pgMar w:top="1701" w:right="1701" w:bottom="1701" w:left="1701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jc w:val="center"/>
      <w:rPr>
        <w:rStyle w:val="32"/>
        <w:sz w:val="24"/>
        <w:szCs w:val="24"/>
      </w:rPr>
    </w:pPr>
    <w:r>
      <w:rPr>
        <w:rStyle w:val="32"/>
        <w:sz w:val="24"/>
        <w:szCs w:val="24"/>
      </w:rPr>
      <w:t xml:space="preserve">— </w:t>
    </w:r>
    <w:r>
      <w:rPr>
        <w:rStyle w:val="32"/>
        <w:sz w:val="24"/>
        <w:szCs w:val="24"/>
      </w:rPr>
      <w:fldChar w:fldCharType="begin"/>
    </w:r>
    <w:r>
      <w:rPr>
        <w:rStyle w:val="32"/>
        <w:sz w:val="24"/>
        <w:szCs w:val="24"/>
      </w:rPr>
      <w:instrText xml:space="preserve">PAGE  </w:instrText>
    </w:r>
    <w:r>
      <w:rPr>
        <w:rStyle w:val="32"/>
        <w:sz w:val="24"/>
        <w:szCs w:val="24"/>
      </w:rPr>
      <w:fldChar w:fldCharType="separate"/>
    </w:r>
    <w:r>
      <w:rPr>
        <w:rStyle w:val="32"/>
        <w:sz w:val="24"/>
        <w:szCs w:val="24"/>
      </w:rPr>
      <w:t>1</w:t>
    </w:r>
    <w:r>
      <w:rPr>
        <w:rStyle w:val="32"/>
        <w:sz w:val="24"/>
        <w:szCs w:val="24"/>
      </w:rPr>
      <w:fldChar w:fldCharType="end"/>
    </w:r>
    <w:r>
      <w:rPr>
        <w:rStyle w:val="32"/>
        <w:sz w:val="24"/>
        <w:szCs w:val="24"/>
      </w:rPr>
      <w:t xml:space="preserve"> —</w:t>
    </w:r>
  </w:p>
  <w:p>
    <w:pPr>
      <w:pStyle w:val="18"/>
      <w:jc w:val="center"/>
    </w:pPr>
  </w:p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32"/>
      </w:rPr>
    </w:pPr>
    <w:r>
      <w:rPr>
        <w:rStyle w:val="32"/>
      </w:rPr>
      <w:fldChar w:fldCharType="begin"/>
    </w:r>
    <w:r>
      <w:rPr>
        <w:rStyle w:val="32"/>
      </w:rPr>
      <w:instrText xml:space="preserve">PAGE  </w:instrText>
    </w:r>
    <w:r>
      <w:rPr>
        <w:rStyle w:val="32"/>
      </w:rPr>
      <w:fldChar w:fldCharType="end"/>
    </w:r>
  </w:p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jc w:val="center"/>
      <w:rPr>
        <w:rStyle w:val="32"/>
        <w:sz w:val="24"/>
        <w:szCs w:val="24"/>
      </w:rPr>
    </w:pPr>
    <w:r>
      <w:rPr>
        <w:rStyle w:val="32"/>
        <w:sz w:val="24"/>
        <w:szCs w:val="24"/>
      </w:rPr>
      <w:t xml:space="preserve">— </w:t>
    </w:r>
    <w:r>
      <w:rPr>
        <w:rStyle w:val="32"/>
        <w:sz w:val="24"/>
        <w:szCs w:val="24"/>
      </w:rPr>
      <w:fldChar w:fldCharType="begin"/>
    </w:r>
    <w:r>
      <w:rPr>
        <w:rStyle w:val="32"/>
        <w:sz w:val="24"/>
        <w:szCs w:val="24"/>
      </w:rPr>
      <w:instrText xml:space="preserve">PAGE  </w:instrText>
    </w:r>
    <w:r>
      <w:rPr>
        <w:rStyle w:val="32"/>
        <w:sz w:val="24"/>
        <w:szCs w:val="24"/>
      </w:rPr>
      <w:fldChar w:fldCharType="separate"/>
    </w:r>
    <w:r>
      <w:rPr>
        <w:rStyle w:val="32"/>
        <w:sz w:val="24"/>
        <w:szCs w:val="24"/>
      </w:rPr>
      <w:t>7</w:t>
    </w:r>
    <w:r>
      <w:rPr>
        <w:rStyle w:val="32"/>
        <w:sz w:val="24"/>
        <w:szCs w:val="24"/>
      </w:rPr>
      <w:fldChar w:fldCharType="end"/>
    </w:r>
    <w:r>
      <w:rPr>
        <w:rStyle w:val="32"/>
        <w:sz w:val="24"/>
        <w:szCs w:val="24"/>
      </w:rPr>
      <w:t xml:space="preserve"> —</w:t>
    </w:r>
  </w:p>
  <w:p>
    <w:pPr>
      <w:pStyle w:val="18"/>
      <w:jc w:val="center"/>
    </w:pPr>
  </w:p>
  <w:p>
    <w:pPr>
      <w:pStyle w:val="1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32"/>
      </w:rPr>
    </w:pPr>
    <w:r>
      <w:rPr>
        <w:rStyle w:val="32"/>
      </w:rPr>
      <w:fldChar w:fldCharType="begin"/>
    </w:r>
    <w:r>
      <w:rPr>
        <w:rStyle w:val="32"/>
      </w:rPr>
      <w:instrText xml:space="preserve">PAGE  </w:instrText>
    </w:r>
    <w:r>
      <w:rPr>
        <w:rStyle w:val="32"/>
      </w:rPr>
      <w:fldChar w:fldCharType="end"/>
    </w:r>
  </w:p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258"/>
    <w:rsid w:val="000208F0"/>
    <w:rsid w:val="00020E22"/>
    <w:rsid w:val="00022898"/>
    <w:rsid w:val="0002300C"/>
    <w:rsid w:val="00023293"/>
    <w:rsid w:val="00023E3E"/>
    <w:rsid w:val="00024308"/>
    <w:rsid w:val="00024491"/>
    <w:rsid w:val="00024952"/>
    <w:rsid w:val="00025C5D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38CF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51F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03BB"/>
    <w:rsid w:val="00051D09"/>
    <w:rsid w:val="000523D8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3EBB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660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135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20D"/>
    <w:rsid w:val="000C14E9"/>
    <w:rsid w:val="000C1515"/>
    <w:rsid w:val="000C1595"/>
    <w:rsid w:val="000C1AE0"/>
    <w:rsid w:val="000C1B48"/>
    <w:rsid w:val="000C25C1"/>
    <w:rsid w:val="000C2BD7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171A"/>
    <w:rsid w:val="000D267E"/>
    <w:rsid w:val="000D3E1A"/>
    <w:rsid w:val="000D429B"/>
    <w:rsid w:val="000D430D"/>
    <w:rsid w:val="000D50D8"/>
    <w:rsid w:val="000D5A3D"/>
    <w:rsid w:val="000D6101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2161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1EA2"/>
    <w:rsid w:val="00122AAE"/>
    <w:rsid w:val="00122FB4"/>
    <w:rsid w:val="00124D66"/>
    <w:rsid w:val="0012583D"/>
    <w:rsid w:val="001261DB"/>
    <w:rsid w:val="0012692A"/>
    <w:rsid w:val="001273F4"/>
    <w:rsid w:val="00127557"/>
    <w:rsid w:val="00130A7C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5EB"/>
    <w:rsid w:val="00165CEF"/>
    <w:rsid w:val="0016659A"/>
    <w:rsid w:val="0016694D"/>
    <w:rsid w:val="00166E17"/>
    <w:rsid w:val="00167373"/>
    <w:rsid w:val="00167738"/>
    <w:rsid w:val="00170C9D"/>
    <w:rsid w:val="00171193"/>
    <w:rsid w:val="001717BB"/>
    <w:rsid w:val="001719BD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7B0"/>
    <w:rsid w:val="001B2B8F"/>
    <w:rsid w:val="001B3362"/>
    <w:rsid w:val="001B3508"/>
    <w:rsid w:val="001B3647"/>
    <w:rsid w:val="001B3AAC"/>
    <w:rsid w:val="001B4F6D"/>
    <w:rsid w:val="001B68CA"/>
    <w:rsid w:val="001C12D6"/>
    <w:rsid w:val="001C1495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64AD"/>
    <w:rsid w:val="001C6A93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013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3B3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6BE6"/>
    <w:rsid w:val="002376AE"/>
    <w:rsid w:val="00237757"/>
    <w:rsid w:val="002401AD"/>
    <w:rsid w:val="0024213D"/>
    <w:rsid w:val="00242302"/>
    <w:rsid w:val="00243E43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A3E"/>
    <w:rsid w:val="00256E0F"/>
    <w:rsid w:val="00256F7F"/>
    <w:rsid w:val="00257DF8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6E7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1C84"/>
    <w:rsid w:val="002B2B2A"/>
    <w:rsid w:val="002B4409"/>
    <w:rsid w:val="002B5805"/>
    <w:rsid w:val="002B7C94"/>
    <w:rsid w:val="002C16FB"/>
    <w:rsid w:val="002C1755"/>
    <w:rsid w:val="002C2960"/>
    <w:rsid w:val="002C35E6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20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4EB3"/>
    <w:rsid w:val="002F5612"/>
    <w:rsid w:val="002F5A9A"/>
    <w:rsid w:val="002F70F3"/>
    <w:rsid w:val="00300ADD"/>
    <w:rsid w:val="00301319"/>
    <w:rsid w:val="00301627"/>
    <w:rsid w:val="00302199"/>
    <w:rsid w:val="003021D4"/>
    <w:rsid w:val="00302D4C"/>
    <w:rsid w:val="003032E3"/>
    <w:rsid w:val="00303D6E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4F5A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610"/>
    <w:rsid w:val="00334ADC"/>
    <w:rsid w:val="00334D0A"/>
    <w:rsid w:val="00334D68"/>
    <w:rsid w:val="00335605"/>
    <w:rsid w:val="00335891"/>
    <w:rsid w:val="003359B3"/>
    <w:rsid w:val="00335B30"/>
    <w:rsid w:val="00337988"/>
    <w:rsid w:val="00337A68"/>
    <w:rsid w:val="00340740"/>
    <w:rsid w:val="0034205A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4BBA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49F3"/>
    <w:rsid w:val="0037603A"/>
    <w:rsid w:val="003773C6"/>
    <w:rsid w:val="0037795C"/>
    <w:rsid w:val="00377AD6"/>
    <w:rsid w:val="00377EC5"/>
    <w:rsid w:val="0038028F"/>
    <w:rsid w:val="0038059F"/>
    <w:rsid w:val="0038226B"/>
    <w:rsid w:val="0038299B"/>
    <w:rsid w:val="00382E18"/>
    <w:rsid w:val="003848AE"/>
    <w:rsid w:val="003862F4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6D9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1138"/>
    <w:rsid w:val="003C2039"/>
    <w:rsid w:val="003C20F8"/>
    <w:rsid w:val="003C47B5"/>
    <w:rsid w:val="003C4BF7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38E"/>
    <w:rsid w:val="003F1814"/>
    <w:rsid w:val="003F18AB"/>
    <w:rsid w:val="003F18E7"/>
    <w:rsid w:val="003F1C9C"/>
    <w:rsid w:val="003F2412"/>
    <w:rsid w:val="003F3703"/>
    <w:rsid w:val="003F3F06"/>
    <w:rsid w:val="003F4B00"/>
    <w:rsid w:val="003F5780"/>
    <w:rsid w:val="003F5B18"/>
    <w:rsid w:val="003F7C16"/>
    <w:rsid w:val="00400E5A"/>
    <w:rsid w:val="00401EC5"/>
    <w:rsid w:val="00402335"/>
    <w:rsid w:val="00403087"/>
    <w:rsid w:val="00405C4A"/>
    <w:rsid w:val="0040610E"/>
    <w:rsid w:val="0040677B"/>
    <w:rsid w:val="00411CED"/>
    <w:rsid w:val="00412F3C"/>
    <w:rsid w:val="004134B7"/>
    <w:rsid w:val="00413885"/>
    <w:rsid w:val="00413EFB"/>
    <w:rsid w:val="00414316"/>
    <w:rsid w:val="004143A4"/>
    <w:rsid w:val="0041533D"/>
    <w:rsid w:val="00415647"/>
    <w:rsid w:val="00415D46"/>
    <w:rsid w:val="00415F22"/>
    <w:rsid w:val="004171E1"/>
    <w:rsid w:val="0041743B"/>
    <w:rsid w:val="004177AD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48F1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1B6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2A79"/>
    <w:rsid w:val="004733C0"/>
    <w:rsid w:val="004733CC"/>
    <w:rsid w:val="00473670"/>
    <w:rsid w:val="004741C1"/>
    <w:rsid w:val="00474C2D"/>
    <w:rsid w:val="00475D59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CB9"/>
    <w:rsid w:val="00486E2C"/>
    <w:rsid w:val="00487117"/>
    <w:rsid w:val="00490F66"/>
    <w:rsid w:val="004913B5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0CDB"/>
    <w:rsid w:val="004D1B5E"/>
    <w:rsid w:val="004D1F58"/>
    <w:rsid w:val="004D3309"/>
    <w:rsid w:val="004D5AB0"/>
    <w:rsid w:val="004D6102"/>
    <w:rsid w:val="004D7AC2"/>
    <w:rsid w:val="004D7D3B"/>
    <w:rsid w:val="004E0F5D"/>
    <w:rsid w:val="004E0FC0"/>
    <w:rsid w:val="004E2436"/>
    <w:rsid w:val="004E3251"/>
    <w:rsid w:val="004E55E1"/>
    <w:rsid w:val="004E5735"/>
    <w:rsid w:val="004E57DF"/>
    <w:rsid w:val="004E5D76"/>
    <w:rsid w:val="004E73FB"/>
    <w:rsid w:val="004E7764"/>
    <w:rsid w:val="004E78B1"/>
    <w:rsid w:val="004F0542"/>
    <w:rsid w:val="004F0F8D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0EA4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2536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2E2B"/>
    <w:rsid w:val="0054323A"/>
    <w:rsid w:val="00544035"/>
    <w:rsid w:val="00544210"/>
    <w:rsid w:val="00544EBB"/>
    <w:rsid w:val="00550323"/>
    <w:rsid w:val="00550FEA"/>
    <w:rsid w:val="005511D6"/>
    <w:rsid w:val="0055191B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296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45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0D56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1DC"/>
    <w:rsid w:val="005F7205"/>
    <w:rsid w:val="005F73AA"/>
    <w:rsid w:val="006001E5"/>
    <w:rsid w:val="00600DAE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27A80"/>
    <w:rsid w:val="00630770"/>
    <w:rsid w:val="00630DE9"/>
    <w:rsid w:val="0063137B"/>
    <w:rsid w:val="00631B56"/>
    <w:rsid w:val="006321A3"/>
    <w:rsid w:val="00632225"/>
    <w:rsid w:val="00632CA0"/>
    <w:rsid w:val="00633010"/>
    <w:rsid w:val="0063312A"/>
    <w:rsid w:val="006339F1"/>
    <w:rsid w:val="00633A2D"/>
    <w:rsid w:val="00633D28"/>
    <w:rsid w:val="00634028"/>
    <w:rsid w:val="0063479E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2FF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62C4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6716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5BF"/>
    <w:rsid w:val="007147A3"/>
    <w:rsid w:val="007156D7"/>
    <w:rsid w:val="007164A3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4B0F"/>
    <w:rsid w:val="007355DF"/>
    <w:rsid w:val="007374AD"/>
    <w:rsid w:val="007376EA"/>
    <w:rsid w:val="007377FC"/>
    <w:rsid w:val="00740075"/>
    <w:rsid w:val="00741E4D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4DA1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4FCF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00"/>
    <w:rsid w:val="00797AE1"/>
    <w:rsid w:val="007A00B2"/>
    <w:rsid w:val="007A0B43"/>
    <w:rsid w:val="007A0CDA"/>
    <w:rsid w:val="007A2258"/>
    <w:rsid w:val="007A2B55"/>
    <w:rsid w:val="007A4F68"/>
    <w:rsid w:val="007A610F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029F"/>
    <w:rsid w:val="007C02C4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22A2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423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602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0D57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406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1A37"/>
    <w:rsid w:val="00892046"/>
    <w:rsid w:val="00892A96"/>
    <w:rsid w:val="00892E3F"/>
    <w:rsid w:val="00892F9D"/>
    <w:rsid w:val="00896357"/>
    <w:rsid w:val="00896803"/>
    <w:rsid w:val="00896A9A"/>
    <w:rsid w:val="00896AC1"/>
    <w:rsid w:val="00896E04"/>
    <w:rsid w:val="00896FA6"/>
    <w:rsid w:val="00897197"/>
    <w:rsid w:val="008A1C4B"/>
    <w:rsid w:val="008A1DF8"/>
    <w:rsid w:val="008A353A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73D"/>
    <w:rsid w:val="008C5BD5"/>
    <w:rsid w:val="008C688A"/>
    <w:rsid w:val="008C7F8F"/>
    <w:rsid w:val="008D03C6"/>
    <w:rsid w:val="008D040C"/>
    <w:rsid w:val="008D0ABB"/>
    <w:rsid w:val="008D1234"/>
    <w:rsid w:val="008D17B5"/>
    <w:rsid w:val="008D3C0D"/>
    <w:rsid w:val="008D4B8A"/>
    <w:rsid w:val="008D53AD"/>
    <w:rsid w:val="008D71AB"/>
    <w:rsid w:val="008D7B29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07D23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49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525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61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3F3A"/>
    <w:rsid w:val="009644FA"/>
    <w:rsid w:val="009648DC"/>
    <w:rsid w:val="00964C2D"/>
    <w:rsid w:val="00966656"/>
    <w:rsid w:val="00970639"/>
    <w:rsid w:val="009722A7"/>
    <w:rsid w:val="00972643"/>
    <w:rsid w:val="00974371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007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481E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3803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5BD9"/>
    <w:rsid w:val="00A070BE"/>
    <w:rsid w:val="00A07319"/>
    <w:rsid w:val="00A075BC"/>
    <w:rsid w:val="00A10EA7"/>
    <w:rsid w:val="00A1180D"/>
    <w:rsid w:val="00A121D5"/>
    <w:rsid w:val="00A12320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0699"/>
    <w:rsid w:val="00A24000"/>
    <w:rsid w:val="00A266E6"/>
    <w:rsid w:val="00A27CB7"/>
    <w:rsid w:val="00A27ED9"/>
    <w:rsid w:val="00A305B7"/>
    <w:rsid w:val="00A307AE"/>
    <w:rsid w:val="00A3141C"/>
    <w:rsid w:val="00A31782"/>
    <w:rsid w:val="00A32977"/>
    <w:rsid w:val="00A339C1"/>
    <w:rsid w:val="00A341BB"/>
    <w:rsid w:val="00A34326"/>
    <w:rsid w:val="00A357E9"/>
    <w:rsid w:val="00A3745F"/>
    <w:rsid w:val="00A37C1E"/>
    <w:rsid w:val="00A40849"/>
    <w:rsid w:val="00A41210"/>
    <w:rsid w:val="00A41EED"/>
    <w:rsid w:val="00A422DB"/>
    <w:rsid w:val="00A42CFB"/>
    <w:rsid w:val="00A44085"/>
    <w:rsid w:val="00A4496E"/>
    <w:rsid w:val="00A45785"/>
    <w:rsid w:val="00A46471"/>
    <w:rsid w:val="00A47439"/>
    <w:rsid w:val="00A478C5"/>
    <w:rsid w:val="00A50E2B"/>
    <w:rsid w:val="00A52172"/>
    <w:rsid w:val="00A54627"/>
    <w:rsid w:val="00A54900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2A22"/>
    <w:rsid w:val="00A64F9C"/>
    <w:rsid w:val="00A65CD9"/>
    <w:rsid w:val="00A66280"/>
    <w:rsid w:val="00A663C7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06A2"/>
    <w:rsid w:val="00A81049"/>
    <w:rsid w:val="00A82D4D"/>
    <w:rsid w:val="00A841C1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A3C"/>
    <w:rsid w:val="00AA0CBA"/>
    <w:rsid w:val="00AA0E6C"/>
    <w:rsid w:val="00AA0FA5"/>
    <w:rsid w:val="00AA10DA"/>
    <w:rsid w:val="00AA127D"/>
    <w:rsid w:val="00AA352F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1C7E"/>
    <w:rsid w:val="00AB2C12"/>
    <w:rsid w:val="00AB40C3"/>
    <w:rsid w:val="00AB416F"/>
    <w:rsid w:val="00AB5923"/>
    <w:rsid w:val="00AB72FD"/>
    <w:rsid w:val="00AB7B2E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CC9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6B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298E"/>
    <w:rsid w:val="00B23D68"/>
    <w:rsid w:val="00B25237"/>
    <w:rsid w:val="00B25A5D"/>
    <w:rsid w:val="00B25D64"/>
    <w:rsid w:val="00B25D7A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B8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1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6C98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5DD7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B6BEC"/>
    <w:rsid w:val="00BB6FB0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3BDF"/>
    <w:rsid w:val="00C14252"/>
    <w:rsid w:val="00C150FC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0881"/>
    <w:rsid w:val="00C71321"/>
    <w:rsid w:val="00C7174E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0A7"/>
    <w:rsid w:val="00C81737"/>
    <w:rsid w:val="00C81DE7"/>
    <w:rsid w:val="00C831A4"/>
    <w:rsid w:val="00C8355C"/>
    <w:rsid w:val="00C8424F"/>
    <w:rsid w:val="00C875E5"/>
    <w:rsid w:val="00C912D6"/>
    <w:rsid w:val="00C91A1A"/>
    <w:rsid w:val="00C92417"/>
    <w:rsid w:val="00C94C74"/>
    <w:rsid w:val="00C957CB"/>
    <w:rsid w:val="00C96F40"/>
    <w:rsid w:val="00CA1D16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2D27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6F80"/>
    <w:rsid w:val="00CD78F2"/>
    <w:rsid w:val="00CE02BE"/>
    <w:rsid w:val="00CE0CFC"/>
    <w:rsid w:val="00CE0FCE"/>
    <w:rsid w:val="00CE1B0E"/>
    <w:rsid w:val="00CE2AB9"/>
    <w:rsid w:val="00CE3AF4"/>
    <w:rsid w:val="00CE6B6A"/>
    <w:rsid w:val="00CE766C"/>
    <w:rsid w:val="00CE7883"/>
    <w:rsid w:val="00CF0599"/>
    <w:rsid w:val="00CF05E6"/>
    <w:rsid w:val="00CF0FC7"/>
    <w:rsid w:val="00CF1112"/>
    <w:rsid w:val="00CF18D1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3C0A"/>
    <w:rsid w:val="00D03FBE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4418"/>
    <w:rsid w:val="00D15A1D"/>
    <w:rsid w:val="00D15D65"/>
    <w:rsid w:val="00D1725C"/>
    <w:rsid w:val="00D20581"/>
    <w:rsid w:val="00D20BFA"/>
    <w:rsid w:val="00D2131F"/>
    <w:rsid w:val="00D217C4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328"/>
    <w:rsid w:val="00D43C21"/>
    <w:rsid w:val="00D44578"/>
    <w:rsid w:val="00D45A2B"/>
    <w:rsid w:val="00D4779C"/>
    <w:rsid w:val="00D51860"/>
    <w:rsid w:val="00D51B0E"/>
    <w:rsid w:val="00D52F58"/>
    <w:rsid w:val="00D533A7"/>
    <w:rsid w:val="00D53750"/>
    <w:rsid w:val="00D540FB"/>
    <w:rsid w:val="00D553D4"/>
    <w:rsid w:val="00D55EAA"/>
    <w:rsid w:val="00D56664"/>
    <w:rsid w:val="00D611E0"/>
    <w:rsid w:val="00D61854"/>
    <w:rsid w:val="00D61B2E"/>
    <w:rsid w:val="00D62748"/>
    <w:rsid w:val="00D637FF"/>
    <w:rsid w:val="00D64423"/>
    <w:rsid w:val="00D64B66"/>
    <w:rsid w:val="00D651A0"/>
    <w:rsid w:val="00D65A3B"/>
    <w:rsid w:val="00D661FC"/>
    <w:rsid w:val="00D66612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3EF2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35A7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AA"/>
    <w:rsid w:val="00DF02FC"/>
    <w:rsid w:val="00DF0653"/>
    <w:rsid w:val="00DF073A"/>
    <w:rsid w:val="00DF0D8B"/>
    <w:rsid w:val="00DF1453"/>
    <w:rsid w:val="00DF2B4E"/>
    <w:rsid w:val="00DF400E"/>
    <w:rsid w:val="00DF58ED"/>
    <w:rsid w:val="00DF6128"/>
    <w:rsid w:val="00DF6A09"/>
    <w:rsid w:val="00DF7065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177B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645"/>
    <w:rsid w:val="00E43DDA"/>
    <w:rsid w:val="00E43F3F"/>
    <w:rsid w:val="00E447EF"/>
    <w:rsid w:val="00E4527D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15BF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97ECD"/>
    <w:rsid w:val="00EA00E5"/>
    <w:rsid w:val="00EA0949"/>
    <w:rsid w:val="00EA0BF8"/>
    <w:rsid w:val="00EA1C80"/>
    <w:rsid w:val="00EA1FB5"/>
    <w:rsid w:val="00EA2127"/>
    <w:rsid w:val="00EA2929"/>
    <w:rsid w:val="00EA2E32"/>
    <w:rsid w:val="00EA4BC6"/>
    <w:rsid w:val="00EA5D63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07DC0"/>
    <w:rsid w:val="00F10981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056"/>
    <w:rsid w:val="00F451FD"/>
    <w:rsid w:val="00F4586F"/>
    <w:rsid w:val="00F47C67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1A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83EF5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01E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522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2B37"/>
    <w:rsid w:val="00FB46A9"/>
    <w:rsid w:val="00FB4C61"/>
    <w:rsid w:val="00FB4FBC"/>
    <w:rsid w:val="00FB5692"/>
    <w:rsid w:val="00FB5A7B"/>
    <w:rsid w:val="00FB6632"/>
    <w:rsid w:val="00FB68EC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C7DCC"/>
    <w:rsid w:val="00FD0827"/>
    <w:rsid w:val="00FD0FBC"/>
    <w:rsid w:val="00FD1114"/>
    <w:rsid w:val="00FD2226"/>
    <w:rsid w:val="00FD2558"/>
    <w:rsid w:val="00FD257D"/>
    <w:rsid w:val="00FD3128"/>
    <w:rsid w:val="00FD4001"/>
    <w:rsid w:val="00FD6B0B"/>
    <w:rsid w:val="00FD7362"/>
    <w:rsid w:val="00FE05DB"/>
    <w:rsid w:val="00FE0B76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6C32C6D"/>
    <w:rsid w:val="07091BD9"/>
    <w:rsid w:val="07F94514"/>
    <w:rsid w:val="08393F6E"/>
    <w:rsid w:val="08B25362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07005FA"/>
    <w:rsid w:val="11972D7B"/>
    <w:rsid w:val="11A14DAA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2A7225"/>
    <w:rsid w:val="2E2C28F1"/>
    <w:rsid w:val="2E55544C"/>
    <w:rsid w:val="2EA667C4"/>
    <w:rsid w:val="2F1538FF"/>
    <w:rsid w:val="2F693A41"/>
    <w:rsid w:val="2F8B6CFB"/>
    <w:rsid w:val="30A1765D"/>
    <w:rsid w:val="320C63F3"/>
    <w:rsid w:val="32A31961"/>
    <w:rsid w:val="32FA6708"/>
    <w:rsid w:val="33760347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4A6DD1"/>
    <w:rsid w:val="3B6925DE"/>
    <w:rsid w:val="3BDD2B78"/>
    <w:rsid w:val="3BE63C13"/>
    <w:rsid w:val="3C145EE5"/>
    <w:rsid w:val="3D9E7C11"/>
    <w:rsid w:val="3DD04C6F"/>
    <w:rsid w:val="3E3651B8"/>
    <w:rsid w:val="3E9E4385"/>
    <w:rsid w:val="3ECD6DA5"/>
    <w:rsid w:val="3F271FEA"/>
    <w:rsid w:val="4050757C"/>
    <w:rsid w:val="4053032D"/>
    <w:rsid w:val="41D84C14"/>
    <w:rsid w:val="422C323F"/>
    <w:rsid w:val="431E184B"/>
    <w:rsid w:val="43366EA3"/>
    <w:rsid w:val="45D17CB2"/>
    <w:rsid w:val="467A5BA4"/>
    <w:rsid w:val="481757ED"/>
    <w:rsid w:val="483B50A2"/>
    <w:rsid w:val="48DE4AED"/>
    <w:rsid w:val="49FA1E49"/>
    <w:rsid w:val="4A7540A1"/>
    <w:rsid w:val="4AA5060F"/>
    <w:rsid w:val="4B3E3B52"/>
    <w:rsid w:val="4B65680A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50536DDD"/>
    <w:rsid w:val="518F068A"/>
    <w:rsid w:val="527F58CB"/>
    <w:rsid w:val="528E650B"/>
    <w:rsid w:val="52B13834"/>
    <w:rsid w:val="52CC7A7E"/>
    <w:rsid w:val="53120305"/>
    <w:rsid w:val="54352147"/>
    <w:rsid w:val="54CF2597"/>
    <w:rsid w:val="556434F6"/>
    <w:rsid w:val="566574FA"/>
    <w:rsid w:val="571C79AC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3A148C"/>
    <w:rsid w:val="5EE77E5D"/>
    <w:rsid w:val="5F5A2B23"/>
    <w:rsid w:val="60C05982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A2C4344"/>
    <w:rsid w:val="6AFF190A"/>
    <w:rsid w:val="6B60297D"/>
    <w:rsid w:val="6C405377"/>
    <w:rsid w:val="6C4C037F"/>
    <w:rsid w:val="6E0F2FA9"/>
    <w:rsid w:val="6E896D2C"/>
    <w:rsid w:val="6ED2215A"/>
    <w:rsid w:val="6F3E51D9"/>
    <w:rsid w:val="70E33222"/>
    <w:rsid w:val="71750D6A"/>
    <w:rsid w:val="718E0DBC"/>
    <w:rsid w:val="7205587C"/>
    <w:rsid w:val="73587B8E"/>
    <w:rsid w:val="7536098E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qFormat="1"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unhideWhenUsed="0" w:uiPriority="99" w:semiHidden="0" w:name="Body Text Indent 2"/>
    <w:lsdException w:unhideWhenUsed="0" w:uiPriority="99" w:semiHidden="0" w:name="Body Text Indent 3"/>
    <w:lsdException w:uiPriority="99" w:name="Block Text" w:locked="1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nhideWhenUsed="0" w:uiPriority="99" w:semiHidden="0" w:name="Document Map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qFormat="1" w:unhideWhenUsed="0" w:uiPriority="99" w:semiHidden="0" w:name="Table Classic 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1"/>
    <w:qFormat/>
    <w:uiPriority w:val="99"/>
    <w:pPr>
      <w:keepNext/>
      <w:keepLines/>
      <w:spacing w:before="240" w:after="120" w:line="360" w:lineRule="auto"/>
      <w:outlineLvl w:val="1"/>
    </w:pPr>
    <w:rPr>
      <w:rFonts w:ascii="Arial" w:hAnsi="Arial" w:eastAsia="创艺简标宋"/>
      <w:b/>
      <w:bCs/>
      <w:sz w:val="32"/>
      <w:szCs w:val="32"/>
    </w:rPr>
  </w:style>
  <w:style w:type="paragraph" w:styleId="4">
    <w:name w:val="heading 3"/>
    <w:basedOn w:val="1"/>
    <w:next w:val="1"/>
    <w:link w:val="4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3"/>
    <w:qFormat/>
    <w:uiPriority w:val="99"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30">
    <w:name w:val="Default Paragraph Font"/>
    <w:semiHidden/>
    <w:unhideWhenUsed/>
    <w:uiPriority w:val="1"/>
  </w:style>
  <w:style w:type="table" w:default="1" w:styleId="3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45"/>
    <w:uiPriority w:val="99"/>
    <w:rPr>
      <w:b/>
      <w:bCs/>
    </w:rPr>
  </w:style>
  <w:style w:type="paragraph" w:styleId="7">
    <w:name w:val="annotation text"/>
    <w:basedOn w:val="1"/>
    <w:link w:val="44"/>
    <w:qFormat/>
    <w:uiPriority w:val="99"/>
    <w:pPr>
      <w:jc w:val="left"/>
    </w:pPr>
    <w:rPr>
      <w:kern w:val="0"/>
      <w:sz w:val="24"/>
    </w:rPr>
  </w:style>
  <w:style w:type="paragraph" w:styleId="8">
    <w:name w:val="Normal Indent"/>
    <w:basedOn w:val="1"/>
    <w:qFormat/>
    <w:uiPriority w:val="99"/>
    <w:pPr>
      <w:ind w:firstLine="420" w:firstLineChars="200"/>
    </w:pPr>
  </w:style>
  <w:style w:type="paragraph" w:styleId="9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10">
    <w:name w:val="Document Map"/>
    <w:basedOn w:val="1"/>
    <w:link w:val="76"/>
    <w:uiPriority w:val="99"/>
    <w:pPr>
      <w:shd w:val="clear" w:color="auto" w:fill="000080"/>
    </w:pPr>
  </w:style>
  <w:style w:type="paragraph" w:styleId="11">
    <w:name w:val="Body Text"/>
    <w:basedOn w:val="1"/>
    <w:link w:val="47"/>
    <w:uiPriority w:val="99"/>
    <w:rPr>
      <w:rFonts w:ascii="宋体"/>
      <w:sz w:val="24"/>
      <w:szCs w:val="20"/>
    </w:rPr>
  </w:style>
  <w:style w:type="paragraph" w:styleId="12">
    <w:name w:val="Body Text Indent"/>
    <w:basedOn w:val="1"/>
    <w:link w:val="48"/>
    <w:uiPriority w:val="99"/>
    <w:pPr>
      <w:spacing w:after="120"/>
      <w:ind w:left="420" w:leftChars="200"/>
    </w:pPr>
  </w:style>
  <w:style w:type="paragraph" w:styleId="13">
    <w:name w:val="toc 3"/>
    <w:basedOn w:val="1"/>
    <w:next w:val="1"/>
    <w:uiPriority w:val="99"/>
    <w:pPr>
      <w:tabs>
        <w:tab w:val="right" w:leader="dot" w:pos="9060"/>
      </w:tabs>
      <w:adjustRightInd w:val="0"/>
      <w:snapToGrid w:val="0"/>
      <w:spacing w:line="360" w:lineRule="auto"/>
      <w:ind w:left="840" w:leftChars="400"/>
    </w:pPr>
  </w:style>
  <w:style w:type="paragraph" w:styleId="14">
    <w:name w:val="Plain Text"/>
    <w:basedOn w:val="1"/>
    <w:link w:val="49"/>
    <w:uiPriority w:val="99"/>
    <w:rPr>
      <w:rFonts w:ascii="宋体" w:hAnsi="Courier New"/>
      <w:szCs w:val="21"/>
    </w:rPr>
  </w:style>
  <w:style w:type="paragraph" w:styleId="15">
    <w:name w:val="Date"/>
    <w:basedOn w:val="1"/>
    <w:next w:val="1"/>
    <w:link w:val="79"/>
    <w:uiPriority w:val="99"/>
    <w:pPr>
      <w:ind w:left="100" w:leftChars="2500"/>
    </w:pPr>
    <w:rPr>
      <w:sz w:val="32"/>
      <w:szCs w:val="32"/>
    </w:rPr>
  </w:style>
  <w:style w:type="paragraph" w:styleId="16">
    <w:name w:val="Body Text Indent 2"/>
    <w:basedOn w:val="1"/>
    <w:link w:val="51"/>
    <w:uiPriority w:val="99"/>
    <w:pPr>
      <w:spacing w:after="120" w:line="480" w:lineRule="auto"/>
      <w:ind w:left="420" w:leftChars="200"/>
    </w:pPr>
  </w:style>
  <w:style w:type="paragraph" w:styleId="17">
    <w:name w:val="Balloon Text"/>
    <w:basedOn w:val="1"/>
    <w:link w:val="52"/>
    <w:qFormat/>
    <w:uiPriority w:val="99"/>
    <w:rPr>
      <w:sz w:val="18"/>
      <w:szCs w:val="18"/>
    </w:rPr>
  </w:style>
  <w:style w:type="paragraph" w:styleId="18">
    <w:name w:val="footer"/>
    <w:basedOn w:val="1"/>
    <w:link w:val="5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5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21">
    <w:name w:val="toc 4"/>
    <w:basedOn w:val="1"/>
    <w:next w:val="1"/>
    <w:uiPriority w:val="99"/>
    <w:pPr>
      <w:ind w:left="1260" w:leftChars="600"/>
    </w:pPr>
  </w:style>
  <w:style w:type="paragraph" w:styleId="22">
    <w:name w:val="Subtitle"/>
    <w:basedOn w:val="1"/>
    <w:next w:val="1"/>
    <w:link w:val="55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3">
    <w:name w:val="List"/>
    <w:basedOn w:val="1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24">
    <w:name w:val="Body Text Indent 3"/>
    <w:basedOn w:val="1"/>
    <w:link w:val="56"/>
    <w:uiPriority w:val="99"/>
    <w:pPr>
      <w:tabs>
        <w:tab w:val="left" w:pos="0"/>
      </w:tabs>
      <w:spacing w:line="360" w:lineRule="auto"/>
      <w:ind w:firstLine="560" w:firstLineChars="200"/>
      <w:jc w:val="left"/>
    </w:pPr>
    <w:rPr>
      <w:sz w:val="28"/>
    </w:rPr>
  </w:style>
  <w:style w:type="paragraph" w:styleId="25">
    <w:name w:val="toc 2"/>
    <w:basedOn w:val="1"/>
    <w:next w:val="1"/>
    <w:qFormat/>
    <w:uiPriority w:val="99"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6">
    <w:name w:val="Body Text 2"/>
    <w:basedOn w:val="1"/>
    <w:link w:val="57"/>
    <w:qFormat/>
    <w:uiPriority w:val="99"/>
    <w:pPr>
      <w:spacing w:line="360" w:lineRule="atLeast"/>
    </w:pPr>
    <w:rPr>
      <w:sz w:val="18"/>
    </w:rPr>
  </w:style>
  <w:style w:type="paragraph" w:styleId="27">
    <w:name w:val="HTML Preformatted"/>
    <w:basedOn w:val="1"/>
    <w:link w:val="5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9">
    <w:name w:val="Title"/>
    <w:basedOn w:val="1"/>
    <w:next w:val="1"/>
    <w:link w:val="5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31">
    <w:name w:val="Strong"/>
    <w:basedOn w:val="30"/>
    <w:qFormat/>
    <w:uiPriority w:val="99"/>
    <w:rPr>
      <w:rFonts w:cs="Times New Roman"/>
      <w:b/>
      <w:bCs/>
    </w:rPr>
  </w:style>
  <w:style w:type="character" w:styleId="32">
    <w:name w:val="page number"/>
    <w:basedOn w:val="30"/>
    <w:qFormat/>
    <w:uiPriority w:val="99"/>
    <w:rPr>
      <w:rFonts w:cs="Times New Roman"/>
    </w:rPr>
  </w:style>
  <w:style w:type="character" w:styleId="33">
    <w:name w:val="FollowedHyperlink"/>
    <w:basedOn w:val="30"/>
    <w:qFormat/>
    <w:uiPriority w:val="99"/>
    <w:rPr>
      <w:rFonts w:cs="Times New Roman"/>
      <w:color w:val="800080"/>
      <w:u w:val="single"/>
    </w:rPr>
  </w:style>
  <w:style w:type="character" w:styleId="34">
    <w:name w:val="line number"/>
    <w:basedOn w:val="30"/>
    <w:qFormat/>
    <w:uiPriority w:val="99"/>
    <w:rPr>
      <w:rFonts w:cs="Times New Roman"/>
    </w:rPr>
  </w:style>
  <w:style w:type="character" w:styleId="35">
    <w:name w:val="Hyperlink"/>
    <w:basedOn w:val="30"/>
    <w:uiPriority w:val="99"/>
    <w:rPr>
      <w:rFonts w:cs="Times New Roman"/>
      <w:color w:val="0000FF"/>
      <w:u w:val="single"/>
    </w:rPr>
  </w:style>
  <w:style w:type="character" w:styleId="36">
    <w:name w:val="annotation reference"/>
    <w:basedOn w:val="30"/>
    <w:qFormat/>
    <w:uiPriority w:val="99"/>
    <w:rPr>
      <w:rFonts w:cs="Times New Roman"/>
      <w:sz w:val="21"/>
    </w:rPr>
  </w:style>
  <w:style w:type="table" w:styleId="38">
    <w:name w:val="Table Grid"/>
    <w:basedOn w:val="3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39">
    <w:name w:val="Table Classic 1"/>
    <w:basedOn w:val="37"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Layout w:type="fixed"/>
    </w:tblPr>
    <w:tblStylePr w:type="firstRow">
      <w:rPr>
        <w:rFonts w:cs="Times New Roman"/>
        <w:i/>
        <w:iCs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>
        <w:tblLayout w:type="fixed"/>
      </w:tbl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40">
    <w:name w:val="标题 1 Char"/>
    <w:basedOn w:val="30"/>
    <w:link w:val="2"/>
    <w:locked/>
    <w:uiPriority w:val="9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41">
    <w:name w:val="标题 2 Char"/>
    <w:basedOn w:val="30"/>
    <w:link w:val="3"/>
    <w:qFormat/>
    <w:locked/>
    <w:uiPriority w:val="99"/>
    <w:rPr>
      <w:rFonts w:ascii="Arial" w:hAnsi="Arial" w:eastAsia="创艺简标宋" w:cs="Times New Roman"/>
      <w:b/>
      <w:bCs/>
      <w:kern w:val="2"/>
      <w:sz w:val="32"/>
      <w:szCs w:val="32"/>
    </w:rPr>
  </w:style>
  <w:style w:type="character" w:customStyle="1" w:styleId="42">
    <w:name w:val="标题 3 Char"/>
    <w:basedOn w:val="30"/>
    <w:link w:val="4"/>
    <w:qFormat/>
    <w:locked/>
    <w:uiPriority w:val="99"/>
    <w:rPr>
      <w:rFonts w:cs="Times New Roman"/>
      <w:b/>
      <w:bCs/>
      <w:kern w:val="2"/>
      <w:sz w:val="32"/>
      <w:szCs w:val="32"/>
    </w:rPr>
  </w:style>
  <w:style w:type="character" w:customStyle="1" w:styleId="43">
    <w:name w:val="标题 4 Char"/>
    <w:basedOn w:val="30"/>
    <w:link w:val="5"/>
    <w:qFormat/>
    <w:locked/>
    <w:uiPriority w:val="99"/>
    <w:rPr>
      <w:rFonts w:ascii="Arial" w:hAnsi="Arial" w:cs="Arial"/>
      <w:b/>
      <w:bCs/>
      <w:kern w:val="2"/>
      <w:sz w:val="24"/>
      <w:szCs w:val="24"/>
    </w:rPr>
  </w:style>
  <w:style w:type="character" w:customStyle="1" w:styleId="44">
    <w:name w:val="批注文字 Char"/>
    <w:basedOn w:val="30"/>
    <w:link w:val="7"/>
    <w:locked/>
    <w:uiPriority w:val="99"/>
    <w:rPr>
      <w:rFonts w:cs="Times New Roman"/>
      <w:sz w:val="24"/>
      <w:szCs w:val="24"/>
    </w:rPr>
  </w:style>
  <w:style w:type="character" w:customStyle="1" w:styleId="45">
    <w:name w:val="批注主题 Char"/>
    <w:basedOn w:val="44"/>
    <w:link w:val="6"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46">
    <w:name w:val="Document Map Char"/>
    <w:basedOn w:val="30"/>
    <w:qFormat/>
    <w:locked/>
    <w:uiPriority w:val="99"/>
    <w:rPr>
      <w:rFonts w:ascii="宋体" w:cs="Times New Roman"/>
      <w:kern w:val="2"/>
      <w:sz w:val="18"/>
    </w:rPr>
  </w:style>
  <w:style w:type="character" w:customStyle="1" w:styleId="47">
    <w:name w:val="正文文本 Char"/>
    <w:basedOn w:val="30"/>
    <w:link w:val="11"/>
    <w:qFormat/>
    <w:locked/>
    <w:uiPriority w:val="99"/>
    <w:rPr>
      <w:rFonts w:ascii="宋体" w:cs="Times New Roman"/>
      <w:kern w:val="2"/>
      <w:sz w:val="24"/>
    </w:rPr>
  </w:style>
  <w:style w:type="character" w:customStyle="1" w:styleId="48">
    <w:name w:val="正文文本缩进 Char"/>
    <w:basedOn w:val="30"/>
    <w:link w:val="1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49">
    <w:name w:val="纯文本 Char"/>
    <w:basedOn w:val="30"/>
    <w:link w:val="14"/>
    <w:qFormat/>
    <w:locked/>
    <w:uiPriority w:val="99"/>
    <w:rPr>
      <w:rFonts w:ascii="宋体" w:hAnsi="Courier New" w:cs="Times New Roman"/>
      <w:kern w:val="2"/>
      <w:sz w:val="21"/>
      <w:szCs w:val="21"/>
    </w:rPr>
  </w:style>
  <w:style w:type="character" w:customStyle="1" w:styleId="50">
    <w:name w:val="Date Char"/>
    <w:basedOn w:val="30"/>
    <w:qFormat/>
    <w:locked/>
    <w:uiPriority w:val="99"/>
    <w:rPr>
      <w:rFonts w:cs="Times New Roman"/>
      <w:kern w:val="2"/>
      <w:sz w:val="24"/>
    </w:rPr>
  </w:style>
  <w:style w:type="character" w:customStyle="1" w:styleId="51">
    <w:name w:val="正文文本缩进 2 Char"/>
    <w:basedOn w:val="30"/>
    <w:link w:val="16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52">
    <w:name w:val="批注框文本 Char"/>
    <w:basedOn w:val="30"/>
    <w:link w:val="1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53">
    <w:name w:val="页脚 Char"/>
    <w:basedOn w:val="30"/>
    <w:link w:val="18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54">
    <w:name w:val="页眉 Char"/>
    <w:basedOn w:val="30"/>
    <w:link w:val="19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55">
    <w:name w:val="副标题 Char"/>
    <w:basedOn w:val="30"/>
    <w:link w:val="22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6">
    <w:name w:val="正文文本缩进 3 Char"/>
    <w:basedOn w:val="30"/>
    <w:link w:val="24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57">
    <w:name w:val="正文文本 2 Char"/>
    <w:basedOn w:val="30"/>
    <w:link w:val="26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58">
    <w:name w:val="HTML 预设格式 Char"/>
    <w:basedOn w:val="30"/>
    <w:link w:val="27"/>
    <w:qFormat/>
    <w:locked/>
    <w:uiPriority w:val="99"/>
    <w:rPr>
      <w:rFonts w:ascii="Arial" w:hAnsi="Arial" w:cs="Arial"/>
      <w:sz w:val="24"/>
      <w:szCs w:val="24"/>
    </w:rPr>
  </w:style>
  <w:style w:type="character" w:customStyle="1" w:styleId="59">
    <w:name w:val="标题 Char"/>
    <w:basedOn w:val="30"/>
    <w:link w:val="29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60">
    <w:name w:val="文字"/>
    <w:basedOn w:val="1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61">
    <w:name w:val="其他表格"/>
    <w:basedOn w:val="1"/>
    <w:qFormat/>
    <w:uiPriority w:val="99"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62">
    <w:name w:val="样式1"/>
    <w:qFormat/>
    <w:uiPriority w:val="99"/>
    <w:rPr>
      <w:rFonts w:ascii="宋体"/>
    </w:rPr>
  </w:style>
  <w:style w:type="character" w:customStyle="1" w:styleId="63">
    <w:name w:val="tpc_content1"/>
    <w:basedOn w:val="30"/>
    <w:qFormat/>
    <w:uiPriority w:val="99"/>
    <w:rPr>
      <w:rFonts w:cs="Times New Roman"/>
      <w:sz w:val="23"/>
      <w:szCs w:val="23"/>
    </w:rPr>
  </w:style>
  <w:style w:type="paragraph" w:customStyle="1" w:styleId="64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65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66">
    <w:name w:val="xl2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67">
    <w:name w:val="xl25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68">
    <w:name w:val="xl2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69">
    <w:name w:val="xl2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70">
    <w:name w:val="xl29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71">
    <w:name w:val="xl3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72">
    <w:name w:val="xl31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73">
    <w:name w:val="Char Char Char Char Char Char Char Char Char Char Char"/>
    <w:basedOn w:val="1"/>
    <w:qFormat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74">
    <w:name w:val="xl39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75">
    <w:name w:val="默认段落字体 Para Char Char Char Char Char Char Char Char Char Char Char Char Char1 Char"/>
    <w:basedOn w:val="10"/>
    <w:qFormat/>
    <w:uiPriority w:val="99"/>
    <w:rPr>
      <w:rFonts w:ascii="Tahoma" w:hAnsi="Tahoma"/>
      <w:sz w:val="24"/>
    </w:rPr>
  </w:style>
  <w:style w:type="character" w:customStyle="1" w:styleId="76">
    <w:name w:val="文档结构图 Char"/>
    <w:basedOn w:val="30"/>
    <w:link w:val="10"/>
    <w:qFormat/>
    <w:locked/>
    <w:uiPriority w:val="99"/>
    <w:rPr>
      <w:rFonts w:cs="Times New Roman"/>
      <w:kern w:val="2"/>
      <w:sz w:val="24"/>
      <w:szCs w:val="24"/>
      <w:shd w:val="clear" w:color="auto" w:fill="000080"/>
    </w:rPr>
  </w:style>
  <w:style w:type="paragraph" w:customStyle="1" w:styleId="77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78">
    <w:name w:val="Char"/>
    <w:basedOn w:val="1"/>
    <w:qFormat/>
    <w:uiPriority w:val="99"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79">
    <w:name w:val="日期 Char"/>
    <w:basedOn w:val="30"/>
    <w:link w:val="15"/>
    <w:locked/>
    <w:uiPriority w:val="99"/>
    <w:rPr>
      <w:rFonts w:cs="Times New Roman"/>
      <w:kern w:val="2"/>
      <w:sz w:val="32"/>
      <w:szCs w:val="32"/>
    </w:rPr>
  </w:style>
  <w:style w:type="paragraph" w:customStyle="1" w:styleId="80">
    <w:name w:val="Char Char Char Char Char Char Char"/>
    <w:basedOn w:val="1"/>
    <w:qFormat/>
    <w:uiPriority w:val="99"/>
  </w:style>
  <w:style w:type="paragraph" w:customStyle="1" w:styleId="81">
    <w:name w:val="1 Char Char Char Char"/>
    <w:basedOn w:val="1"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82">
    <w:name w:val="Char Char1 Char Char Char Char"/>
    <w:basedOn w:val="1"/>
    <w:qFormat/>
    <w:uiPriority w:val="99"/>
    <w:rPr>
      <w:sz w:val="24"/>
    </w:rPr>
  </w:style>
  <w:style w:type="paragraph" w:customStyle="1" w:styleId="83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84">
    <w:name w:val="批注框文本 Char1"/>
    <w:basedOn w:val="30"/>
    <w:qFormat/>
    <w:uiPriority w:val="99"/>
    <w:rPr>
      <w:rFonts w:cs="Times New Roman"/>
      <w:kern w:val="2"/>
      <w:sz w:val="18"/>
      <w:szCs w:val="18"/>
    </w:rPr>
  </w:style>
  <w:style w:type="paragraph" w:customStyle="1" w:styleId="85">
    <w:name w:val="样式2"/>
    <w:basedOn w:val="1"/>
    <w:link w:val="86"/>
    <w:qFormat/>
    <w:uiPriority w:val="99"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86">
    <w:name w:val="样式2 Char"/>
    <w:basedOn w:val="30"/>
    <w:link w:val="85"/>
    <w:qFormat/>
    <w:locked/>
    <w:uiPriority w:val="99"/>
    <w:rPr>
      <w:rFonts w:eastAsia="黑体" w:cs="Arial"/>
      <w:bCs/>
      <w:color w:val="000000"/>
      <w:kern w:val="2"/>
      <w:sz w:val="28"/>
      <w:szCs w:val="28"/>
    </w:rPr>
  </w:style>
  <w:style w:type="paragraph" w:customStyle="1" w:styleId="87">
    <w:name w:val="样式3"/>
    <w:basedOn w:val="1"/>
    <w:link w:val="88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88">
    <w:name w:val="样式3 Char"/>
    <w:basedOn w:val="30"/>
    <w:link w:val="87"/>
    <w:qFormat/>
    <w:locked/>
    <w:uiPriority w:val="99"/>
    <w:rPr>
      <w:rFonts w:eastAsia="黑体" w:cs="Arial"/>
      <w:bCs/>
      <w:kern w:val="2"/>
      <w:sz w:val="28"/>
      <w:szCs w:val="28"/>
    </w:rPr>
  </w:style>
  <w:style w:type="character" w:customStyle="1" w:styleId="89">
    <w:name w:val="HTML 预设格式 Char1"/>
    <w:basedOn w:val="30"/>
    <w:uiPriority w:val="99"/>
    <w:rPr>
      <w:rFonts w:ascii="Courier New" w:hAnsi="Courier New" w:cs="Courier New"/>
      <w:kern w:val="2"/>
    </w:rPr>
  </w:style>
  <w:style w:type="character" w:customStyle="1" w:styleId="90">
    <w:name w:val="样式1 Char"/>
    <w:basedOn w:val="30"/>
    <w:qFormat/>
    <w:uiPriority w:val="99"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9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92">
    <w:name w:val="reader-word-laye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3">
    <w:name w:val="批注文字 Char1"/>
    <w:basedOn w:val="30"/>
    <w:qFormat/>
    <w:uiPriority w:val="99"/>
    <w:rPr>
      <w:rFonts w:cs="Times New Roman"/>
      <w:kern w:val="2"/>
      <w:sz w:val="24"/>
      <w:szCs w:val="24"/>
    </w:rPr>
  </w:style>
  <w:style w:type="character" w:customStyle="1" w:styleId="94">
    <w:name w:val="批注主题 Char1"/>
    <w:basedOn w:val="93"/>
    <w:qFormat/>
    <w:uiPriority w:val="99"/>
    <w:rPr>
      <w:rFonts w:cs="Times New Roman"/>
      <w:b/>
      <w:bCs/>
      <w:kern w:val="2"/>
      <w:sz w:val="24"/>
      <w:szCs w:val="24"/>
    </w:rPr>
  </w:style>
  <w:style w:type="character" w:customStyle="1" w:styleId="95">
    <w:name w:val="标题 Char1"/>
    <w:basedOn w:val="3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96">
    <w:name w:val="Char Char1 Char Char Char Char1"/>
    <w:basedOn w:val="1"/>
    <w:qFormat/>
    <w:uiPriority w:val="99"/>
    <w:rPr>
      <w:sz w:val="24"/>
    </w:rPr>
  </w:style>
  <w:style w:type="paragraph" w:customStyle="1" w:styleId="97">
    <w:name w:val="Char Char Char Char Char Char Char1"/>
    <w:basedOn w:val="1"/>
    <w:qFormat/>
    <w:uiPriority w:val="99"/>
  </w:style>
  <w:style w:type="paragraph" w:customStyle="1" w:styleId="9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9">
    <w:name w:val="列出段落1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00">
    <w:name w:val="Char1"/>
    <w:basedOn w:val="1"/>
    <w:qFormat/>
    <w:uiPriority w:val="99"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01">
    <w:name w:val="正文缩进1"/>
    <w:basedOn w:val="8"/>
    <w:qFormat/>
    <w:uiPriority w:val="99"/>
    <w:pPr>
      <w:adjustRightInd w:val="0"/>
      <w:snapToGrid w:val="0"/>
      <w:spacing w:line="360" w:lineRule="auto"/>
      <w:ind w:left="960" w:hanging="478" w:firstLineChars="0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102">
    <w:name w:val="font0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03">
    <w:name w:val="font41"/>
    <w:basedOn w:val="30"/>
    <w:qFormat/>
    <w:uiPriority w:val="99"/>
    <w:rPr>
      <w:rFonts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E0F2B0-4715-4AE5-A453-FA834714C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8</Pages>
  <Words>827</Words>
  <Characters>4716</Characters>
  <Lines>39</Lines>
  <Paragraphs>11</Paragraphs>
  <TotalTime>3</TotalTime>
  <ScaleCrop>false</ScaleCrop>
  <LinksUpToDate>false</LinksUpToDate>
  <CharactersWithSpaces>5532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2018-10-22T01:49:00Z</dcterms:created>
  <dc:creator>lenovo</dc:creator>
  <cp:lastModifiedBy>吜芣菈凢の菇涼o</cp:lastModifiedBy>
  <cp:lastPrinted>2018-10-19T03:19:00Z</cp:lastPrinted>
  <dcterms:modified xsi:type="dcterms:W3CDTF">2018-12-06T04:58:39Z</dcterms:modified>
  <dc:title>2014年上半年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