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eastAsia="zh-CN"/>
        </w:rPr>
        <w:t>固原市行政审批服务局拟批</w:t>
      </w:r>
      <w:r>
        <w:rPr>
          <w:rFonts w:hint="eastAsia"/>
          <w:b/>
          <w:bCs/>
          <w:sz w:val="36"/>
          <w:szCs w:val="36"/>
          <w:lang w:val="en-US" w:eastAsia="zh-CN"/>
        </w:rPr>
        <w:t>原州区彭堡镇杨忠堡村建筑用砂二矿环境影响评价文件的公示</w:t>
      </w:r>
    </w:p>
    <w:p>
      <w:pPr>
        <w:jc w:val="both"/>
        <w:rPr>
          <w:rFonts w:hint="eastAsia"/>
          <w:sz w:val="24"/>
          <w:szCs w:val="24"/>
          <w:lang w:val="en-US" w:eastAsia="zh-CN"/>
        </w:rPr>
      </w:pPr>
    </w:p>
    <w:p>
      <w:pPr>
        <w:ind w:firstLine="480" w:firstLineChars="200"/>
        <w:jc w:val="both"/>
        <w:rPr>
          <w:rFonts w:hint="eastAsia"/>
          <w:sz w:val="24"/>
          <w:szCs w:val="24"/>
          <w:lang w:val="en-US" w:eastAsia="zh-CN"/>
        </w:rPr>
      </w:pPr>
      <w:r>
        <w:rPr>
          <w:rFonts w:hint="eastAsia"/>
          <w:sz w:val="24"/>
          <w:szCs w:val="24"/>
          <w:lang w:val="en-US" w:eastAsia="zh-CN"/>
        </w:rPr>
        <w:t>根据建设项目环境影响评价审批程序的有关规定，经审查，我局拟对原州区彭堡镇杨忠堡村建筑用砂二矿环境影响评价文件作出审批意见。为保证此次审批工作的严肃性和公正性，现将拟作出审批意见的环境影响评价文件基本情况予以公示，公示期为2018年1月23日-2018年1月29日（5个工作日）。</w:t>
      </w:r>
    </w:p>
    <w:p>
      <w:pPr>
        <w:ind w:firstLine="480" w:firstLineChars="200"/>
        <w:jc w:val="both"/>
        <w:rPr>
          <w:rFonts w:hint="eastAsia"/>
          <w:sz w:val="24"/>
          <w:szCs w:val="24"/>
          <w:lang w:val="en-US" w:eastAsia="zh-CN"/>
        </w:rPr>
      </w:pPr>
      <w:r>
        <w:rPr>
          <w:rFonts w:hint="eastAsia"/>
          <w:sz w:val="24"/>
          <w:szCs w:val="24"/>
          <w:lang w:val="en-US" w:eastAsia="zh-CN"/>
        </w:rPr>
        <w:t>公示期间联系电话：0954-2688663     传真：0954-2669699      通讯地址：固原市民生大厦335室       邮编：756000</w:t>
      </w:r>
    </w:p>
    <w:p>
      <w:pPr>
        <w:ind w:firstLine="480" w:firstLineChars="200"/>
        <w:jc w:val="both"/>
        <w:rPr>
          <w:rFonts w:hint="eastAsia"/>
          <w:sz w:val="24"/>
          <w:szCs w:val="24"/>
          <w:lang w:val="en-US" w:eastAsia="zh-CN"/>
        </w:rPr>
      </w:pPr>
    </w:p>
    <w:p>
      <w:pPr>
        <w:ind w:firstLine="480" w:firstLineChars="200"/>
        <w:jc w:val="both"/>
        <w:rPr>
          <w:rFonts w:hint="eastAsia"/>
          <w:sz w:val="24"/>
          <w:szCs w:val="24"/>
          <w:lang w:val="en-US" w:eastAsia="zh-CN"/>
        </w:rPr>
      </w:pPr>
      <w:r>
        <w:rPr>
          <w:rFonts w:hint="eastAsia"/>
          <w:sz w:val="24"/>
          <w:szCs w:val="24"/>
          <w:lang w:val="en-US" w:eastAsia="zh-CN"/>
        </w:rPr>
        <w:t>听证权利告知：依据《中华人民共和国行政许可法》，自公示之日起五日内申请人、利害关系人可对以下</w:t>
      </w:r>
      <w:bookmarkStart w:id="0" w:name="_GoBack"/>
      <w:bookmarkEnd w:id="0"/>
      <w:r>
        <w:rPr>
          <w:rFonts w:hint="eastAsia"/>
          <w:sz w:val="24"/>
          <w:szCs w:val="24"/>
          <w:lang w:val="en-US" w:eastAsia="zh-CN"/>
        </w:rPr>
        <w:t>拟作出的原州区彭堡镇杨忠堡村建筑用砂二矿环境影响评价文件审批意见要求听证。</w:t>
      </w:r>
    </w:p>
    <w:p>
      <w:pPr>
        <w:ind w:firstLine="480" w:firstLineChars="200"/>
        <w:jc w:val="both"/>
        <w:rPr>
          <w:rFonts w:hint="eastAsia"/>
          <w:sz w:val="24"/>
          <w:szCs w:val="24"/>
          <w:lang w:val="en-US" w:eastAsia="zh-CN"/>
        </w:rPr>
      </w:pPr>
      <w:r>
        <w:rPr>
          <w:rFonts w:hint="eastAsia"/>
          <w:sz w:val="24"/>
          <w:szCs w:val="24"/>
          <w:lang w:val="en-US" w:eastAsia="zh-CN"/>
        </w:rPr>
        <w:t>附件</w:t>
      </w:r>
    </w:p>
    <w:tbl>
      <w:tblPr>
        <w:tblStyle w:val="11"/>
        <w:tblW w:w="14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3"/>
        <w:gridCol w:w="1247"/>
        <w:gridCol w:w="1260"/>
        <w:gridCol w:w="1464"/>
        <w:gridCol w:w="1404"/>
        <w:gridCol w:w="1392"/>
        <w:gridCol w:w="2734"/>
        <w:gridCol w:w="4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建设地点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建设单位</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评价类别</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评价机构</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概    况</w:t>
            </w:r>
          </w:p>
        </w:tc>
        <w:tc>
          <w:tcPr>
            <w:tcW w:w="4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主要环境影响及预防或者减轻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不良环境影响的对策和措施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97"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原州区彭堡镇杨忠堡村建筑用砂二矿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本项目位于原州区彭堡镇杨忠堡村，项目东北侧2km处为蒋口-石碑村级道路</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固原继成建筑工程有限公司</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报告表</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宁夏智诚安环技术咨询有限公司</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sz w:val="24"/>
                <w:szCs w:val="24"/>
                <w:lang w:val="en-US" w:eastAsia="zh-CN"/>
              </w:rPr>
            </w:pPr>
            <w:r>
              <w:rPr>
                <w:rFonts w:hint="eastAsia"/>
                <w:sz w:val="24"/>
                <w:szCs w:val="24"/>
                <w:lang w:val="en-US" w:eastAsia="zh-CN"/>
              </w:rPr>
              <w:t>原州区彭堡镇杨忠堡村建筑用砂二矿位于原州区彭堡镇杨忠堡村，项目主要由主体工程、储运工程、辅助工程、公用工程和环保工程组成。主体工程主要为采矿区；储运工程主要为运输道路；辅助工程主要为办公生活区；环保工程包括废气防治措施、废水治理措施、固体废物处理措施、噪声治理措施及生态保护措施。本项目总投资210万元，其中环保投资42万元，约占项目总投资的20%。</w:t>
            </w:r>
          </w:p>
        </w:tc>
        <w:tc>
          <w:tcPr>
            <w:tcW w:w="422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2" w:firstLineChars="200"/>
              <w:jc w:val="left"/>
              <w:rPr>
                <w:rFonts w:hint="eastAsia"/>
                <w:b/>
                <w:bCs/>
                <w:sz w:val="28"/>
                <w:szCs w:val="28"/>
                <w:lang w:val="en-US" w:eastAsia="zh-CN"/>
              </w:rPr>
            </w:pPr>
            <w:r>
              <w:rPr>
                <w:rFonts w:hint="eastAsia"/>
                <w:b/>
                <w:bCs/>
                <w:sz w:val="28"/>
                <w:szCs w:val="28"/>
                <w:lang w:val="en-US" w:eastAsia="zh-CN"/>
              </w:rPr>
              <w:t>施工期</w:t>
            </w:r>
          </w:p>
          <w:p>
            <w:pPr>
              <w:numPr>
                <w:ilvl w:val="0"/>
                <w:numId w:val="1"/>
              </w:numPr>
              <w:jc w:val="left"/>
              <w:rPr>
                <w:rFonts w:hint="eastAsia"/>
                <w:sz w:val="24"/>
                <w:szCs w:val="24"/>
                <w:lang w:val="en-US" w:eastAsia="zh-CN"/>
              </w:rPr>
            </w:pPr>
            <w:r>
              <w:rPr>
                <w:rFonts w:hint="eastAsia"/>
                <w:sz w:val="24"/>
                <w:szCs w:val="24"/>
                <w:lang w:val="en-US" w:eastAsia="zh-CN"/>
              </w:rPr>
              <w:t>大气环境：⑴扬尘：严格控制施工作业范围，施工车辆必须行驶在进场道路范围内；施工过程中在场地运输通道及时洒水，以减少汽车行驶扬尘；限制运输车辆的行驶速度，场地内行车速度不得超过15km/h；尽量减少临时占地，严禁破坏永久占地和临时占地外的植被；起尘原材料覆盖存放，大风季节严禁施工；采用2.5m高彩钢板进行临时围挡；临时施工场所及时洒水抑尘并进行植被恢复。</w:t>
            </w:r>
          </w:p>
          <w:p>
            <w:pPr>
              <w:numPr>
                <w:ilvl w:val="0"/>
                <w:numId w:val="1"/>
              </w:numPr>
              <w:jc w:val="left"/>
              <w:rPr>
                <w:rFonts w:hint="eastAsia"/>
                <w:sz w:val="24"/>
                <w:szCs w:val="24"/>
                <w:lang w:val="en-US" w:eastAsia="zh-CN"/>
              </w:rPr>
            </w:pPr>
            <w:r>
              <w:rPr>
                <w:rFonts w:hint="eastAsia"/>
                <w:sz w:val="24"/>
                <w:szCs w:val="24"/>
                <w:lang w:val="en-US" w:eastAsia="zh-CN"/>
              </w:rPr>
              <w:t>水环境：⑴生产废水：经沉淀池沉淀后，用于施工场地洒水抑尘；工程施工期间，施工单位应严格执行《建筑工程施工场地文明施工及环境暂行规定》，对施工废水的排放进行组织设计，严禁乱排、乱流，污染道路和环境。</w:t>
            </w:r>
          </w:p>
          <w:p>
            <w:pPr>
              <w:numPr>
                <w:ilvl w:val="0"/>
                <w:numId w:val="1"/>
              </w:numPr>
              <w:jc w:val="left"/>
              <w:rPr>
                <w:rFonts w:hint="eastAsia"/>
                <w:sz w:val="24"/>
                <w:szCs w:val="24"/>
                <w:lang w:val="en-US" w:eastAsia="zh-CN"/>
              </w:rPr>
            </w:pPr>
            <w:r>
              <w:rPr>
                <w:rFonts w:hint="eastAsia"/>
                <w:sz w:val="24"/>
                <w:szCs w:val="24"/>
                <w:lang w:val="en-US" w:eastAsia="zh-CN"/>
              </w:rPr>
              <w:t>噪声：采用低噪声设备、合理布局施工现场；固定机械设备如挖土机、推土机等，通过排气管消音器和隔离发动机振动部件的方法降低噪声；对动力机械设备进行定期的维修、养护，避免设备因松动部件的振动或消声器的损坏而增加其工作时的声压级；搬卸物品应轻放；施工工具不要乱扔、远扔；运输车辆进入现场应减速、并减少鸣笛等，确保项目施工场界噪声满足《建筑施工场界环境噪声排放标准》（GB12523-2011）的要求。</w:t>
            </w:r>
          </w:p>
          <w:p>
            <w:pPr>
              <w:numPr>
                <w:ilvl w:val="0"/>
                <w:numId w:val="1"/>
              </w:numPr>
              <w:jc w:val="left"/>
              <w:rPr>
                <w:rFonts w:hint="eastAsia"/>
                <w:sz w:val="24"/>
                <w:szCs w:val="24"/>
                <w:lang w:val="en-US" w:eastAsia="zh-CN"/>
              </w:rPr>
            </w:pPr>
            <w:r>
              <w:rPr>
                <w:rFonts w:hint="eastAsia"/>
                <w:sz w:val="24"/>
                <w:szCs w:val="24"/>
                <w:lang w:val="en-US" w:eastAsia="zh-CN"/>
              </w:rPr>
              <w:t>固体废物：（1）生活垃圾：在施工人员集中的地方设置垃圾筒，统一收集后处置；（2）建筑垃圾：建筑废料集中收集后运至固原市指定地点进行处理，包装材料可分类回收后外售给废品回收单位进行回收再利用。</w:t>
            </w:r>
          </w:p>
          <w:p>
            <w:pPr>
              <w:numPr>
                <w:ilvl w:val="0"/>
                <w:numId w:val="0"/>
              </w:numPr>
              <w:ind w:firstLine="562" w:firstLineChars="200"/>
              <w:jc w:val="left"/>
              <w:rPr>
                <w:rFonts w:hint="eastAsia"/>
                <w:sz w:val="24"/>
                <w:szCs w:val="24"/>
                <w:lang w:val="en-US" w:eastAsia="zh-CN"/>
              </w:rPr>
            </w:pPr>
            <w:r>
              <w:rPr>
                <w:rFonts w:hint="eastAsia"/>
                <w:b/>
                <w:bCs/>
                <w:sz w:val="28"/>
                <w:szCs w:val="28"/>
                <w:lang w:val="en-US" w:eastAsia="zh-CN"/>
              </w:rPr>
              <w:t>运营期</w:t>
            </w:r>
          </w:p>
          <w:p>
            <w:pPr>
              <w:numPr>
                <w:ilvl w:val="0"/>
                <w:numId w:val="2"/>
              </w:numPr>
              <w:jc w:val="left"/>
              <w:rPr>
                <w:rFonts w:hint="eastAsia"/>
                <w:sz w:val="24"/>
                <w:szCs w:val="24"/>
                <w:lang w:val="en-US" w:eastAsia="zh-CN"/>
              </w:rPr>
            </w:pPr>
            <w:r>
              <w:rPr>
                <w:rFonts w:hint="eastAsia"/>
                <w:sz w:val="24"/>
                <w:szCs w:val="24"/>
                <w:lang w:val="en-US" w:eastAsia="zh-CN"/>
              </w:rPr>
              <w:t>大气环境：设置禁速标示；运输过程须加盖篷布；对场内进矿道路采用硬化路面，道路洒水；在装车过程对物料进行适当喷洒水增加含水率，确保满足《大气污染物综合排放标准》（GB16297-1996）二级标准。</w:t>
            </w:r>
          </w:p>
          <w:p>
            <w:pPr>
              <w:numPr>
                <w:ilvl w:val="0"/>
                <w:numId w:val="2"/>
              </w:numPr>
              <w:jc w:val="left"/>
              <w:rPr>
                <w:rFonts w:hint="eastAsia"/>
                <w:sz w:val="24"/>
                <w:szCs w:val="24"/>
                <w:lang w:val="en-US" w:eastAsia="zh-CN"/>
              </w:rPr>
            </w:pPr>
            <w:r>
              <w:rPr>
                <w:rFonts w:hint="eastAsia"/>
                <w:sz w:val="24"/>
                <w:szCs w:val="24"/>
                <w:lang w:val="en-US" w:eastAsia="zh-CN"/>
              </w:rPr>
              <w:t>水环境：办公生活区设置防渗旱厕，洗漱废水用于办公生活区抑尘</w:t>
            </w:r>
          </w:p>
          <w:p>
            <w:pPr>
              <w:numPr>
                <w:ilvl w:val="0"/>
                <w:numId w:val="2"/>
              </w:numPr>
              <w:jc w:val="left"/>
              <w:rPr>
                <w:rFonts w:hint="eastAsia"/>
                <w:sz w:val="24"/>
                <w:szCs w:val="24"/>
                <w:lang w:val="en-US" w:eastAsia="zh-CN"/>
              </w:rPr>
            </w:pPr>
            <w:r>
              <w:rPr>
                <w:rFonts w:hint="eastAsia"/>
                <w:sz w:val="24"/>
                <w:szCs w:val="24"/>
                <w:lang w:val="en-US" w:eastAsia="zh-CN"/>
              </w:rPr>
              <w:t>声环境：采用低噪声设备，合理安排施工作业时间，机械设备上加隔振板，以达到消声、减振的作用；对动力机械加强定期检修、养护，确保符合《工业企业厂界环境噪声排放标准》（GB12348-2008）2类标准。</w:t>
            </w:r>
          </w:p>
          <w:p>
            <w:pPr>
              <w:numPr>
                <w:ilvl w:val="0"/>
                <w:numId w:val="2"/>
              </w:numPr>
              <w:jc w:val="left"/>
              <w:rPr>
                <w:rFonts w:hint="eastAsia"/>
                <w:sz w:val="24"/>
                <w:szCs w:val="24"/>
                <w:lang w:val="en-US" w:eastAsia="zh-CN"/>
              </w:rPr>
            </w:pPr>
            <w:r>
              <w:rPr>
                <w:rFonts w:hint="eastAsia"/>
                <w:sz w:val="24"/>
                <w:szCs w:val="24"/>
                <w:lang w:val="en-US" w:eastAsia="zh-CN"/>
              </w:rPr>
              <w:t>固体废物：（1）生活垃圾：办公生活区设置垃圾箱，生活垃圾统一收集后送至附近的垃圾中转站；（2）生产垃圾：委托相关单位定期更换设备机油，更换后的废润滑油由该单位直接带走，不在项目区储存。</w:t>
            </w:r>
          </w:p>
          <w:p>
            <w:pPr>
              <w:numPr>
                <w:ilvl w:val="0"/>
                <w:numId w:val="2"/>
              </w:numPr>
              <w:jc w:val="left"/>
              <w:rPr>
                <w:rFonts w:hint="eastAsia"/>
                <w:sz w:val="24"/>
                <w:szCs w:val="24"/>
                <w:lang w:val="en-US" w:eastAsia="zh-CN"/>
              </w:rPr>
            </w:pPr>
            <w:r>
              <w:rPr>
                <w:rFonts w:hint="eastAsia"/>
                <w:sz w:val="24"/>
                <w:szCs w:val="24"/>
                <w:lang w:val="en-US" w:eastAsia="zh-CN"/>
              </w:rPr>
              <w:t>水土流失防治措施：项目剥离表土约6.15×103m3，集中堆放于表土剥离堆放区，表土剥离堆放区坡角采用填土草袋维护，堆土坡度为1:1.5~1:2.0，填土草袋采用梯形断面，顶宽0.5m、高1m、底宽1.5m，边坡1:0.5，填土草袋土源为表土剥离堆放区内土方，堆土用于后期绿化覆土。</w:t>
            </w:r>
          </w:p>
          <w:p>
            <w:pPr>
              <w:numPr>
                <w:ilvl w:val="0"/>
                <w:numId w:val="2"/>
              </w:numPr>
              <w:jc w:val="left"/>
              <w:rPr>
                <w:rFonts w:hint="eastAsia"/>
                <w:sz w:val="24"/>
                <w:szCs w:val="24"/>
                <w:lang w:val="en-US" w:eastAsia="zh-CN"/>
              </w:rPr>
            </w:pPr>
            <w:r>
              <w:rPr>
                <w:rFonts w:hint="eastAsia"/>
                <w:sz w:val="24"/>
                <w:szCs w:val="24"/>
                <w:lang w:val="en-US" w:eastAsia="zh-CN"/>
              </w:rPr>
              <w:t>闭矿期生态恢复：闭矿后，应先进行土地平整，做到死土废料回填、活土层还原，地表保持20-30cm的活土层；属于林地的恢复种植灌木树种，属于草地的恢复种草，但必须先进行整地，树、草种应选择柠条、冰草、沙蒿等乡土树草品种，采用灌草搭配。6月份左右雨季来临时，在其上方播种。柠条属于灌木树种，每亩播种量在2kg左右。</w:t>
            </w:r>
          </w:p>
          <w:p>
            <w:pPr>
              <w:numPr>
                <w:ilvl w:val="0"/>
                <w:numId w:val="0"/>
              </w:numPr>
              <w:jc w:val="left"/>
              <w:rPr>
                <w:rFonts w:hint="eastAsia"/>
                <w:sz w:val="24"/>
                <w:szCs w:val="24"/>
                <w:lang w:val="en-US" w:eastAsia="zh-CN"/>
              </w:rPr>
            </w:pPr>
          </w:p>
          <w:p>
            <w:pPr>
              <w:jc w:val="left"/>
              <w:rPr>
                <w:rFonts w:hint="eastAsia"/>
                <w:sz w:val="24"/>
                <w:szCs w:val="24"/>
                <w:lang w:val="en-US" w:eastAsia="zh-CN"/>
              </w:rPr>
            </w:pPr>
          </w:p>
        </w:tc>
      </w:tr>
    </w:tbl>
    <w:p>
      <w:pPr>
        <w:jc w:val="both"/>
        <w:rPr>
          <w:rFonts w:hint="eastAsia"/>
          <w:sz w:val="24"/>
          <w:szCs w:val="24"/>
          <w:lang w:val="en-US" w:eastAsia="zh-CN"/>
        </w:rPr>
      </w:pPr>
    </w:p>
    <w:p>
      <w:pPr>
        <w:jc w:val="both"/>
        <w:rPr>
          <w:rFonts w:hint="eastAsia"/>
          <w:sz w:val="24"/>
          <w:szCs w:val="24"/>
          <w:lang w:val="en-US"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C564"/>
    <w:multiLevelType w:val="singleLevel"/>
    <w:tmpl w:val="59E5C564"/>
    <w:lvl w:ilvl="0" w:tentative="0">
      <w:start w:val="1"/>
      <w:numFmt w:val="chineseCounting"/>
      <w:suff w:val="nothing"/>
      <w:lvlText w:val="%1、"/>
      <w:lvlJc w:val="left"/>
    </w:lvl>
  </w:abstractNum>
  <w:abstractNum w:abstractNumId="1">
    <w:nsid w:val="59E5C6F3"/>
    <w:multiLevelType w:val="singleLevel"/>
    <w:tmpl w:val="59E5C6F3"/>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B20EB"/>
    <w:rsid w:val="03186B85"/>
    <w:rsid w:val="09922BC2"/>
    <w:rsid w:val="1220271E"/>
    <w:rsid w:val="1440781F"/>
    <w:rsid w:val="1BAB20EB"/>
    <w:rsid w:val="1F892C8D"/>
    <w:rsid w:val="22B03BE3"/>
    <w:rsid w:val="2A386D4B"/>
    <w:rsid w:val="346532E1"/>
    <w:rsid w:val="38057D3B"/>
    <w:rsid w:val="3D9823F2"/>
    <w:rsid w:val="3E89231A"/>
    <w:rsid w:val="43FC2A40"/>
    <w:rsid w:val="46E15135"/>
    <w:rsid w:val="4D3D6BCD"/>
    <w:rsid w:val="4DAB1B77"/>
    <w:rsid w:val="689C25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Lines="50" w:afterLines="50" w:line="520" w:lineRule="exact"/>
      <w:outlineLvl w:val="2"/>
    </w:pPr>
    <w:rPr>
      <w:rFonts w:eastAsia="楷体_GB2312"/>
      <w:bCs/>
      <w:kern w:val="0"/>
      <w:sz w:val="28"/>
      <w:szCs w:val="32"/>
    </w:rPr>
  </w:style>
  <w:style w:type="paragraph" w:styleId="3">
    <w:name w:val="heading 4"/>
    <w:basedOn w:val="1"/>
    <w:next w:val="1"/>
    <w:unhideWhenUsed/>
    <w:qFormat/>
    <w:uiPriority w:val="0"/>
    <w:pPr>
      <w:keepNext/>
      <w:keepLines/>
      <w:spacing w:line="520" w:lineRule="exact"/>
      <w:outlineLvl w:val="3"/>
    </w:pPr>
    <w:rPr>
      <w:b/>
      <w:bCs/>
      <w:kern w:val="0"/>
      <w:sz w:val="24"/>
      <w:szCs w:val="28"/>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kern w:val="0"/>
      <w:sz w:val="20"/>
      <w:szCs w:val="20"/>
    </w:rPr>
  </w:style>
  <w:style w:type="paragraph" w:styleId="5">
    <w:name w:val="Body Text"/>
    <w:basedOn w:val="1"/>
    <w:qFormat/>
    <w:uiPriority w:val="0"/>
    <w:pPr>
      <w:widowControl/>
      <w:spacing w:after="120"/>
      <w:jc w:val="left"/>
    </w:pPr>
    <w:rPr>
      <w:rFonts w:ascii="宋体" w:hAnsi="宋体" w:cs="宋体"/>
      <w:kern w:val="0"/>
      <w:sz w:val="24"/>
      <w:szCs w:val="24"/>
    </w:rPr>
  </w:style>
  <w:style w:type="paragraph" w:styleId="6">
    <w:name w:val="Body Text Indent"/>
    <w:basedOn w:val="1"/>
    <w:qFormat/>
    <w:uiPriority w:val="0"/>
    <w:pPr>
      <w:spacing w:after="120"/>
      <w:ind w:left="420"/>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Indent 3"/>
    <w:basedOn w:val="1"/>
    <w:qFormat/>
    <w:uiPriority w:val="0"/>
    <w:pPr>
      <w:spacing w:after="120"/>
      <w:ind w:left="420"/>
    </w:pPr>
    <w:rPr>
      <w:sz w:val="16"/>
      <w:szCs w:val="16"/>
    </w:rPr>
  </w:style>
  <w:style w:type="paragraph" w:customStyle="1" w:styleId="12">
    <w:name w:val="表头"/>
    <w:basedOn w:val="1"/>
    <w:qFormat/>
    <w:uiPriority w:val="0"/>
    <w:pPr>
      <w:adjustRightInd w:val="0"/>
      <w:snapToGrid w:val="0"/>
      <w:spacing w:beforeLines="25"/>
      <w:jc w:val="center"/>
      <w:textAlignment w:val="baseline"/>
    </w:pPr>
    <w:rPr>
      <w:rFonts w:hAnsi="宋体" w:eastAsia="仿宋_GB2312"/>
      <w:b/>
      <w:kern w:val="0"/>
      <w:sz w:val="28"/>
      <w:szCs w:val="28"/>
    </w:rPr>
  </w:style>
  <w:style w:type="paragraph" w:customStyle="1" w:styleId="13">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14">
    <w:name w:val="报告书：表格表头"/>
    <w:basedOn w:val="1"/>
    <w:next w:val="1"/>
    <w:qFormat/>
    <w:uiPriority w:val="0"/>
    <w:pPr>
      <w:jc w:val="center"/>
    </w:pPr>
    <w:rPr>
      <w:rFonts w:eastAsia="仿宋_GB2312"/>
      <w:b/>
      <w:szCs w:val="24"/>
    </w:rPr>
  </w:style>
  <w:style w:type="paragraph" w:customStyle="1" w:styleId="15">
    <w:name w:val="报告书：表格正文"/>
    <w:basedOn w:val="1"/>
    <w:qFormat/>
    <w:uiPriority w:val="0"/>
    <w:pPr>
      <w:jc w:val="center"/>
    </w:pPr>
    <w:rPr>
      <w:rFonts w:eastAsia="仿宋_GB2312"/>
      <w:szCs w:val="24"/>
    </w:rPr>
  </w:style>
  <w:style w:type="paragraph" w:customStyle="1" w:styleId="16">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2017-08-23T03:33:00Z</dcterms:created>
  <dc:creator>Administrator</dc:creator>
  <cp:lastModifiedBy>Libra</cp:lastModifiedBy>
  <dcterms:modified xsi:type="dcterms:W3CDTF">2018-03-20T09:22:51Z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