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36"/>
        </w:rPr>
      </w:pPr>
    </w:p>
    <w:p>
      <w:pPr>
        <w:jc w:val="center"/>
        <w:rPr>
          <w:rFonts w:hint="eastAsia" w:ascii="方正小标宋简体" w:hAnsi="方正小标宋简体" w:eastAsia="方正小标宋简体" w:cs="方正小标宋简体"/>
          <w:color w:val="auto"/>
          <w:sz w:val="44"/>
          <w:szCs w:val="36"/>
        </w:rPr>
      </w:pPr>
      <w:r>
        <w:rPr>
          <w:rFonts w:hint="eastAsia" w:ascii="方正小标宋简体" w:hAnsi="方正小标宋简体" w:eastAsia="方正小标宋简体" w:cs="方正小标宋简体"/>
          <w:color w:val="auto"/>
          <w:sz w:val="44"/>
          <w:szCs w:val="36"/>
        </w:rPr>
        <w:t>宁夏中药材产业发展实施方案</w:t>
      </w:r>
    </w:p>
    <w:p>
      <w:pPr>
        <w:jc w:val="center"/>
        <w:rPr>
          <w:rFonts w:ascii="黑体" w:hAnsi="黑体" w:eastAsia="黑体" w:cs="方正小标宋_GBK"/>
          <w:color w:val="auto"/>
          <w:sz w:val="36"/>
          <w:szCs w:val="36"/>
        </w:rPr>
      </w:pPr>
      <w:r>
        <w:rPr>
          <w:rFonts w:hint="eastAsia" w:ascii="方正小标宋简体" w:hAnsi="方正小标宋简体" w:eastAsia="方正小标宋简体" w:cs="方正小标宋简体"/>
          <w:color w:val="auto"/>
          <w:sz w:val="44"/>
          <w:szCs w:val="44"/>
        </w:rPr>
        <w:t>（2021-2025</w:t>
      </w:r>
      <w:r>
        <w:rPr>
          <w:rFonts w:hint="eastAsia" w:ascii="方正小标宋简体" w:hAnsi="方正小标宋简体" w:eastAsia="方正小标宋简体" w:cs="方正小标宋简体"/>
          <w:color w:val="auto"/>
          <w:sz w:val="44"/>
          <w:szCs w:val="44"/>
          <w:lang w:val="en-US" w:eastAsia="zh-CN"/>
        </w:rPr>
        <w:t>年</w:t>
      </w:r>
      <w:r>
        <w:rPr>
          <w:rFonts w:hint="eastAsia" w:ascii="方正小标宋简体" w:hAnsi="方正小标宋简体" w:eastAsia="方正小标宋简体" w:cs="方正小标宋简体"/>
          <w:color w:val="auto"/>
          <w:sz w:val="44"/>
          <w:szCs w:val="44"/>
        </w:rPr>
        <w:t>）</w:t>
      </w:r>
    </w:p>
    <w:p>
      <w:pPr>
        <w:ind w:firstLine="3080" w:firstLineChars="1100"/>
        <w:jc w:val="both"/>
        <w:rPr>
          <w:rFonts w:hint="eastAsia" w:ascii="楷体" w:hAnsi="楷体" w:eastAsia="楷体" w:cs="楷体"/>
          <w:color w:val="auto"/>
          <w:sz w:val="28"/>
          <w:szCs w:val="28"/>
          <w:lang w:val="en-US" w:eastAsia="zh-CN"/>
        </w:rPr>
      </w:pPr>
    </w:p>
    <w:p>
      <w:pPr>
        <w:ind w:firstLine="2880" w:firstLineChars="900"/>
        <w:jc w:val="both"/>
        <w:rPr>
          <w:rFonts w:hint="default" w:ascii="黑体" w:hAnsi="黑体" w:eastAsia="黑体" w:cs="方正小标宋_GBK"/>
          <w:color w:val="auto"/>
          <w:sz w:val="32"/>
          <w:szCs w:val="32"/>
          <w:lang w:val="en-US" w:eastAsia="zh-CN"/>
        </w:rPr>
      </w:pPr>
      <w:r>
        <w:rPr>
          <w:rFonts w:hint="eastAsia" w:ascii="楷体" w:hAnsi="楷体" w:eastAsia="楷体" w:cs="楷体"/>
          <w:color w:val="auto"/>
          <w:sz w:val="32"/>
          <w:szCs w:val="32"/>
          <w:lang w:val="en-US" w:eastAsia="zh-CN"/>
        </w:rPr>
        <w:t>（征求意见稿）</w:t>
      </w:r>
    </w:p>
    <w:p>
      <w:pPr>
        <w:spacing w:line="120" w:lineRule="exact"/>
        <w:jc w:val="center"/>
        <w:rPr>
          <w:rFonts w:hint="eastAsia" w:ascii="楷体" w:hAnsi="楷体" w:eastAsia="楷体" w:cs="楷体"/>
          <w:color w:val="auto"/>
          <w:sz w:val="32"/>
          <w:szCs w:val="32"/>
        </w:rPr>
      </w:pPr>
    </w:p>
    <w:p>
      <w:pPr>
        <w:pageBreakBefore w:val="0"/>
        <w:kinsoku/>
        <w:wordWrap/>
        <w:overflowPunct/>
        <w:topLinePunct w:val="0"/>
        <w:autoSpaceDE/>
        <w:autoSpaceDN/>
        <w:bidi w:val="0"/>
        <w:spacing w:line="560" w:lineRule="exact"/>
        <w:ind w:right="0" w:rightChars="0"/>
        <w:jc w:val="both"/>
        <w:textAlignment w:val="auto"/>
        <w:rPr>
          <w:rFonts w:ascii="楷体" w:hAnsi="楷体" w:eastAsia="楷体" w:cs="楷体"/>
          <w:color w:val="auto"/>
          <w:sz w:val="32"/>
          <w:szCs w:val="32"/>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中药材是中医药传承创新发展的物质基础，是建设健康宁夏重要的战略性资源。</w:t>
      </w:r>
      <w:r>
        <w:rPr>
          <w:rFonts w:hint="eastAsia" w:ascii="仿宋" w:hAnsi="仿宋" w:eastAsia="仿宋" w:cs="仿宋"/>
          <w:color w:val="auto"/>
          <w:sz w:val="32"/>
          <w:szCs w:val="32"/>
          <w:lang w:val="en-US" w:eastAsia="zh-CN"/>
        </w:rPr>
        <w:t>大力</w:t>
      </w:r>
      <w:r>
        <w:rPr>
          <w:rFonts w:hint="eastAsia" w:ascii="仿宋" w:hAnsi="仿宋" w:eastAsia="仿宋" w:cs="仿宋"/>
          <w:color w:val="auto"/>
          <w:sz w:val="32"/>
          <w:szCs w:val="32"/>
        </w:rPr>
        <w:t>发展中药材产业，</w:t>
      </w:r>
      <w:r>
        <w:rPr>
          <w:rFonts w:hint="eastAsia" w:ascii="仿宋" w:hAnsi="仿宋" w:eastAsia="仿宋" w:cs="仿宋"/>
          <w:color w:val="auto"/>
          <w:sz w:val="32"/>
          <w:szCs w:val="32"/>
          <w:lang w:val="en-US" w:eastAsia="zh-CN"/>
        </w:rPr>
        <w:t>对巩固</w:t>
      </w:r>
      <w:r>
        <w:rPr>
          <w:rFonts w:hint="eastAsia" w:ascii="仿宋" w:hAnsi="仿宋" w:eastAsia="仿宋" w:cs="仿宋"/>
          <w:color w:val="auto"/>
          <w:sz w:val="32"/>
          <w:szCs w:val="32"/>
        </w:rPr>
        <w:t>拓展</w:t>
      </w:r>
      <w:r>
        <w:rPr>
          <w:rFonts w:hint="eastAsia" w:ascii="仿宋" w:hAnsi="仿宋" w:eastAsia="仿宋" w:cs="仿宋"/>
          <w:color w:val="auto"/>
          <w:sz w:val="32"/>
          <w:szCs w:val="32"/>
          <w:lang w:val="en-US" w:eastAsia="zh-CN"/>
        </w:rPr>
        <w:t>脱贫攻坚成果，助推乡村产业振兴，</w:t>
      </w:r>
      <w:r>
        <w:rPr>
          <w:rFonts w:hint="eastAsia" w:ascii="仿宋" w:hAnsi="仿宋" w:eastAsia="仿宋" w:cs="仿宋"/>
          <w:color w:val="auto"/>
          <w:sz w:val="32"/>
          <w:szCs w:val="32"/>
        </w:rPr>
        <w:t>提高人民群众健康水平、促进生态文明建设具有十分重要的意义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为深入贯彻</w:t>
      </w:r>
      <w:r>
        <w:rPr>
          <w:rFonts w:hint="eastAsia" w:ascii="仿宋" w:hAnsi="仿宋" w:eastAsia="仿宋" w:cs="仿宋"/>
          <w:color w:val="auto"/>
          <w:sz w:val="32"/>
          <w:szCs w:val="32"/>
          <w:lang w:val="en-US" w:eastAsia="zh-CN"/>
        </w:rPr>
        <w:t>落实自治区党委、人民政府</w:t>
      </w:r>
      <w:r>
        <w:rPr>
          <w:rFonts w:hint="eastAsia" w:ascii="仿宋" w:hAnsi="仿宋" w:eastAsia="仿宋" w:cs="仿宋"/>
          <w:color w:val="auto"/>
          <w:sz w:val="32"/>
          <w:szCs w:val="32"/>
        </w:rPr>
        <w:t>《关于促进中医药传承创新发展的</w:t>
      </w:r>
      <w:r>
        <w:rPr>
          <w:rFonts w:hint="eastAsia" w:ascii="仿宋" w:hAnsi="仿宋" w:eastAsia="仿宋" w:cs="仿宋"/>
          <w:color w:val="auto"/>
          <w:sz w:val="32"/>
          <w:szCs w:val="32"/>
          <w:lang w:val="en-US" w:eastAsia="zh-CN"/>
        </w:rPr>
        <w:t>实施</w:t>
      </w:r>
      <w:r>
        <w:rPr>
          <w:rFonts w:hint="eastAsia" w:ascii="仿宋" w:hAnsi="仿宋" w:eastAsia="仿宋" w:cs="仿宋"/>
          <w:color w:val="auto"/>
          <w:sz w:val="32"/>
          <w:szCs w:val="32"/>
        </w:rPr>
        <w:t>意见》，扎实推进宁夏中药材产业高质量发展，</w:t>
      </w:r>
      <w:r>
        <w:rPr>
          <w:rFonts w:hint="eastAsia" w:ascii="仿宋" w:hAnsi="仿宋" w:eastAsia="仿宋" w:cs="仿宋"/>
          <w:color w:val="auto"/>
          <w:sz w:val="32"/>
          <w:szCs w:val="32"/>
          <w:lang w:val="en-US" w:eastAsia="zh-CN"/>
        </w:rPr>
        <w:t>结合宁夏实际</w:t>
      </w:r>
      <w:r>
        <w:rPr>
          <w:rFonts w:hint="eastAsia" w:ascii="仿宋" w:hAnsi="仿宋" w:eastAsia="仿宋" w:cs="仿宋"/>
          <w:color w:val="auto"/>
          <w:sz w:val="32"/>
          <w:szCs w:val="32"/>
        </w:rPr>
        <w:t>制定本方案。</w:t>
      </w:r>
    </w:p>
    <w:p>
      <w:pPr>
        <w:pStyle w:val="5"/>
        <w:pageBreakBefore w:val="0"/>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一、总体要求</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指导思想</w:t>
      </w:r>
    </w:p>
    <w:p>
      <w:pPr>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微软雅黑" w:hAnsi="微软雅黑" w:eastAsia="微软雅黑" w:cs="微软雅黑"/>
          <w:b/>
          <w:bCs/>
          <w:color w:val="auto"/>
          <w:sz w:val="32"/>
          <w:szCs w:val="32"/>
        </w:rPr>
      </w:pPr>
      <w:r>
        <w:rPr>
          <w:rFonts w:hint="eastAsia" w:ascii="仿宋" w:hAnsi="仿宋" w:eastAsia="仿宋" w:cs="仿宋"/>
          <w:color w:val="auto"/>
          <w:sz w:val="32"/>
          <w:szCs w:val="32"/>
          <w:highlight w:val="none"/>
        </w:rPr>
        <w:t>以习近平新时代中国特色社会主义思想为指导，深入</w:t>
      </w:r>
      <w:r>
        <w:rPr>
          <w:rFonts w:ascii="仿宋" w:hAnsi="仿宋" w:eastAsia="仿宋" w:cs="仿宋"/>
          <w:color w:val="auto"/>
          <w:sz w:val="32"/>
          <w:szCs w:val="32"/>
          <w:highlight w:val="none"/>
        </w:rPr>
        <w:t>贯彻</w:t>
      </w:r>
      <w:r>
        <w:rPr>
          <w:rFonts w:hint="eastAsia" w:ascii="仿宋" w:hAnsi="仿宋" w:eastAsia="仿宋" w:cs="仿宋"/>
          <w:color w:val="auto"/>
          <w:sz w:val="32"/>
          <w:szCs w:val="32"/>
          <w:highlight w:val="none"/>
        </w:rPr>
        <w:t>党的十九届五中全会</w:t>
      </w:r>
      <w:r>
        <w:rPr>
          <w:rFonts w:hint="eastAsia" w:ascii="仿宋" w:hAnsi="仿宋" w:eastAsia="仿宋" w:cs="仿宋"/>
          <w:color w:val="auto"/>
          <w:sz w:val="32"/>
          <w:szCs w:val="32"/>
          <w:highlight w:val="none"/>
          <w:lang w:val="en-US" w:eastAsia="zh-CN"/>
        </w:rPr>
        <w:t>和自治区党委十二届十二次会议</w:t>
      </w:r>
      <w:r>
        <w:rPr>
          <w:rFonts w:hint="eastAsia" w:ascii="仿宋" w:hAnsi="仿宋" w:eastAsia="仿宋" w:cs="仿宋"/>
          <w:color w:val="auto"/>
          <w:sz w:val="32"/>
          <w:szCs w:val="32"/>
          <w:highlight w:val="none"/>
        </w:rPr>
        <w:t>精神，坚持新发展理念</w:t>
      </w:r>
      <w:r>
        <w:rPr>
          <w:rFonts w:ascii="仿宋" w:hAnsi="仿宋" w:eastAsia="仿宋" w:cs="仿宋"/>
          <w:color w:val="auto"/>
          <w:sz w:val="32"/>
          <w:szCs w:val="32"/>
          <w:highlight w:val="none"/>
        </w:rPr>
        <w:t>，以改革创新为动力</w:t>
      </w:r>
      <w:r>
        <w:rPr>
          <w:rFonts w:hint="eastAsia" w:ascii="仿宋" w:hAnsi="仿宋" w:eastAsia="仿宋" w:cs="仿宋"/>
          <w:color w:val="auto"/>
          <w:sz w:val="32"/>
          <w:szCs w:val="32"/>
          <w:highlight w:val="none"/>
        </w:rPr>
        <w:t>，以推进全产业链高质量发展为目标，以构筑生产基地为基础、提升加工能力为枢纽、完善流通体系为引力、推进创新驱动为支撑，着力构建区域化布局、规范化运行、深层次开发、产业化经营的</w:t>
      </w:r>
      <w:r>
        <w:rPr>
          <w:rFonts w:hint="eastAsia" w:ascii="仿宋" w:hAnsi="仿宋" w:eastAsia="仿宋" w:cs="仿宋"/>
          <w:color w:val="auto"/>
          <w:sz w:val="32"/>
          <w:szCs w:val="32"/>
        </w:rPr>
        <w:t>中药材</w:t>
      </w:r>
      <w:r>
        <w:rPr>
          <w:rFonts w:hint="eastAsia" w:ascii="仿宋" w:hAnsi="仿宋" w:eastAsia="仿宋" w:cs="仿宋"/>
          <w:color w:val="auto"/>
          <w:sz w:val="32"/>
          <w:szCs w:val="32"/>
          <w:highlight w:val="none"/>
        </w:rPr>
        <w:t>产业体系，持续推进</w:t>
      </w:r>
      <w:r>
        <w:rPr>
          <w:rFonts w:hint="eastAsia" w:ascii="仿宋" w:hAnsi="仿宋" w:eastAsia="仿宋" w:cs="仿宋"/>
          <w:color w:val="auto"/>
          <w:sz w:val="32"/>
          <w:szCs w:val="32"/>
        </w:rPr>
        <w:t>中药材</w:t>
      </w:r>
      <w:r>
        <w:rPr>
          <w:rFonts w:hint="eastAsia" w:ascii="仿宋" w:hAnsi="仿宋" w:eastAsia="仿宋" w:cs="仿宋"/>
          <w:color w:val="auto"/>
          <w:sz w:val="32"/>
          <w:szCs w:val="32"/>
          <w:highlight w:val="none"/>
        </w:rPr>
        <w:t>全产业链向高端化、绿色化、智能化、融合化方向高质量发展，把</w:t>
      </w:r>
      <w:r>
        <w:rPr>
          <w:rFonts w:hint="eastAsia" w:ascii="仿宋" w:hAnsi="仿宋" w:eastAsia="仿宋" w:cs="仿宋"/>
          <w:color w:val="auto"/>
          <w:sz w:val="32"/>
          <w:szCs w:val="32"/>
        </w:rPr>
        <w:t>中药材</w:t>
      </w:r>
      <w:r>
        <w:rPr>
          <w:rFonts w:hint="eastAsia" w:ascii="仿宋" w:hAnsi="仿宋" w:eastAsia="仿宋" w:cs="仿宋"/>
          <w:color w:val="auto"/>
          <w:sz w:val="32"/>
          <w:szCs w:val="32"/>
          <w:highlight w:val="none"/>
        </w:rPr>
        <w:t>产业培育成为富民的特色产业、强区的优势产业、可持续发展的生态产业。</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基本原则</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w:t>
      </w:r>
      <w:r>
        <w:rPr>
          <w:rFonts w:hint="eastAsia" w:ascii="仿宋" w:hAnsi="仿宋" w:eastAsia="仿宋" w:cs="仿宋"/>
          <w:b/>
          <w:color w:val="auto"/>
          <w:sz w:val="32"/>
          <w:szCs w:val="32"/>
          <w:lang w:val="zh-CN"/>
        </w:rPr>
        <w:t>坚持政府引导与市场主</w:t>
      </w:r>
      <w:r>
        <w:rPr>
          <w:rFonts w:hint="eastAsia" w:ascii="仿宋" w:hAnsi="仿宋" w:eastAsia="仿宋" w:cs="仿宋"/>
          <w:b/>
          <w:color w:val="auto"/>
          <w:sz w:val="32"/>
          <w:szCs w:val="32"/>
          <w:lang w:val="en-US" w:eastAsia="zh-CN"/>
        </w:rPr>
        <w:t>体</w:t>
      </w:r>
      <w:r>
        <w:rPr>
          <w:rFonts w:hint="eastAsia" w:ascii="仿宋" w:hAnsi="仿宋" w:eastAsia="仿宋" w:cs="仿宋"/>
          <w:b/>
          <w:color w:val="auto"/>
          <w:sz w:val="32"/>
          <w:szCs w:val="32"/>
          <w:lang w:val="zh-CN"/>
        </w:rPr>
        <w:t>。</w:t>
      </w:r>
      <w:r>
        <w:rPr>
          <w:rFonts w:hint="eastAsia" w:ascii="仿宋" w:hAnsi="仿宋" w:eastAsia="仿宋" w:cs="仿宋"/>
          <w:color w:val="auto"/>
          <w:sz w:val="32"/>
          <w:szCs w:val="32"/>
        </w:rPr>
        <w:t>发挥政府规划引导、政策激励和组织协调作用，营造规范有序的市场竞争环境。以市场</w:t>
      </w:r>
      <w:r>
        <w:rPr>
          <w:rFonts w:hint="eastAsia" w:ascii="仿宋" w:hAnsi="仿宋" w:eastAsia="仿宋" w:cs="仿宋"/>
          <w:color w:val="auto"/>
          <w:sz w:val="32"/>
          <w:szCs w:val="32"/>
          <w:lang w:val="en-US" w:eastAsia="zh-CN"/>
        </w:rPr>
        <w:t>需求</w:t>
      </w:r>
      <w:r>
        <w:rPr>
          <w:rFonts w:hint="eastAsia" w:ascii="仿宋" w:hAnsi="仿宋" w:eastAsia="仿宋" w:cs="仿宋"/>
          <w:color w:val="auto"/>
          <w:sz w:val="32"/>
          <w:szCs w:val="32"/>
        </w:rPr>
        <w:t>为导向，整合社会资源，突出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药材各类企业在产业链升级与优化中的主体作用。加强数字化建设，科学应用大数据，引导医疗机构、加工企业等社会资本参与</w:t>
      </w:r>
      <w:r>
        <w:rPr>
          <w:rFonts w:hint="eastAsia" w:ascii="仿宋" w:hAnsi="仿宋" w:eastAsia="仿宋" w:cs="仿宋"/>
          <w:color w:val="auto"/>
          <w:sz w:val="32"/>
          <w:szCs w:val="32"/>
          <w:lang w:val="en-US" w:eastAsia="zh-CN"/>
        </w:rPr>
        <w:t>中药材产业发展</w:t>
      </w:r>
      <w:r>
        <w:rPr>
          <w:rFonts w:hint="eastAsia" w:ascii="仿宋" w:hAnsi="仿宋" w:eastAsia="仿宋" w:cs="仿宋"/>
          <w:color w:val="auto"/>
          <w:sz w:val="32"/>
          <w:szCs w:val="32"/>
        </w:rPr>
        <w:t>。</w:t>
      </w:r>
    </w:p>
    <w:p>
      <w:pPr>
        <w:pStyle w:val="12"/>
        <w:pageBreakBefore w:val="0"/>
        <w:kinsoku/>
        <w:wordWrap/>
        <w:overflowPunct/>
        <w:topLinePunct w:val="0"/>
        <w:autoSpaceDE/>
        <w:autoSpaceDN/>
        <w:bidi w:val="0"/>
        <w:adjustRightInd/>
        <w:snapToGrid/>
        <w:spacing w:before="120" w:line="560" w:lineRule="exact"/>
        <w:ind w:right="0" w:rightChars="0" w:firstLine="643" w:firstLineChars="200"/>
        <w:textAlignment w:val="auto"/>
        <w:rPr>
          <w:rFonts w:hint="eastAsia" w:ascii="仿宋" w:hAnsi="仿宋" w:eastAsia="仿宋" w:cs="仿宋"/>
          <w:color w:val="auto"/>
          <w:kern w:val="2"/>
          <w:sz w:val="32"/>
          <w:szCs w:val="32"/>
        </w:rPr>
      </w:pPr>
      <w:r>
        <w:rPr>
          <w:rFonts w:hint="eastAsia" w:ascii="仿宋" w:hAnsi="仿宋" w:eastAsia="仿宋" w:cs="仿宋"/>
          <w:b/>
          <w:color w:val="auto"/>
          <w:sz w:val="32"/>
          <w:szCs w:val="32"/>
        </w:rPr>
        <w:t>——</w:t>
      </w:r>
      <w:r>
        <w:rPr>
          <w:rFonts w:ascii="仿宋" w:hAnsi="仿宋" w:eastAsia="仿宋" w:cs="仿宋"/>
          <w:b/>
          <w:color w:val="auto"/>
          <w:kern w:val="2"/>
          <w:sz w:val="32"/>
          <w:szCs w:val="32"/>
        </w:rPr>
        <w:t>坚持新发展理念</w:t>
      </w:r>
      <w:r>
        <w:rPr>
          <w:rFonts w:hint="eastAsia" w:ascii="仿宋" w:hAnsi="仿宋" w:eastAsia="仿宋" w:cs="仿宋"/>
          <w:b/>
          <w:color w:val="auto"/>
          <w:kern w:val="2"/>
          <w:sz w:val="32"/>
          <w:szCs w:val="32"/>
        </w:rPr>
        <w:t>与</w:t>
      </w:r>
      <w:r>
        <w:rPr>
          <w:rFonts w:ascii="仿宋" w:hAnsi="仿宋" w:eastAsia="仿宋" w:cs="仿宋"/>
          <w:b/>
          <w:color w:val="auto"/>
          <w:kern w:val="2"/>
          <w:sz w:val="32"/>
          <w:szCs w:val="32"/>
        </w:rPr>
        <w:t>系统观念。</w:t>
      </w:r>
      <w:r>
        <w:rPr>
          <w:rFonts w:ascii="仿宋" w:hAnsi="仿宋" w:eastAsia="仿宋" w:cs="仿宋"/>
          <w:color w:val="auto"/>
          <w:kern w:val="2"/>
          <w:sz w:val="32"/>
          <w:szCs w:val="32"/>
        </w:rPr>
        <w:t>把</w:t>
      </w:r>
      <w:r>
        <w:rPr>
          <w:rFonts w:hint="eastAsia" w:ascii="仿宋" w:hAnsi="仿宋" w:eastAsia="仿宋" w:cs="仿宋"/>
          <w:color w:val="auto"/>
          <w:kern w:val="2"/>
          <w:sz w:val="32"/>
          <w:szCs w:val="32"/>
          <w:highlight w:val="none"/>
        </w:rPr>
        <w:t>新发展理念</w:t>
      </w:r>
      <w:r>
        <w:rPr>
          <w:rFonts w:ascii="仿宋" w:hAnsi="仿宋" w:eastAsia="仿宋" w:cs="仿宋"/>
          <w:color w:val="auto"/>
          <w:kern w:val="2"/>
          <w:sz w:val="32"/>
          <w:szCs w:val="32"/>
        </w:rPr>
        <w:t>贯穿</w:t>
      </w:r>
      <w:r>
        <w:rPr>
          <w:rFonts w:hint="eastAsia" w:ascii="仿宋" w:hAnsi="仿宋" w:eastAsia="仿宋" w:cs="仿宋"/>
          <w:color w:val="auto"/>
          <w:kern w:val="2"/>
          <w:sz w:val="32"/>
          <w:szCs w:val="32"/>
        </w:rPr>
        <w:t>产业</w:t>
      </w:r>
      <w:r>
        <w:rPr>
          <w:rFonts w:ascii="仿宋" w:hAnsi="仿宋" w:eastAsia="仿宋" w:cs="仿宋"/>
          <w:color w:val="auto"/>
          <w:kern w:val="2"/>
          <w:sz w:val="32"/>
          <w:szCs w:val="32"/>
        </w:rPr>
        <w:t>发展全过程，构建</w:t>
      </w:r>
      <w:r>
        <w:rPr>
          <w:rFonts w:ascii="仿宋" w:hAnsi="仿宋" w:eastAsia="仿宋" w:cs="仿宋"/>
          <w:color w:val="auto"/>
          <w:kern w:val="2"/>
          <w:sz w:val="32"/>
          <w:szCs w:val="32"/>
          <w:highlight w:val="none"/>
        </w:rPr>
        <w:t>新发展格局</w:t>
      </w:r>
      <w:r>
        <w:rPr>
          <w:rFonts w:ascii="仿宋" w:hAnsi="仿宋" w:eastAsia="仿宋" w:cs="仿宋"/>
          <w:color w:val="auto"/>
          <w:kern w:val="2"/>
          <w:sz w:val="32"/>
          <w:szCs w:val="32"/>
        </w:rPr>
        <w:t>，切实转变发展方式，</w:t>
      </w:r>
      <w:r>
        <w:rPr>
          <w:rFonts w:hint="eastAsia" w:ascii="仿宋" w:hAnsi="仿宋" w:eastAsia="仿宋" w:cs="仿宋"/>
          <w:color w:val="auto"/>
          <w:kern w:val="2"/>
          <w:sz w:val="32"/>
          <w:szCs w:val="32"/>
          <w:highlight w:val="none"/>
        </w:rPr>
        <w:t>推进</w:t>
      </w:r>
      <w:r>
        <w:rPr>
          <w:rFonts w:hint="eastAsia" w:ascii="仿宋" w:hAnsi="仿宋" w:eastAsia="仿宋" w:cs="仿宋"/>
          <w:color w:val="auto"/>
          <w:kern w:val="2"/>
          <w:sz w:val="32"/>
          <w:szCs w:val="32"/>
        </w:rPr>
        <w:t>中药材</w:t>
      </w:r>
      <w:r>
        <w:rPr>
          <w:rFonts w:hint="eastAsia" w:ascii="仿宋" w:hAnsi="仿宋" w:eastAsia="仿宋" w:cs="仿宋"/>
          <w:color w:val="auto"/>
          <w:kern w:val="2"/>
          <w:sz w:val="32"/>
          <w:szCs w:val="32"/>
          <w:highlight w:val="none"/>
        </w:rPr>
        <w:t>全产业链向高端化、绿色化、智能化、融合化方向高质量发展</w:t>
      </w:r>
      <w:r>
        <w:rPr>
          <w:rFonts w:ascii="仿宋" w:hAnsi="仿宋" w:eastAsia="仿宋" w:cs="仿宋"/>
          <w:color w:val="auto"/>
          <w:kern w:val="2"/>
          <w:sz w:val="32"/>
          <w:szCs w:val="32"/>
        </w:rPr>
        <w:t>。加强</w:t>
      </w:r>
      <w:r>
        <w:rPr>
          <w:rFonts w:ascii="仿宋" w:hAnsi="仿宋" w:eastAsia="仿宋" w:cs="仿宋"/>
          <w:color w:val="auto"/>
          <w:kern w:val="2"/>
          <w:sz w:val="32"/>
          <w:szCs w:val="32"/>
          <w:highlight w:val="none"/>
        </w:rPr>
        <w:t>前瞻性思考、全局性谋划、战略性布局、整体性推进</w:t>
      </w:r>
      <w:r>
        <w:rPr>
          <w:rFonts w:ascii="仿宋" w:hAnsi="仿宋" w:eastAsia="仿宋" w:cs="仿宋"/>
          <w:color w:val="auto"/>
          <w:kern w:val="2"/>
          <w:sz w:val="32"/>
          <w:szCs w:val="32"/>
        </w:rPr>
        <w:t>，着力</w:t>
      </w:r>
      <w:r>
        <w:rPr>
          <w:rFonts w:ascii="仿宋" w:hAnsi="仿宋" w:eastAsia="仿宋" w:cs="仿宋"/>
          <w:color w:val="auto"/>
          <w:kern w:val="2"/>
          <w:sz w:val="32"/>
          <w:szCs w:val="32"/>
          <w:highlight w:val="none"/>
        </w:rPr>
        <w:t>固根基、扬优势、补短板、强弱项</w:t>
      </w:r>
      <w:r>
        <w:rPr>
          <w:rFonts w:ascii="仿宋" w:hAnsi="仿宋" w:eastAsia="仿宋" w:cs="仿宋"/>
          <w:color w:val="auto"/>
          <w:kern w:val="2"/>
          <w:sz w:val="32"/>
          <w:szCs w:val="32"/>
        </w:rPr>
        <w:t>，</w:t>
      </w:r>
      <w:r>
        <w:rPr>
          <w:rFonts w:ascii="仿宋" w:hAnsi="仿宋" w:eastAsia="仿宋" w:cs="仿宋"/>
          <w:color w:val="auto"/>
          <w:kern w:val="2"/>
          <w:sz w:val="32"/>
          <w:szCs w:val="32"/>
          <w:highlight w:val="none"/>
        </w:rPr>
        <w:t>实现发展质量、规模、速度、效益相统一</w:t>
      </w:r>
      <w:r>
        <w:rPr>
          <w:rFonts w:ascii="仿宋" w:hAnsi="仿宋" w:eastAsia="仿宋" w:cs="仿宋"/>
          <w:color w:val="auto"/>
          <w:kern w:val="2"/>
          <w:sz w:val="32"/>
          <w:szCs w:val="32"/>
        </w:rPr>
        <w:t>。</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——突出资源优势与科技创新。</w:t>
      </w:r>
      <w:r>
        <w:rPr>
          <w:rFonts w:hint="eastAsia" w:ascii="仿宋" w:hAnsi="仿宋" w:eastAsia="仿宋" w:cs="仿宋"/>
          <w:color w:val="auto"/>
          <w:sz w:val="32"/>
          <w:szCs w:val="32"/>
        </w:rPr>
        <w:t>立足宁夏区位、生态、环境、资源等优势，以宁产道地品种和重点品种综合开发为核心，</w:t>
      </w:r>
      <w:r>
        <w:rPr>
          <w:rFonts w:hint="eastAsia" w:ascii="仿宋" w:hAnsi="仿宋" w:eastAsia="仿宋" w:cs="仿宋"/>
          <w:color w:val="auto"/>
          <w:sz w:val="32"/>
          <w:szCs w:val="32"/>
          <w:lang w:val="en-US" w:eastAsia="zh-CN"/>
        </w:rPr>
        <w:t>加强</w:t>
      </w:r>
      <w:r>
        <w:rPr>
          <w:rFonts w:hint="eastAsia" w:ascii="仿宋" w:hAnsi="仿宋" w:eastAsia="仿宋" w:cs="仿宋"/>
          <w:color w:val="auto"/>
          <w:sz w:val="32"/>
          <w:szCs w:val="32"/>
        </w:rPr>
        <w:t>全产业链中关键技术、共性技术</w:t>
      </w:r>
      <w:r>
        <w:rPr>
          <w:rFonts w:hint="eastAsia" w:ascii="仿宋" w:hAnsi="仿宋" w:eastAsia="仿宋" w:cs="仿宋"/>
          <w:color w:val="auto"/>
          <w:sz w:val="32"/>
          <w:szCs w:val="32"/>
          <w:lang w:val="en-US" w:eastAsia="zh-CN"/>
        </w:rPr>
        <w:t>研究，</w:t>
      </w:r>
      <w:r>
        <w:rPr>
          <w:rFonts w:hint="eastAsia" w:ascii="仿宋" w:hAnsi="仿宋" w:eastAsia="仿宋" w:cs="仿宋"/>
          <w:color w:val="auto"/>
          <w:sz w:val="32"/>
          <w:szCs w:val="32"/>
        </w:rPr>
        <w:t>建立科研院校与企业联合共建的</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药材产业技术研发平台；培养和引进高层次</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药材产业人才，加</w:t>
      </w:r>
      <w:r>
        <w:rPr>
          <w:rFonts w:hint="eastAsia" w:ascii="仿宋" w:hAnsi="仿宋" w:eastAsia="仿宋" w:cs="仿宋"/>
          <w:color w:val="auto"/>
          <w:sz w:val="32"/>
          <w:szCs w:val="32"/>
          <w:lang w:val="en-US" w:eastAsia="zh-CN"/>
        </w:rPr>
        <w:t>快</w:t>
      </w:r>
      <w:r>
        <w:rPr>
          <w:rFonts w:hint="eastAsia" w:ascii="仿宋" w:hAnsi="仿宋" w:eastAsia="仿宋" w:cs="仿宋"/>
          <w:color w:val="auto"/>
          <w:sz w:val="32"/>
          <w:szCs w:val="32"/>
        </w:rPr>
        <w:t>培养</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药材产业专家团队，</w:t>
      </w:r>
      <w:r>
        <w:rPr>
          <w:rFonts w:hint="eastAsia" w:ascii="仿宋" w:hAnsi="仿宋" w:eastAsia="仿宋" w:cs="仿宋"/>
          <w:color w:val="auto"/>
          <w:sz w:val="32"/>
          <w:szCs w:val="32"/>
          <w:lang w:val="en-US" w:eastAsia="zh-CN"/>
        </w:rPr>
        <w:t>加强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w:t>
      </w:r>
      <w:r>
        <w:rPr>
          <w:rFonts w:hint="eastAsia" w:ascii="仿宋" w:hAnsi="仿宋" w:eastAsia="仿宋" w:cs="仿宋"/>
          <w:color w:val="auto"/>
          <w:sz w:val="32"/>
          <w:szCs w:val="32"/>
          <w:lang w:val="en-US" w:eastAsia="zh-CN"/>
        </w:rPr>
        <w:t>产业</w:t>
      </w:r>
      <w:r>
        <w:rPr>
          <w:rFonts w:hint="eastAsia" w:ascii="仿宋" w:hAnsi="仿宋" w:eastAsia="仿宋" w:cs="仿宋"/>
          <w:color w:val="auto"/>
          <w:sz w:val="32"/>
          <w:szCs w:val="32"/>
        </w:rPr>
        <w:t>从业人员</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rPr>
        <w:t>培训，提升科技支撑对</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药材产业创新发展的贡献率。</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ascii="仿宋" w:hAnsi="仿宋" w:eastAsia="仿宋" w:cs="仿宋"/>
          <w:color w:val="auto"/>
          <w:sz w:val="32"/>
          <w:szCs w:val="32"/>
        </w:rPr>
      </w:pPr>
      <w:r>
        <w:rPr>
          <w:rFonts w:hint="eastAsia" w:ascii="仿宋" w:hAnsi="仿宋" w:eastAsia="仿宋" w:cs="仿宋"/>
          <w:b/>
          <w:color w:val="auto"/>
          <w:sz w:val="32"/>
          <w:szCs w:val="32"/>
        </w:rPr>
        <w:t>——坚持规模发展与质量效益并重。</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药材产业标准体系为抓手，以道地、大宗中药材产业发展为重点，推进集约化规模</w:t>
      </w:r>
      <w:r>
        <w:rPr>
          <w:rFonts w:hint="eastAsia" w:ascii="仿宋" w:hAnsi="仿宋" w:eastAsia="仿宋" w:cs="仿宋"/>
          <w:color w:val="auto"/>
          <w:sz w:val="32"/>
          <w:szCs w:val="32"/>
          <w:lang w:val="en-US" w:eastAsia="zh-CN"/>
        </w:rPr>
        <w:t>化发展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坚持质量与效益</w:t>
      </w:r>
      <w:r>
        <w:rPr>
          <w:rFonts w:hint="eastAsia" w:ascii="仿宋" w:hAnsi="仿宋" w:eastAsia="仿宋" w:cs="仿宋"/>
          <w:color w:val="auto"/>
          <w:sz w:val="32"/>
          <w:szCs w:val="32"/>
          <w:lang w:val="en-US" w:eastAsia="zh-CN"/>
        </w:rPr>
        <w:t>并重，促进</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药材全产业链的产业形态协同、产销过程协同，实现企业和药农共同发展、城市和乡村共同发展，健康需求与社会经济共同发展，全面提升宁产</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药材的市场竞争力和社会影响力。</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lang w:val="zh-CN"/>
        </w:rPr>
        <w:t>——坚持资源保护与产业提速并</w:t>
      </w:r>
      <w:r>
        <w:rPr>
          <w:rFonts w:hint="eastAsia" w:ascii="仿宋" w:hAnsi="仿宋" w:eastAsia="仿宋" w:cs="仿宋"/>
          <w:b/>
          <w:color w:val="auto"/>
          <w:sz w:val="32"/>
          <w:szCs w:val="32"/>
          <w:lang w:val="en-US" w:eastAsia="zh-CN"/>
        </w:rPr>
        <w:t>举</w:t>
      </w:r>
      <w:r>
        <w:rPr>
          <w:rFonts w:hint="eastAsia" w:ascii="仿宋" w:hAnsi="仿宋" w:eastAsia="仿宋" w:cs="仿宋"/>
          <w:b/>
          <w:color w:val="auto"/>
          <w:sz w:val="32"/>
          <w:szCs w:val="32"/>
        </w:rPr>
        <w:t>。</w:t>
      </w:r>
      <w:r>
        <w:rPr>
          <w:rFonts w:hint="eastAsia" w:ascii="仿宋" w:hAnsi="仿宋" w:eastAsia="仿宋" w:cs="仿宋"/>
          <w:color w:val="auto"/>
          <w:sz w:val="32"/>
          <w:szCs w:val="32"/>
        </w:rPr>
        <w:t>切实加强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药材资源保护，减少对野生</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药材资源的依赖，实现中药材资源循环利用；加强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药材标准规范体系和认证建设，实现</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药材产业质量可持续提升；加强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药材产业生产能力和装备能力建设，实现</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药材产业效益可持续提高；加强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药材产业应用开发研究，实现</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w:t>
      </w:r>
      <w:r>
        <w:rPr>
          <w:rFonts w:hint="eastAsia" w:ascii="仿宋" w:hAnsi="仿宋" w:eastAsia="仿宋" w:cs="仿宋"/>
          <w:color w:val="auto"/>
          <w:sz w:val="32"/>
          <w:szCs w:val="32"/>
          <w:lang w:val="en-US" w:eastAsia="zh-CN"/>
        </w:rPr>
        <w:t>发展</w:t>
      </w:r>
      <w:r>
        <w:rPr>
          <w:rFonts w:hint="eastAsia" w:ascii="仿宋" w:hAnsi="仿宋" w:eastAsia="仿宋" w:cs="仿宋"/>
          <w:color w:val="auto"/>
          <w:sz w:val="32"/>
          <w:szCs w:val="32"/>
        </w:rPr>
        <w:t>持续深入。</w:t>
      </w:r>
    </w:p>
    <w:p>
      <w:pPr>
        <w:pStyle w:val="5"/>
        <w:pageBreakBefore w:val="0"/>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黑体" w:hAnsi="黑体" w:eastAsia="黑体" w:cs="黑体"/>
          <w:b w:val="0"/>
          <w:bCs w:val="0"/>
          <w:color w:val="auto"/>
          <w:sz w:val="32"/>
          <w:szCs w:val="32"/>
        </w:rPr>
      </w:pPr>
      <w:bookmarkStart w:id="0" w:name="_Toc57029009"/>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发展目标</w:t>
      </w:r>
      <w:bookmarkEnd w:id="0"/>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ascii="仿宋" w:hAnsi="仿宋" w:eastAsia="仿宋" w:cs="仿宋"/>
          <w:color w:val="auto"/>
          <w:sz w:val="32"/>
          <w:szCs w:val="32"/>
        </w:rPr>
      </w:pPr>
      <w:r>
        <w:rPr>
          <w:rFonts w:hint="eastAsia" w:ascii="仿宋" w:hAnsi="仿宋" w:eastAsia="仿宋" w:cs="仿宋"/>
          <w:b/>
          <w:color w:val="auto"/>
          <w:sz w:val="32"/>
          <w:szCs w:val="32"/>
        </w:rPr>
        <w:t>——</w:t>
      </w:r>
      <w:r>
        <w:rPr>
          <w:rFonts w:hint="eastAsia" w:ascii="仿宋" w:hAnsi="仿宋" w:eastAsia="仿宋" w:cs="仿宋"/>
          <w:color w:val="auto"/>
          <w:sz w:val="32"/>
          <w:szCs w:val="32"/>
        </w:rPr>
        <w:t>建立完整的中药产业发展支撑体系，突破一批关键领域的核心技术，培育一批龙头企业，打造一批品牌产品，形成一批产业集群，把中药产业培育成全区重要的支柱产业，实现产业规模稳定增长、创新能力明显增强、产业结构基本合理、空间布局显著优化。</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w:t>
      </w:r>
      <w:r>
        <w:rPr>
          <w:rFonts w:hint="eastAsia" w:ascii="仿宋" w:hAnsi="仿宋" w:eastAsia="仿宋" w:cs="仿宋"/>
          <w:color w:val="auto"/>
          <w:sz w:val="32"/>
          <w:szCs w:val="32"/>
        </w:rPr>
        <w:t>以宁夏道地、特色</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药材资源为基础，以</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药材市场为导向，以提高中药产业的质量和市场竞争力为核心，充分运用互联网+、物联网、区块链和人工智能、大数据等新技术，加快</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药材生产基地、龙头企业和市场建设，规范</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药材生产、经营秩序，建立科学完善的质量标准体系、市场信息体系，打造</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药材现代物流体系和供应保障平台。</w:t>
      </w:r>
    </w:p>
    <w:p>
      <w:pPr>
        <w:pageBreakBefore w:val="0"/>
        <w:kinsoku/>
        <w:wordWrap/>
        <w:overflowPunct/>
        <w:topLinePunct w:val="0"/>
        <w:autoSpaceDE/>
        <w:autoSpaceDN/>
        <w:bidi w:val="0"/>
        <w:spacing w:line="560" w:lineRule="exact"/>
        <w:ind w:right="0" w:rightChars="0" w:firstLine="643" w:firstLineChars="200"/>
        <w:textAlignment w:val="auto"/>
        <w:rPr>
          <w:rFonts w:hint="eastAsia"/>
          <w:color w:val="auto"/>
        </w:rPr>
      </w:pPr>
      <w:r>
        <w:rPr>
          <w:rFonts w:hint="eastAsia" w:ascii="仿宋" w:hAnsi="仿宋" w:eastAsia="仿宋" w:cs="仿宋"/>
          <w:b/>
          <w:color w:val="auto"/>
          <w:sz w:val="32"/>
          <w:szCs w:val="32"/>
        </w:rPr>
        <w:t>——</w:t>
      </w:r>
      <w:r>
        <w:rPr>
          <w:rFonts w:hint="eastAsia" w:ascii="仿宋" w:hAnsi="仿宋" w:eastAsia="仿宋" w:cs="仿宋"/>
          <w:color w:val="auto"/>
          <w:sz w:val="32"/>
          <w:szCs w:val="32"/>
        </w:rPr>
        <w:t>实施品牌战略和龙头带动战略。完善以地理标志、商标、优质产品标准、信誉评级相结合的道地中药材保护机制，开展小茴香、板蓝根、柴胡、党参、红花</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苦杏仁、菟丝子</w:t>
      </w:r>
      <w:r>
        <w:rPr>
          <w:rFonts w:hint="eastAsia" w:ascii="仿宋" w:hAnsi="仿宋" w:eastAsia="仿宋" w:cs="仿宋"/>
          <w:color w:val="auto"/>
          <w:sz w:val="32"/>
          <w:szCs w:val="32"/>
        </w:rPr>
        <w:t>等道地中药材地理标志产品认证,建设一批道地中药材生态种植示范基地。</w:t>
      </w:r>
    </w:p>
    <w:p>
      <w:pPr>
        <w:pageBreakBefore w:val="0"/>
        <w:kinsoku/>
        <w:wordWrap/>
        <w:overflowPunct/>
        <w:topLinePunct w:val="0"/>
        <w:autoSpaceDE/>
        <w:autoSpaceDN/>
        <w:bidi w:val="0"/>
        <w:adjustRightInd/>
        <w:snapToGrid/>
        <w:spacing w:line="560" w:lineRule="exact"/>
        <w:ind w:right="0" w:righ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力争到2025年，建成宁夏中药材资源基础数据库，并在三个不同分布特征的道地中药材产区分别建设药用种质资源保存圃和良种繁育基地；建设</w:t>
      </w:r>
      <w:r>
        <w:rPr>
          <w:rFonts w:hint="eastAsia" w:ascii="仿宋" w:hAnsi="仿宋" w:eastAsia="仿宋" w:cs="仿宋"/>
          <w:color w:val="auto"/>
          <w:sz w:val="32"/>
          <w:szCs w:val="32"/>
          <w:lang w:val="en-US" w:eastAsia="zh-CN"/>
        </w:rPr>
        <w:t>1</w:t>
      </w:r>
      <w:r>
        <w:rPr>
          <w:rFonts w:ascii="仿宋" w:hAnsi="仿宋" w:eastAsia="仿宋" w:cs="仿宋"/>
          <w:color w:val="auto"/>
          <w:sz w:val="32"/>
          <w:szCs w:val="32"/>
        </w:rPr>
        <w:t>O</w:t>
      </w:r>
      <w:r>
        <w:rPr>
          <w:rFonts w:hint="eastAsia" w:ascii="仿宋" w:hAnsi="仿宋" w:eastAsia="仿宋" w:cs="仿宋"/>
          <w:color w:val="auto"/>
          <w:sz w:val="32"/>
          <w:szCs w:val="32"/>
        </w:rPr>
        <w:t>个生态种植和林下仿野生种植产业示范基地、3-5个定制药园、5-7个</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药材产地初加工示范基地和2-3个</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药材仓储物流基地；培育一批有全国影响力的特色</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药材品牌；创建中药材产业新型研发技术平台</w:t>
      </w:r>
      <w:r>
        <w:rPr>
          <w:rFonts w:hint="eastAsia" w:ascii="仿宋" w:hAnsi="仿宋" w:eastAsia="仿宋" w:cs="仿宋"/>
          <w:color w:val="auto"/>
          <w:sz w:val="32"/>
          <w:szCs w:val="32"/>
          <w:lang w:val="en-US" w:eastAsia="zh-CN"/>
        </w:rPr>
        <w:t>5-10个，</w:t>
      </w:r>
      <w:r>
        <w:rPr>
          <w:rFonts w:hint="eastAsia" w:ascii="仿宋" w:hAnsi="仿宋" w:eastAsia="仿宋" w:cs="仿宋"/>
          <w:color w:val="auto"/>
          <w:sz w:val="32"/>
          <w:szCs w:val="32"/>
        </w:rPr>
        <w:t>争取枸杞、甘草、黄芪、银柴胡、小茴香、菟丝子、板蓝根、秦艽、柴胡、黄芩、红花等</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药材种植面积稳定在200万亩以上（含枸杞面积），总产值达到</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50亿元。努力实现</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药材产业形态现代化、产业过程标准化、产业科技体系化、产业链条完整化、产业融合深度化、产业品牌知名化、产业经济高端化的总体产业格局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使宁夏</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药材产业在西北地区影响和地位稳步提升。</w:t>
      </w:r>
    </w:p>
    <w:p>
      <w:pPr>
        <w:pStyle w:val="4"/>
        <w:pageBreakBefore w:val="0"/>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黑体" w:hAnsi="黑体" w:eastAsia="黑体" w:cs="黑体"/>
          <w:b w:val="0"/>
          <w:bCs w:val="0"/>
          <w:color w:val="auto"/>
          <w:sz w:val="32"/>
          <w:szCs w:val="32"/>
        </w:rPr>
      </w:pPr>
      <w:bookmarkStart w:id="1" w:name="_Toc57029010"/>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、主要任务</w:t>
      </w:r>
      <w:bookmarkEnd w:id="1"/>
    </w:p>
    <w:p>
      <w:pPr>
        <w:pStyle w:val="5"/>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楷体" w:hAnsi="楷体" w:eastAsia="楷体" w:cs="楷体"/>
          <w:b/>
          <w:bCs/>
          <w:color w:val="auto"/>
          <w:sz w:val="32"/>
          <w:szCs w:val="32"/>
          <w:lang w:val="en-US" w:eastAsia="zh-CN"/>
        </w:rPr>
      </w:pPr>
      <w:bookmarkStart w:id="2" w:name="_Toc57029011"/>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val="en-US" w:eastAsia="zh-CN"/>
        </w:rPr>
        <w:t>加强</w:t>
      </w:r>
      <w:r>
        <w:rPr>
          <w:rFonts w:hint="eastAsia" w:ascii="楷体" w:hAnsi="楷体" w:eastAsia="楷体" w:cs="楷体"/>
          <w:b/>
          <w:bCs/>
          <w:color w:val="auto"/>
          <w:sz w:val="32"/>
          <w:szCs w:val="32"/>
        </w:rPr>
        <w:t>中药材资源保护</w:t>
      </w:r>
      <w:bookmarkEnd w:id="2"/>
      <w:r>
        <w:rPr>
          <w:rFonts w:hint="eastAsia" w:ascii="楷体" w:hAnsi="楷体" w:eastAsia="楷体" w:cs="楷体"/>
          <w:b/>
          <w:bCs/>
          <w:color w:val="auto"/>
          <w:sz w:val="32"/>
          <w:szCs w:val="32"/>
          <w:lang w:val="en-US" w:eastAsia="zh-CN"/>
        </w:rPr>
        <w:t>利用</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完善中药材资源基础数据库。</w:t>
      </w:r>
      <w:r>
        <w:rPr>
          <w:rFonts w:hint="eastAsia" w:ascii="仿宋" w:hAnsi="仿宋" w:eastAsia="仿宋" w:cs="仿宋"/>
          <w:color w:val="auto"/>
          <w:sz w:val="32"/>
          <w:szCs w:val="32"/>
        </w:rPr>
        <w:t>借助第四次全国中药材资源普查结果，开展宁夏中药材资源基础数据的系统整理与集成，全面系统掌握宁夏各县区野生和种植（养殖）中药材资源种类、蕴藏量、分布与变化趋势等资料，建立宁夏中药材资源基础数据库，完善中药材资源动态监测站和信息服务建设，</w:t>
      </w:r>
      <w:r>
        <w:rPr>
          <w:rFonts w:hint="eastAsia" w:ascii="仿宋" w:hAnsi="仿宋" w:eastAsia="仿宋" w:cs="仿宋"/>
          <w:color w:val="auto"/>
          <w:sz w:val="32"/>
          <w:szCs w:val="32"/>
          <w:lang w:val="en-US" w:eastAsia="zh-CN"/>
        </w:rPr>
        <w:t>强化</w:t>
      </w:r>
      <w:r>
        <w:rPr>
          <w:rFonts w:hint="eastAsia" w:ascii="仿宋" w:hAnsi="仿宋" w:eastAsia="仿宋" w:cs="仿宋"/>
          <w:color w:val="auto"/>
          <w:sz w:val="32"/>
          <w:szCs w:val="32"/>
        </w:rPr>
        <w:t>对野生与栽培（养殖）中药材资源的保护与监控。</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2.建设</w:t>
      </w:r>
      <w:r>
        <w:rPr>
          <w:rFonts w:hint="eastAsia" w:ascii="仿宋" w:hAnsi="仿宋" w:eastAsia="仿宋" w:cs="仿宋"/>
          <w:b/>
          <w:bCs/>
          <w:color w:val="auto"/>
          <w:sz w:val="32"/>
          <w:szCs w:val="32"/>
        </w:rPr>
        <w:t>中药材种质资源</w:t>
      </w:r>
      <w:r>
        <w:rPr>
          <w:rFonts w:hint="eastAsia" w:ascii="仿宋" w:hAnsi="仿宋" w:eastAsia="仿宋" w:cs="仿宋"/>
          <w:b/>
          <w:bCs/>
          <w:color w:val="auto"/>
          <w:sz w:val="32"/>
          <w:szCs w:val="32"/>
          <w:lang w:val="en-US" w:eastAsia="zh-CN"/>
        </w:rPr>
        <w:t>圃</w:t>
      </w:r>
      <w:r>
        <w:rPr>
          <w:rFonts w:hint="eastAsia" w:ascii="仿宋" w:hAnsi="仿宋" w:eastAsia="仿宋" w:cs="仿宋"/>
          <w:b/>
          <w:bCs/>
          <w:color w:val="auto"/>
          <w:sz w:val="32"/>
          <w:szCs w:val="32"/>
        </w:rPr>
        <w:t>。</w:t>
      </w:r>
      <w:r>
        <w:rPr>
          <w:rFonts w:hint="eastAsia" w:ascii="仿宋" w:hAnsi="仿宋" w:eastAsia="仿宋" w:cs="仿宋"/>
          <w:color w:val="auto"/>
          <w:sz w:val="32"/>
          <w:szCs w:val="32"/>
        </w:rPr>
        <w:t>积极开展濒危、特有种质的收集、保存、筛选和扩繁，加强濒危珍稀中药材资源的野生抚育与人工种植驯化技术研究，搜集保存枸杞、甘草、黄芪、银柴胡、小茴香、菟丝子、板蓝根、秦艽、柴胡、党参、红花、芍药、大黄等种质资源，建立自治区高标准</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药材种质资源圃</w:t>
      </w:r>
      <w:r>
        <w:rPr>
          <w:rFonts w:hint="eastAsia" w:ascii="仿宋" w:hAnsi="仿宋" w:eastAsia="仿宋" w:cs="仿宋"/>
          <w:color w:val="auto"/>
          <w:sz w:val="32"/>
          <w:szCs w:val="32"/>
          <w:lang w:val="en-US" w:eastAsia="zh-CN"/>
        </w:rPr>
        <w:t>2-3家</w:t>
      </w:r>
      <w:r>
        <w:rPr>
          <w:rFonts w:hint="eastAsia" w:ascii="仿宋" w:hAnsi="仿宋" w:eastAsia="仿宋" w:cs="仿宋"/>
          <w:color w:val="auto"/>
          <w:sz w:val="32"/>
          <w:szCs w:val="32"/>
        </w:rPr>
        <w:t>，为宁夏</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药材产业可持续发展提供资源保障。</w:t>
      </w:r>
    </w:p>
    <w:p>
      <w:pPr>
        <w:pStyle w:val="5"/>
        <w:pageBreakBefore w:val="0"/>
        <w:kinsoku/>
        <w:wordWrap/>
        <w:overflowPunct/>
        <w:topLinePunct w:val="0"/>
        <w:autoSpaceDE/>
        <w:autoSpaceDN/>
        <w:bidi w:val="0"/>
        <w:adjustRightInd/>
        <w:snapToGrid/>
        <w:spacing w:before="120" w:beforeLines="50" w:after="0" w:line="560" w:lineRule="exact"/>
        <w:ind w:right="0" w:rightChars="0" w:firstLine="643" w:firstLineChars="200"/>
        <w:textAlignment w:val="auto"/>
        <w:rPr>
          <w:rFonts w:hint="eastAsia" w:ascii="楷体" w:hAnsi="楷体" w:eastAsia="楷体" w:cs="楷体"/>
          <w:b/>
          <w:bCs/>
          <w:color w:val="auto"/>
          <w:sz w:val="32"/>
          <w:szCs w:val="32"/>
        </w:rPr>
      </w:pPr>
      <w:bookmarkStart w:id="3" w:name="_Toc57029012"/>
      <w:r>
        <w:rPr>
          <w:rFonts w:hint="eastAsia" w:ascii="楷体" w:hAnsi="楷体" w:eastAsia="楷体" w:cs="楷体"/>
          <w:b/>
          <w:bCs/>
          <w:color w:val="auto"/>
          <w:sz w:val="32"/>
          <w:szCs w:val="32"/>
        </w:rPr>
        <w:t>（二）构建中药材良繁体系</w:t>
      </w:r>
      <w:bookmarkEnd w:id="3"/>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加快</w:t>
      </w:r>
      <w:r>
        <w:rPr>
          <w:rFonts w:hint="eastAsia" w:ascii="仿宋" w:hAnsi="仿宋" w:eastAsia="仿宋" w:cs="仿宋"/>
          <w:b/>
          <w:bCs/>
          <w:color w:val="auto"/>
          <w:sz w:val="32"/>
          <w:szCs w:val="32"/>
          <w:lang w:eastAsia="zh-CN"/>
        </w:rPr>
        <w:t>中</w:t>
      </w:r>
      <w:r>
        <w:rPr>
          <w:rFonts w:hint="eastAsia" w:ascii="仿宋" w:hAnsi="仿宋" w:eastAsia="仿宋" w:cs="仿宋"/>
          <w:b/>
          <w:bCs/>
          <w:color w:val="auto"/>
          <w:sz w:val="32"/>
          <w:szCs w:val="32"/>
        </w:rPr>
        <w:t>药材良种选育平台建设。</w:t>
      </w:r>
      <w:r>
        <w:rPr>
          <w:rFonts w:hint="eastAsia" w:ascii="仿宋" w:hAnsi="仿宋" w:eastAsia="仿宋" w:cs="仿宋"/>
          <w:b w:val="0"/>
          <w:bCs w:val="0"/>
          <w:color w:val="auto"/>
          <w:sz w:val="32"/>
          <w:szCs w:val="32"/>
          <w:lang w:val="en-US" w:eastAsia="zh-CN"/>
        </w:rPr>
        <w:t>依托科研机构、大学、</w:t>
      </w:r>
      <w:r>
        <w:rPr>
          <w:rFonts w:hint="eastAsia" w:ascii="仿宋" w:hAnsi="仿宋" w:eastAsia="仿宋" w:cs="仿宋"/>
          <w:color w:val="auto"/>
          <w:sz w:val="32"/>
          <w:szCs w:val="32"/>
        </w:rPr>
        <w:t>优势产区和种植型企业，将传统育种方法和现代生物技术相结合，建立</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药材育种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引种技术研究与服务平台</w:t>
      </w:r>
      <w:r>
        <w:rPr>
          <w:rFonts w:hint="eastAsia" w:ascii="仿宋" w:hAnsi="仿宋" w:eastAsia="仿宋" w:cs="仿宋"/>
          <w:color w:val="auto"/>
          <w:sz w:val="32"/>
          <w:szCs w:val="32"/>
        </w:rPr>
        <w:t>，重点培育枸杞、甘草、黄芪、银柴胡、小茴香、板蓝根、秦艽、柴胡、党参、红花等</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药材优良品种10个以上，加强知识产权保护，研究制定配套的良种繁育技术、种子种苗质量标准及相应的配套栽培技术，推进良种产业化。</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加快</w:t>
      </w:r>
      <w:r>
        <w:rPr>
          <w:rFonts w:hint="eastAsia" w:ascii="仿宋" w:hAnsi="仿宋" w:eastAsia="仿宋" w:cs="仿宋"/>
          <w:b/>
          <w:bCs/>
          <w:color w:val="auto"/>
          <w:sz w:val="32"/>
          <w:szCs w:val="32"/>
          <w:lang w:eastAsia="zh-CN"/>
        </w:rPr>
        <w:t>中</w:t>
      </w:r>
      <w:r>
        <w:rPr>
          <w:rFonts w:hint="eastAsia" w:ascii="仿宋" w:hAnsi="仿宋" w:eastAsia="仿宋" w:cs="仿宋"/>
          <w:b/>
          <w:bCs/>
          <w:color w:val="auto"/>
          <w:sz w:val="32"/>
          <w:szCs w:val="32"/>
        </w:rPr>
        <w:t>药材种子种苗繁育基地建设。</w:t>
      </w:r>
      <w:r>
        <w:rPr>
          <w:rFonts w:hint="eastAsia" w:ascii="仿宋" w:hAnsi="仿宋" w:eastAsia="仿宋" w:cs="仿宋"/>
          <w:b w:val="0"/>
          <w:bCs w:val="0"/>
          <w:color w:val="auto"/>
          <w:sz w:val="32"/>
          <w:szCs w:val="32"/>
        </w:rPr>
        <w:t>通过政策引导、资金扶持，</w:t>
      </w:r>
      <w:r>
        <w:rPr>
          <w:rFonts w:hint="eastAsia" w:ascii="仿宋" w:hAnsi="仿宋" w:eastAsia="仿宋" w:cs="仿宋"/>
          <w:b w:val="0"/>
          <w:bCs w:val="0"/>
          <w:color w:val="auto"/>
          <w:sz w:val="32"/>
          <w:szCs w:val="32"/>
          <w:lang w:val="en-US" w:eastAsia="zh-CN"/>
        </w:rPr>
        <w:t>支持</w:t>
      </w:r>
      <w:r>
        <w:rPr>
          <w:rFonts w:hint="eastAsia" w:ascii="仿宋" w:hAnsi="仿宋" w:eastAsia="仿宋" w:cs="仿宋"/>
          <w:color w:val="auto"/>
          <w:sz w:val="32"/>
          <w:szCs w:val="32"/>
        </w:rPr>
        <w:t>高校、科研院所、种子种苗企业等，建设区域综合性或单品种种子种苗繁育基地，依据生态适宜性原则，建立3处区域化种子种苗繁育基地，对枸杞、甘草、黄芪、银柴胡、小茴香、菟丝子、板蓝根、秦艽、柴胡、黄芩、党参、红花等宁夏特色或重点</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药材品种进行种子种苗繁育生产，提升种子种苗生产技术标准、技术规程，确保中药材种源纯正、品质优良，确保优良种子种苗供应能力。</w:t>
      </w:r>
    </w:p>
    <w:p>
      <w:pPr>
        <w:pStyle w:val="5"/>
        <w:pageBreakBefore w:val="0"/>
        <w:kinsoku/>
        <w:wordWrap/>
        <w:overflowPunct/>
        <w:topLinePunct w:val="0"/>
        <w:autoSpaceDE/>
        <w:autoSpaceDN/>
        <w:bidi w:val="0"/>
        <w:adjustRightInd/>
        <w:snapToGrid/>
        <w:spacing w:before="120" w:beforeLines="50" w:after="0" w:line="560" w:lineRule="exact"/>
        <w:ind w:right="0" w:rightChars="0" w:firstLine="643" w:firstLineChars="200"/>
        <w:textAlignment w:val="auto"/>
        <w:rPr>
          <w:rFonts w:hint="eastAsia" w:ascii="楷体" w:hAnsi="楷体" w:eastAsia="楷体" w:cs="楷体"/>
          <w:b/>
          <w:bCs/>
          <w:color w:val="auto"/>
          <w:sz w:val="32"/>
          <w:szCs w:val="32"/>
          <w:lang w:val="en-US" w:eastAsia="zh-CN"/>
        </w:rPr>
      </w:pPr>
      <w:bookmarkStart w:id="4" w:name="_Toc57029013"/>
      <w:r>
        <w:rPr>
          <w:rFonts w:hint="eastAsia" w:ascii="楷体" w:hAnsi="楷体" w:eastAsia="楷体" w:cs="楷体"/>
          <w:b/>
          <w:bCs/>
          <w:color w:val="auto"/>
          <w:sz w:val="32"/>
          <w:szCs w:val="32"/>
        </w:rPr>
        <w:t>（三）</w:t>
      </w:r>
      <w:r>
        <w:rPr>
          <w:rFonts w:hint="eastAsia" w:ascii="楷体" w:hAnsi="楷体" w:eastAsia="楷体" w:cs="楷体"/>
          <w:b/>
          <w:bCs/>
          <w:color w:val="auto"/>
          <w:sz w:val="32"/>
          <w:szCs w:val="32"/>
          <w:lang w:val="en-US" w:eastAsia="zh-CN"/>
        </w:rPr>
        <w:t>建设</w:t>
      </w:r>
      <w:r>
        <w:rPr>
          <w:rFonts w:hint="eastAsia" w:ascii="楷体" w:hAnsi="楷体" w:eastAsia="楷体" w:cs="楷体"/>
          <w:color w:val="auto"/>
          <w:sz w:val="32"/>
          <w:szCs w:val="32"/>
        </w:rPr>
        <w:t>中药材规范化生产基地</w:t>
      </w:r>
      <w:bookmarkEnd w:id="4"/>
    </w:p>
    <w:p>
      <w:pPr>
        <w:pageBreakBefore w:val="0"/>
        <w:kinsoku/>
        <w:wordWrap/>
        <w:overflowPunct/>
        <w:topLinePunct w:val="0"/>
        <w:autoSpaceDE/>
        <w:autoSpaceDN/>
        <w:bidi w:val="0"/>
        <w:adjustRightInd/>
        <w:snapToGrid/>
        <w:spacing w:line="560" w:lineRule="exact"/>
        <w:ind w:right="0" w:rightChars="0" w:firstLine="635" w:firstLineChars="200"/>
        <w:textAlignment w:val="auto"/>
        <w:rPr>
          <w:rFonts w:hint="default" w:ascii="仿宋" w:hAnsi="仿宋" w:eastAsia="仿宋" w:cs="仿宋"/>
          <w:color w:val="auto"/>
          <w:spacing w:val="-2"/>
          <w:sz w:val="32"/>
          <w:szCs w:val="32"/>
          <w:lang w:val="en-US"/>
        </w:rPr>
      </w:pPr>
      <w:r>
        <w:rPr>
          <w:rFonts w:hint="eastAsia" w:ascii="仿宋" w:hAnsi="仿宋" w:eastAsia="仿宋" w:cs="仿宋"/>
          <w:b/>
          <w:bCs/>
          <w:color w:val="auto"/>
          <w:spacing w:val="-2"/>
          <w:sz w:val="32"/>
          <w:szCs w:val="32"/>
          <w:lang w:val="en-US" w:eastAsia="zh-CN"/>
        </w:rPr>
        <w:t>5.推进</w:t>
      </w:r>
      <w:r>
        <w:rPr>
          <w:rFonts w:hint="eastAsia" w:ascii="仿宋" w:hAnsi="仿宋" w:eastAsia="仿宋" w:cs="仿宋"/>
          <w:b/>
          <w:bCs/>
          <w:color w:val="auto"/>
          <w:spacing w:val="-2"/>
          <w:sz w:val="32"/>
          <w:szCs w:val="32"/>
        </w:rPr>
        <w:t>规范化生态种植示范基地</w:t>
      </w:r>
      <w:r>
        <w:rPr>
          <w:rFonts w:hint="eastAsia" w:ascii="仿宋" w:hAnsi="仿宋" w:eastAsia="仿宋" w:cs="仿宋"/>
          <w:b/>
          <w:bCs/>
          <w:color w:val="auto"/>
          <w:spacing w:val="-2"/>
          <w:sz w:val="32"/>
          <w:szCs w:val="32"/>
          <w:lang w:val="en-US" w:eastAsia="zh-CN"/>
        </w:rPr>
        <w:t>建设</w:t>
      </w:r>
      <w:r>
        <w:rPr>
          <w:rFonts w:hint="eastAsia" w:ascii="仿宋" w:hAnsi="仿宋" w:eastAsia="仿宋" w:cs="仿宋"/>
          <w:b/>
          <w:bCs/>
          <w:color w:val="auto"/>
          <w:spacing w:val="-2"/>
          <w:sz w:val="32"/>
          <w:szCs w:val="32"/>
        </w:rPr>
        <w:t>。</w:t>
      </w:r>
      <w:r>
        <w:rPr>
          <w:rFonts w:hint="eastAsia" w:ascii="仿宋" w:hAnsi="仿宋" w:eastAsia="仿宋" w:cs="仿宋"/>
          <w:color w:val="auto"/>
          <w:spacing w:val="-2"/>
          <w:sz w:val="32"/>
          <w:szCs w:val="32"/>
        </w:rPr>
        <w:t>优化产业布局，重点围绕六盘山区、中部干旱风沙区和北部引黄灌区三大</w:t>
      </w:r>
      <w:r>
        <w:rPr>
          <w:rFonts w:hint="eastAsia" w:ascii="仿宋" w:hAnsi="仿宋" w:eastAsia="仿宋" w:cs="仿宋"/>
          <w:color w:val="auto"/>
          <w:spacing w:val="-2"/>
          <w:sz w:val="32"/>
          <w:szCs w:val="32"/>
          <w:lang w:eastAsia="zh-CN"/>
        </w:rPr>
        <w:t>中</w:t>
      </w:r>
      <w:r>
        <w:rPr>
          <w:rFonts w:hint="eastAsia" w:ascii="仿宋" w:hAnsi="仿宋" w:eastAsia="仿宋" w:cs="仿宋"/>
          <w:color w:val="auto"/>
          <w:spacing w:val="-2"/>
          <w:sz w:val="32"/>
          <w:szCs w:val="32"/>
        </w:rPr>
        <w:t>药材核心生产区，建设宁夏道地、特色</w:t>
      </w:r>
      <w:r>
        <w:rPr>
          <w:rFonts w:hint="eastAsia" w:ascii="仿宋" w:hAnsi="仿宋" w:eastAsia="仿宋" w:cs="仿宋"/>
          <w:color w:val="auto"/>
          <w:spacing w:val="-2"/>
          <w:sz w:val="32"/>
          <w:szCs w:val="32"/>
          <w:lang w:eastAsia="zh-CN"/>
        </w:rPr>
        <w:t>中</w:t>
      </w:r>
      <w:r>
        <w:rPr>
          <w:rFonts w:hint="eastAsia" w:ascii="仿宋" w:hAnsi="仿宋" w:eastAsia="仿宋" w:cs="仿宋"/>
          <w:color w:val="auto"/>
          <w:spacing w:val="-2"/>
          <w:sz w:val="32"/>
          <w:szCs w:val="32"/>
        </w:rPr>
        <w:t>药材规范化生态种植示范基地</w:t>
      </w:r>
      <w:r>
        <w:rPr>
          <w:rFonts w:hint="eastAsia" w:ascii="仿宋" w:hAnsi="仿宋" w:eastAsia="仿宋" w:cs="仿宋"/>
          <w:color w:val="auto"/>
          <w:spacing w:val="-2"/>
          <w:sz w:val="32"/>
          <w:szCs w:val="32"/>
          <w:lang w:val="en-US" w:eastAsia="zh-CN"/>
        </w:rPr>
        <w:t>10个，鼓励</w:t>
      </w:r>
      <w:r>
        <w:rPr>
          <w:rFonts w:hint="eastAsia" w:ascii="仿宋" w:hAnsi="仿宋" w:eastAsia="仿宋" w:cs="仿宋"/>
          <w:color w:val="auto"/>
          <w:sz w:val="32"/>
          <w:szCs w:val="32"/>
          <w:lang w:val="en-US" w:eastAsia="zh-CN"/>
        </w:rPr>
        <w:t>数字生态中药种植园、中药循环种植（养殖）园建设</w:t>
      </w:r>
      <w:r>
        <w:rPr>
          <w:rFonts w:hint="eastAsia" w:ascii="仿宋" w:hAnsi="仿宋" w:eastAsia="仿宋" w:cs="仿宋"/>
          <w:color w:val="auto"/>
          <w:spacing w:val="-2"/>
          <w:sz w:val="32"/>
          <w:szCs w:val="32"/>
        </w:rPr>
        <w:t>。重点建设以隆德、彭阳、泾源、西吉、原州区等县区为核心区的黄芪、党参、柴胡、秦艽、苦杏仁、桃仁、红花、板蓝根等规范化种植基地；以盐池、红寺堡、同心、海原为核心区的甘草、银柴胡、黄芪、红花、小茴香等规范化种植基地；以银川兴庆区、灵武、永宁、贺兰、平罗、惠农、中宁、沙坡头区为核心区的枸杞、菟丝子、肉苁蓉等规范化种植基地。</w:t>
      </w:r>
      <w:r>
        <w:rPr>
          <w:rFonts w:hint="eastAsia" w:ascii="仿宋" w:hAnsi="仿宋" w:eastAsia="仿宋" w:cs="仿宋"/>
          <w:color w:val="auto"/>
          <w:sz w:val="32"/>
          <w:szCs w:val="32"/>
        </w:rPr>
        <w:t>大力推广测土配方施肥、病虫害统防统治和绿色防控等技术，进一步提升</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药材产业集中区的形成，带动全区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药材产业的规模化发展。</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6.支持</w:t>
      </w:r>
      <w:r>
        <w:rPr>
          <w:rFonts w:hint="eastAsia" w:ascii="仿宋" w:hAnsi="仿宋" w:eastAsia="仿宋" w:cs="仿宋"/>
          <w:b/>
          <w:bCs/>
          <w:color w:val="auto"/>
          <w:sz w:val="32"/>
          <w:szCs w:val="32"/>
        </w:rPr>
        <w:t>建立“定制药园”。</w:t>
      </w:r>
      <w:r>
        <w:rPr>
          <w:rFonts w:hint="eastAsia" w:ascii="仿宋" w:hAnsi="仿宋" w:eastAsia="仿宋" w:cs="仿宋"/>
          <w:b w:val="0"/>
          <w:bCs w:val="0"/>
          <w:color w:val="auto"/>
          <w:sz w:val="32"/>
          <w:szCs w:val="32"/>
          <w:lang w:val="en-US" w:eastAsia="zh-CN"/>
        </w:rPr>
        <w:t>支持</w:t>
      </w:r>
      <w:r>
        <w:rPr>
          <w:rFonts w:hint="eastAsia" w:ascii="仿宋" w:hAnsi="仿宋" w:eastAsia="仿宋" w:cs="仿宋"/>
          <w:color w:val="auto"/>
          <w:sz w:val="32"/>
          <w:szCs w:val="32"/>
        </w:rPr>
        <w:t>自治区内各医疗机构或中药企业到</w:t>
      </w:r>
      <w:r>
        <w:rPr>
          <w:rFonts w:hint="eastAsia" w:ascii="仿宋" w:hAnsi="仿宋" w:eastAsia="仿宋" w:cs="仿宋"/>
          <w:color w:val="auto"/>
          <w:sz w:val="32"/>
          <w:szCs w:val="32"/>
          <w:lang w:val="en-US" w:eastAsia="zh-CN"/>
        </w:rPr>
        <w:t>脱</w:t>
      </w:r>
      <w:r>
        <w:rPr>
          <w:rFonts w:hint="eastAsia" w:ascii="仿宋" w:hAnsi="仿宋" w:eastAsia="仿宋" w:cs="仿宋"/>
          <w:color w:val="auto"/>
          <w:sz w:val="32"/>
          <w:szCs w:val="32"/>
        </w:rPr>
        <w:t>贫地区建立“定制药园”，构建“医疗机构+中药企业+种植企业（合作社）”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巩固脱贫攻坚成果</w:t>
      </w:r>
      <w:r>
        <w:rPr>
          <w:rFonts w:hint="eastAsia" w:ascii="仿宋" w:hAnsi="仿宋" w:eastAsia="仿宋" w:cs="仿宋"/>
          <w:color w:val="auto"/>
          <w:sz w:val="32"/>
          <w:szCs w:val="32"/>
        </w:rPr>
        <w:t>，鼓励区内外医药企业将“定制药园”作为其原料中药材供应基地，</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中医医院优先采购以“定制药园”</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药材为主要原料的中药饮片（药品）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把“定制药园”打造成为自治区</w:t>
      </w:r>
      <w:r>
        <w:rPr>
          <w:rFonts w:hint="eastAsia" w:ascii="仿宋" w:hAnsi="仿宋" w:eastAsia="仿宋" w:cs="仿宋"/>
          <w:color w:val="auto"/>
          <w:sz w:val="32"/>
          <w:szCs w:val="32"/>
          <w:lang w:val="en-US" w:eastAsia="zh-CN"/>
        </w:rPr>
        <w:t>乡村振兴</w:t>
      </w:r>
      <w:r>
        <w:rPr>
          <w:rFonts w:hint="eastAsia" w:ascii="仿宋" w:hAnsi="仿宋" w:eastAsia="仿宋" w:cs="仿宋"/>
          <w:color w:val="auto"/>
          <w:sz w:val="32"/>
          <w:szCs w:val="32"/>
        </w:rPr>
        <w:t>示范基地。</w:t>
      </w:r>
    </w:p>
    <w:p>
      <w:pPr>
        <w:pageBreakBefore w:val="0"/>
        <w:kinsoku/>
        <w:wordWrap/>
        <w:overflowPunct/>
        <w:topLinePunct w:val="0"/>
        <w:autoSpaceDE/>
        <w:autoSpaceDN/>
        <w:bidi w:val="0"/>
        <w:adjustRightInd/>
        <w:snapToGrid/>
        <w:spacing w:line="560" w:lineRule="exact"/>
        <w:ind w:right="0" w:rightChars="0" w:firstLine="321" w:firstLineChars="100"/>
        <w:textAlignment w:val="auto"/>
        <w:rPr>
          <w:rFonts w:hint="eastAsia" w:ascii="楷体" w:hAnsi="楷体" w:eastAsia="楷体" w:cs="楷体"/>
          <w:b/>
          <w:bCs/>
          <w:color w:val="auto"/>
          <w:sz w:val="32"/>
          <w:szCs w:val="32"/>
        </w:rPr>
      </w:pPr>
      <w:bookmarkStart w:id="5" w:name="_Toc57029014"/>
      <w:r>
        <w:rPr>
          <w:rFonts w:hint="eastAsia" w:ascii="楷体" w:hAnsi="楷体" w:eastAsia="楷体" w:cs="楷体"/>
          <w:b/>
          <w:bCs/>
          <w:color w:val="auto"/>
          <w:sz w:val="32"/>
          <w:szCs w:val="32"/>
        </w:rPr>
        <w:t>（四）构筑中药材现代加工体系</w:t>
      </w:r>
      <w:bookmarkEnd w:id="5"/>
    </w:p>
    <w:p>
      <w:pPr>
        <w:pageBreakBefore w:val="0"/>
        <w:kinsoku/>
        <w:wordWrap/>
        <w:overflowPunct/>
        <w:topLinePunct w:val="0"/>
        <w:autoSpaceDE/>
        <w:autoSpaceDN/>
        <w:bidi w:val="0"/>
        <w:adjustRightInd/>
        <w:snapToGrid/>
        <w:spacing w:line="560" w:lineRule="exact"/>
        <w:ind w:right="0" w:rightChars="0" w:firstLine="635" w:firstLineChars="200"/>
        <w:textAlignment w:val="auto"/>
        <w:rPr>
          <w:rFonts w:hint="eastAsia" w:ascii="仿宋" w:hAnsi="仿宋" w:eastAsia="仿宋" w:cs="仿宋"/>
          <w:color w:val="auto"/>
          <w:spacing w:val="-2"/>
          <w:sz w:val="32"/>
          <w:szCs w:val="32"/>
        </w:rPr>
      </w:pPr>
      <w:r>
        <w:rPr>
          <w:rFonts w:hint="eastAsia" w:ascii="仿宋" w:hAnsi="仿宋" w:eastAsia="仿宋" w:cs="仿宋"/>
          <w:b/>
          <w:bCs/>
          <w:color w:val="auto"/>
          <w:spacing w:val="-2"/>
          <w:sz w:val="32"/>
          <w:szCs w:val="32"/>
          <w:lang w:val="en-US" w:eastAsia="zh-CN"/>
        </w:rPr>
        <w:t>7.</w:t>
      </w:r>
      <w:r>
        <w:rPr>
          <w:rFonts w:hint="eastAsia" w:ascii="仿宋" w:hAnsi="仿宋" w:eastAsia="仿宋" w:cs="仿宋"/>
          <w:b/>
          <w:bCs/>
          <w:color w:val="auto"/>
          <w:spacing w:val="-2"/>
          <w:sz w:val="32"/>
          <w:szCs w:val="32"/>
        </w:rPr>
        <w:t>建立</w:t>
      </w:r>
      <w:r>
        <w:rPr>
          <w:rFonts w:hint="eastAsia" w:ascii="仿宋" w:hAnsi="仿宋" w:eastAsia="仿宋" w:cs="仿宋"/>
          <w:b/>
          <w:bCs/>
          <w:color w:val="auto"/>
          <w:spacing w:val="-2"/>
          <w:sz w:val="32"/>
          <w:szCs w:val="32"/>
          <w:lang w:eastAsia="zh-CN"/>
        </w:rPr>
        <w:t>中</w:t>
      </w:r>
      <w:r>
        <w:rPr>
          <w:rFonts w:hint="eastAsia" w:ascii="仿宋" w:hAnsi="仿宋" w:eastAsia="仿宋" w:cs="仿宋"/>
          <w:b/>
          <w:bCs/>
          <w:color w:val="auto"/>
          <w:spacing w:val="-2"/>
          <w:sz w:val="32"/>
          <w:szCs w:val="32"/>
        </w:rPr>
        <w:t>药材产地初加工示范基地。</w:t>
      </w:r>
      <w:r>
        <w:rPr>
          <w:rFonts w:hint="eastAsia" w:ascii="仿宋" w:hAnsi="仿宋" w:eastAsia="仿宋" w:cs="仿宋"/>
          <w:color w:val="auto"/>
          <w:spacing w:val="-2"/>
          <w:sz w:val="32"/>
          <w:szCs w:val="32"/>
        </w:rPr>
        <w:t>建立枸杞、甘草、黄芪、银柴胡、小茴香、菟丝子、苦杏仁、桃仁、板蓝根、秦艽、柴胡、党参、红花</w:t>
      </w:r>
      <w:r>
        <w:rPr>
          <w:rFonts w:hint="eastAsia" w:ascii="仿宋" w:hAnsi="仿宋" w:eastAsia="仿宋" w:cs="仿宋"/>
          <w:color w:val="auto"/>
          <w:spacing w:val="-2"/>
          <w:sz w:val="32"/>
          <w:szCs w:val="32"/>
          <w:lang w:eastAsia="zh-CN"/>
        </w:rPr>
        <w:t>、</w:t>
      </w:r>
      <w:r>
        <w:rPr>
          <w:rFonts w:hint="eastAsia" w:ascii="仿宋" w:hAnsi="仿宋" w:eastAsia="仿宋" w:cs="仿宋"/>
          <w:color w:val="auto"/>
          <w:spacing w:val="-2"/>
          <w:sz w:val="32"/>
          <w:szCs w:val="32"/>
          <w:lang w:val="en-US" w:eastAsia="zh-CN"/>
        </w:rPr>
        <w:t>黄芩</w:t>
      </w:r>
      <w:r>
        <w:rPr>
          <w:rFonts w:hint="eastAsia" w:ascii="仿宋" w:hAnsi="仿宋" w:eastAsia="仿宋" w:cs="仿宋"/>
          <w:color w:val="auto"/>
          <w:spacing w:val="-2"/>
          <w:sz w:val="32"/>
          <w:szCs w:val="32"/>
        </w:rPr>
        <w:t>等道地、大宗</w:t>
      </w:r>
      <w:r>
        <w:rPr>
          <w:rFonts w:hint="eastAsia" w:ascii="仿宋" w:hAnsi="仿宋" w:eastAsia="仿宋" w:cs="仿宋"/>
          <w:color w:val="auto"/>
          <w:spacing w:val="-2"/>
          <w:sz w:val="32"/>
          <w:szCs w:val="32"/>
          <w:lang w:eastAsia="zh-CN"/>
        </w:rPr>
        <w:t>中</w:t>
      </w:r>
      <w:r>
        <w:rPr>
          <w:rFonts w:hint="eastAsia" w:ascii="仿宋" w:hAnsi="仿宋" w:eastAsia="仿宋" w:cs="仿宋"/>
          <w:color w:val="auto"/>
          <w:spacing w:val="-2"/>
          <w:sz w:val="32"/>
          <w:szCs w:val="32"/>
        </w:rPr>
        <w:t>药材产地初加工示范基地</w:t>
      </w:r>
      <w:r>
        <w:rPr>
          <w:rFonts w:hint="eastAsia" w:ascii="仿宋" w:hAnsi="仿宋" w:eastAsia="仿宋" w:cs="仿宋"/>
          <w:color w:val="auto"/>
          <w:spacing w:val="-2"/>
          <w:sz w:val="32"/>
          <w:szCs w:val="32"/>
          <w:lang w:val="en-US" w:eastAsia="zh-CN"/>
        </w:rPr>
        <w:t>5-7个</w:t>
      </w:r>
      <w:r>
        <w:rPr>
          <w:rFonts w:hint="eastAsia" w:ascii="仿宋" w:hAnsi="仿宋" w:eastAsia="仿宋" w:cs="仿宋"/>
          <w:color w:val="auto"/>
          <w:spacing w:val="-2"/>
          <w:sz w:val="32"/>
          <w:szCs w:val="32"/>
        </w:rPr>
        <w:t>，充分发挥</w:t>
      </w:r>
      <w:r>
        <w:rPr>
          <w:rFonts w:hint="eastAsia" w:ascii="仿宋" w:hAnsi="仿宋" w:eastAsia="仿宋" w:cs="仿宋"/>
          <w:color w:val="auto"/>
          <w:spacing w:val="-2"/>
          <w:sz w:val="32"/>
          <w:szCs w:val="32"/>
          <w:lang w:eastAsia="zh-CN"/>
        </w:rPr>
        <w:t>中</w:t>
      </w:r>
      <w:r>
        <w:rPr>
          <w:rFonts w:hint="eastAsia" w:ascii="仿宋" w:hAnsi="仿宋" w:eastAsia="仿宋" w:cs="仿宋"/>
          <w:color w:val="auto"/>
          <w:spacing w:val="-2"/>
          <w:sz w:val="32"/>
          <w:szCs w:val="32"/>
        </w:rPr>
        <w:t>药材加工龙头企业对</w:t>
      </w:r>
      <w:r>
        <w:rPr>
          <w:rFonts w:hint="eastAsia" w:ascii="仿宋" w:hAnsi="仿宋" w:eastAsia="仿宋" w:cs="仿宋"/>
          <w:color w:val="auto"/>
          <w:spacing w:val="-2"/>
          <w:sz w:val="32"/>
          <w:szCs w:val="32"/>
          <w:lang w:eastAsia="zh-CN"/>
        </w:rPr>
        <w:t>中</w:t>
      </w:r>
      <w:r>
        <w:rPr>
          <w:rFonts w:hint="eastAsia" w:ascii="仿宋" w:hAnsi="仿宋" w:eastAsia="仿宋" w:cs="仿宋"/>
          <w:color w:val="auto"/>
          <w:spacing w:val="-2"/>
          <w:sz w:val="32"/>
          <w:szCs w:val="32"/>
        </w:rPr>
        <w:t>药材加工基地的带动作用，提高产品质量、促进提质增效。支持</w:t>
      </w:r>
      <w:r>
        <w:rPr>
          <w:rFonts w:hint="eastAsia" w:ascii="仿宋" w:hAnsi="仿宋" w:eastAsia="仿宋" w:cs="仿宋"/>
          <w:color w:val="auto"/>
          <w:spacing w:val="-2"/>
          <w:sz w:val="32"/>
          <w:szCs w:val="32"/>
          <w:lang w:val="en-US" w:eastAsia="zh-CN"/>
        </w:rPr>
        <w:t>中药材</w:t>
      </w:r>
      <w:r>
        <w:rPr>
          <w:rFonts w:hint="eastAsia" w:ascii="仿宋" w:hAnsi="仿宋" w:eastAsia="仿宋" w:cs="仿宋"/>
          <w:color w:val="auto"/>
          <w:spacing w:val="-2"/>
          <w:sz w:val="32"/>
          <w:szCs w:val="32"/>
        </w:rPr>
        <w:t>机械化生产，依托自治区农机科研机构、有关企业开展</w:t>
      </w:r>
      <w:r>
        <w:rPr>
          <w:rFonts w:hint="eastAsia" w:ascii="仿宋" w:hAnsi="仿宋" w:eastAsia="仿宋" w:cs="仿宋"/>
          <w:color w:val="auto"/>
          <w:spacing w:val="-2"/>
          <w:sz w:val="32"/>
          <w:szCs w:val="32"/>
          <w:lang w:eastAsia="zh-CN"/>
        </w:rPr>
        <w:t>中</w:t>
      </w:r>
      <w:r>
        <w:rPr>
          <w:rFonts w:hint="eastAsia" w:ascii="仿宋" w:hAnsi="仿宋" w:eastAsia="仿宋" w:cs="仿宋"/>
          <w:color w:val="auto"/>
          <w:spacing w:val="-2"/>
          <w:sz w:val="32"/>
          <w:szCs w:val="32"/>
        </w:rPr>
        <w:t>药材种植加工机械的</w:t>
      </w:r>
      <w:r>
        <w:rPr>
          <w:rFonts w:hint="eastAsia" w:ascii="仿宋" w:hAnsi="仿宋" w:eastAsia="仿宋" w:cs="仿宋"/>
          <w:color w:val="auto"/>
          <w:spacing w:val="-2"/>
          <w:sz w:val="32"/>
          <w:szCs w:val="32"/>
          <w:lang w:val="en-US" w:eastAsia="zh-CN"/>
        </w:rPr>
        <w:t>引进与</w:t>
      </w:r>
      <w:r>
        <w:rPr>
          <w:rFonts w:hint="eastAsia" w:ascii="仿宋" w:hAnsi="仿宋" w:eastAsia="仿宋" w:cs="仿宋"/>
          <w:color w:val="auto"/>
          <w:spacing w:val="-2"/>
          <w:sz w:val="32"/>
          <w:szCs w:val="32"/>
        </w:rPr>
        <w:t>研发，鼓励种植生产企业自主或联合研发，提升</w:t>
      </w:r>
      <w:r>
        <w:rPr>
          <w:rFonts w:hint="eastAsia" w:ascii="仿宋" w:hAnsi="仿宋" w:eastAsia="仿宋" w:cs="仿宋"/>
          <w:color w:val="auto"/>
          <w:spacing w:val="-2"/>
          <w:sz w:val="32"/>
          <w:szCs w:val="32"/>
          <w:lang w:eastAsia="zh-CN"/>
        </w:rPr>
        <w:t>中</w:t>
      </w:r>
      <w:r>
        <w:rPr>
          <w:rFonts w:hint="eastAsia" w:ascii="仿宋" w:hAnsi="仿宋" w:eastAsia="仿宋" w:cs="仿宋"/>
          <w:color w:val="auto"/>
          <w:spacing w:val="-2"/>
          <w:sz w:val="32"/>
          <w:szCs w:val="32"/>
        </w:rPr>
        <w:t>药材耕、种、管、收的机械化装备水平。</w:t>
      </w:r>
    </w:p>
    <w:p>
      <w:pPr>
        <w:pageBreakBefore w:val="0"/>
        <w:kinsoku/>
        <w:wordWrap/>
        <w:overflowPunct/>
        <w:topLinePunct w:val="0"/>
        <w:autoSpaceDE/>
        <w:autoSpaceDN/>
        <w:bidi w:val="0"/>
        <w:spacing w:line="560" w:lineRule="exact"/>
        <w:ind w:right="0" w:rightChars="0" w:firstLine="643" w:firstLineChars="200"/>
        <w:textAlignment w:val="auto"/>
        <w:rPr>
          <w:color w:val="auto"/>
        </w:rPr>
      </w:pPr>
      <w:r>
        <w:rPr>
          <w:rFonts w:hint="eastAsia" w:ascii="仿宋" w:hAnsi="仿宋" w:eastAsia="仿宋" w:cs="仿宋"/>
          <w:b/>
          <w:bCs/>
          <w:color w:val="auto"/>
          <w:sz w:val="32"/>
          <w:szCs w:val="32"/>
          <w:highlight w:val="none"/>
          <w:lang w:val="en-US" w:eastAsia="zh-CN"/>
        </w:rPr>
        <w:t>8.实施中药材</w:t>
      </w:r>
      <w:r>
        <w:rPr>
          <w:rFonts w:hint="eastAsia" w:ascii="仿宋" w:hAnsi="仿宋" w:eastAsia="仿宋" w:cs="仿宋"/>
          <w:b/>
          <w:bCs/>
          <w:color w:val="auto"/>
          <w:sz w:val="32"/>
          <w:szCs w:val="32"/>
          <w:highlight w:val="none"/>
        </w:rPr>
        <w:t>龙头企业培育</w:t>
      </w:r>
      <w:r>
        <w:rPr>
          <w:rFonts w:hint="eastAsia" w:ascii="仿宋" w:hAnsi="仿宋" w:eastAsia="仿宋" w:cs="仿宋"/>
          <w:b/>
          <w:bCs/>
          <w:color w:val="auto"/>
          <w:sz w:val="32"/>
          <w:szCs w:val="32"/>
          <w:highlight w:val="none"/>
          <w:lang w:val="en-US" w:eastAsia="zh-CN"/>
        </w:rPr>
        <w:t>战略</w:t>
      </w:r>
      <w:r>
        <w:rPr>
          <w:rFonts w:hint="eastAsia" w:ascii="仿宋" w:hAnsi="仿宋" w:eastAsia="仿宋" w:cs="仿宋"/>
          <w:b/>
          <w:bCs/>
          <w:color w:val="auto"/>
          <w:sz w:val="32"/>
          <w:szCs w:val="32"/>
          <w:lang w:eastAsia="zh-CN"/>
        </w:rPr>
        <w:t>。</w:t>
      </w:r>
      <w:r>
        <w:rPr>
          <w:rFonts w:hint="eastAsia" w:ascii="仿宋" w:hAnsi="仿宋" w:eastAsia="仿宋" w:cs="仿宋"/>
          <w:b w:val="0"/>
          <w:bCs w:val="0"/>
          <w:color w:val="auto"/>
          <w:sz w:val="32"/>
          <w:szCs w:val="32"/>
          <w:lang w:val="en-US" w:eastAsia="zh-CN"/>
        </w:rPr>
        <w:t>发挥</w:t>
      </w:r>
      <w:r>
        <w:rPr>
          <w:rFonts w:hint="eastAsia" w:ascii="仿宋" w:hAnsi="仿宋" w:eastAsia="仿宋" w:cs="仿宋"/>
          <w:b w:val="0"/>
          <w:bCs w:val="0"/>
          <w:color w:val="auto"/>
          <w:sz w:val="32"/>
          <w:szCs w:val="32"/>
        </w:rPr>
        <w:t>中药材种植龙头企业引领作用，推动中药材深加工与综合开发。</w:t>
      </w:r>
      <w:r>
        <w:rPr>
          <w:rFonts w:hint="eastAsia" w:ascii="仿宋" w:hAnsi="仿宋" w:eastAsia="仿宋" w:cs="仿宋"/>
          <w:b w:val="0"/>
          <w:bCs w:val="0"/>
          <w:color w:val="auto"/>
          <w:sz w:val="32"/>
          <w:szCs w:val="32"/>
          <w:lang w:val="en-US" w:eastAsia="zh-CN"/>
        </w:rPr>
        <w:t>重点</w:t>
      </w:r>
      <w:r>
        <w:rPr>
          <w:rFonts w:hint="eastAsia" w:ascii="仿宋" w:hAnsi="仿宋" w:eastAsia="仿宋" w:cs="仿宋"/>
          <w:color w:val="auto"/>
          <w:sz w:val="32"/>
          <w:szCs w:val="32"/>
        </w:rPr>
        <w:t>培育中药材精深加工龙头企业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加大招商引资力度，引进、培育</w:t>
      </w:r>
      <w:r>
        <w:rPr>
          <w:rFonts w:hint="eastAsia" w:ascii="仿宋" w:hAnsi="仿宋" w:eastAsia="仿宋" w:cs="仿宋"/>
          <w:color w:val="auto"/>
          <w:sz w:val="32"/>
          <w:szCs w:val="32"/>
          <w:lang w:val="en-US" w:eastAsia="zh-CN"/>
        </w:rPr>
        <w:t>一批</w:t>
      </w:r>
      <w:r>
        <w:rPr>
          <w:rFonts w:hint="eastAsia" w:ascii="仿宋" w:hAnsi="仿宋" w:eastAsia="仿宋" w:cs="仿宋"/>
          <w:color w:val="auto"/>
          <w:sz w:val="32"/>
          <w:szCs w:val="32"/>
        </w:rPr>
        <w:t>产品新颖、技术先进、管理规范的中药材产品开发龙头企业，逐步</w:t>
      </w:r>
      <w:r>
        <w:rPr>
          <w:rFonts w:hint="eastAsia" w:ascii="仿宋" w:hAnsi="仿宋" w:eastAsia="仿宋" w:cs="仿宋"/>
          <w:color w:val="auto"/>
          <w:sz w:val="32"/>
          <w:szCs w:val="32"/>
          <w:lang w:val="en-US" w:eastAsia="zh-CN"/>
        </w:rPr>
        <w:t>建立</w:t>
      </w:r>
      <w:r>
        <w:rPr>
          <w:rFonts w:hint="eastAsia" w:ascii="仿宋" w:hAnsi="仿宋" w:eastAsia="仿宋" w:cs="仿宋"/>
          <w:color w:val="auto"/>
          <w:sz w:val="32"/>
          <w:szCs w:val="32"/>
        </w:rPr>
        <w:t>以大型企业集团与中小企业分工协作、协调发展的产业格局。</w:t>
      </w:r>
    </w:p>
    <w:p>
      <w:pPr>
        <w:pageBreakBefore w:val="0"/>
        <w:kinsoku/>
        <w:wordWrap/>
        <w:overflowPunct/>
        <w:topLinePunct w:val="0"/>
        <w:autoSpaceDE/>
        <w:autoSpaceDN/>
        <w:bidi w:val="0"/>
        <w:spacing w:line="560" w:lineRule="exact"/>
        <w:ind w:right="0" w:rightChars="0" w:firstLine="643" w:firstLineChars="200"/>
        <w:textAlignment w:val="auto"/>
        <w:rPr>
          <w:color w:val="auto"/>
        </w:rPr>
      </w:pP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提升</w:t>
      </w:r>
      <w:r>
        <w:rPr>
          <w:rFonts w:hint="eastAsia" w:ascii="仿宋" w:hAnsi="仿宋" w:eastAsia="仿宋" w:cs="仿宋"/>
          <w:b/>
          <w:bCs/>
          <w:color w:val="auto"/>
          <w:sz w:val="32"/>
          <w:szCs w:val="32"/>
          <w:highlight w:val="none"/>
          <w:lang w:val="en-US" w:eastAsia="zh-CN"/>
        </w:rPr>
        <w:t>中药材</w:t>
      </w:r>
      <w:r>
        <w:rPr>
          <w:rFonts w:hint="eastAsia" w:ascii="仿宋" w:hAnsi="仿宋" w:eastAsia="仿宋" w:cs="仿宋"/>
          <w:b/>
          <w:bCs/>
          <w:color w:val="auto"/>
          <w:sz w:val="32"/>
          <w:szCs w:val="32"/>
          <w:highlight w:val="none"/>
        </w:rPr>
        <w:t>开发产业化水平</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rPr>
        <w:t>鼓励</w:t>
      </w:r>
      <w:r>
        <w:rPr>
          <w:rFonts w:hint="eastAsia" w:ascii="仿宋" w:hAnsi="仿宋" w:eastAsia="仿宋" w:cs="仿宋"/>
          <w:color w:val="auto"/>
          <w:sz w:val="32"/>
          <w:szCs w:val="32"/>
          <w:lang w:val="en-US" w:eastAsia="zh-CN"/>
        </w:rPr>
        <w:t>中药</w:t>
      </w:r>
      <w:r>
        <w:rPr>
          <w:rFonts w:hint="eastAsia" w:ascii="仿宋" w:hAnsi="仿宋" w:eastAsia="仿宋" w:cs="仿宋"/>
          <w:color w:val="auto"/>
          <w:sz w:val="32"/>
          <w:szCs w:val="32"/>
        </w:rPr>
        <w:t>企业引进先进设备，改进加工工艺，积极开展以宁夏道地或主产中药材为基源的中成药生产、饮片加工、功能食品、饮料、茶叶、药浴、药饮、化妆品、饲料添加剂、食品添加剂、植物源农药、中药兽药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中药非药用部位饲料</w:t>
      </w:r>
      <w:r>
        <w:rPr>
          <w:rFonts w:hint="eastAsia" w:ascii="仿宋" w:hAnsi="仿宋" w:eastAsia="仿宋" w:cs="仿宋"/>
          <w:color w:val="auto"/>
          <w:sz w:val="32"/>
          <w:szCs w:val="32"/>
        </w:rPr>
        <w:t>等中药材延伸性产品的开发，开发具有自主知识产权的新产品</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0项以上。以枸杞、黄芪、甘草、银柴胡、苦杏仁与小茴香等中药材为重点，延长中药材开发产业链，优化升级供给结构，探索中药材非药用部位综合利用途径。</w:t>
      </w:r>
    </w:p>
    <w:p>
      <w:pPr>
        <w:pStyle w:val="5"/>
        <w:pageBreakBefore w:val="0"/>
        <w:kinsoku/>
        <w:wordWrap/>
        <w:overflowPunct/>
        <w:topLinePunct w:val="0"/>
        <w:autoSpaceDE/>
        <w:autoSpaceDN/>
        <w:bidi w:val="0"/>
        <w:adjustRightInd/>
        <w:snapToGrid/>
        <w:spacing w:before="120" w:beforeLines="50" w:after="0" w:line="560" w:lineRule="exact"/>
        <w:ind w:right="0" w:rightChars="0" w:firstLine="643" w:firstLineChars="200"/>
        <w:textAlignment w:val="auto"/>
        <w:rPr>
          <w:rFonts w:hint="eastAsia" w:ascii="楷体" w:hAnsi="楷体" w:eastAsia="楷体" w:cs="楷体"/>
          <w:b/>
          <w:bCs/>
          <w:color w:val="auto"/>
          <w:sz w:val="32"/>
          <w:szCs w:val="32"/>
        </w:rPr>
      </w:pPr>
      <w:bookmarkStart w:id="6" w:name="_Toc57029015"/>
      <w:r>
        <w:rPr>
          <w:rFonts w:hint="eastAsia" w:ascii="楷体" w:hAnsi="楷体" w:eastAsia="楷体" w:cs="楷体"/>
          <w:b/>
          <w:bCs/>
          <w:color w:val="auto"/>
          <w:sz w:val="32"/>
          <w:szCs w:val="32"/>
        </w:rPr>
        <w:t>（五）</w:t>
      </w:r>
      <w:r>
        <w:rPr>
          <w:rFonts w:hint="eastAsia" w:ascii="楷体" w:hAnsi="楷体" w:eastAsia="楷体" w:cs="楷体"/>
          <w:b/>
          <w:bCs/>
          <w:color w:val="auto"/>
          <w:sz w:val="32"/>
          <w:szCs w:val="32"/>
          <w:lang w:val="en-US" w:eastAsia="zh-CN"/>
        </w:rPr>
        <w:t>培育</w:t>
      </w:r>
      <w:r>
        <w:rPr>
          <w:rFonts w:hint="eastAsia" w:ascii="楷体" w:hAnsi="楷体" w:eastAsia="楷体" w:cs="楷体"/>
          <w:b/>
          <w:bCs/>
          <w:color w:val="auto"/>
          <w:sz w:val="32"/>
          <w:szCs w:val="32"/>
        </w:rPr>
        <w:t>中药材</w:t>
      </w:r>
      <w:r>
        <w:rPr>
          <w:rFonts w:hint="eastAsia" w:ascii="楷体" w:hAnsi="楷体" w:eastAsia="楷体" w:cs="楷体"/>
          <w:b/>
          <w:bCs/>
          <w:color w:val="auto"/>
          <w:sz w:val="32"/>
          <w:szCs w:val="32"/>
          <w:lang w:val="en-US" w:eastAsia="zh-CN"/>
        </w:rPr>
        <w:t>市场流通</w:t>
      </w:r>
      <w:r>
        <w:rPr>
          <w:rFonts w:hint="eastAsia" w:ascii="楷体" w:hAnsi="楷体" w:eastAsia="楷体" w:cs="楷体"/>
          <w:b/>
          <w:bCs/>
          <w:color w:val="auto"/>
          <w:sz w:val="32"/>
          <w:szCs w:val="32"/>
        </w:rPr>
        <w:t>体系</w:t>
      </w:r>
      <w:bookmarkEnd w:id="6"/>
    </w:p>
    <w:p>
      <w:pPr>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val="en-US" w:eastAsia="zh-CN"/>
        </w:rPr>
        <w:t>10.搭建</w:t>
      </w:r>
      <w:r>
        <w:rPr>
          <w:rFonts w:hint="eastAsia" w:ascii="仿宋" w:hAnsi="仿宋" w:eastAsia="仿宋" w:cs="仿宋"/>
          <w:b/>
          <w:bCs/>
          <w:color w:val="auto"/>
          <w:sz w:val="32"/>
          <w:szCs w:val="32"/>
          <w:lang w:eastAsia="zh-CN"/>
        </w:rPr>
        <w:t>中</w:t>
      </w:r>
      <w:r>
        <w:rPr>
          <w:rFonts w:hint="eastAsia" w:ascii="仿宋" w:hAnsi="仿宋" w:eastAsia="仿宋" w:cs="仿宋"/>
          <w:b/>
          <w:bCs/>
          <w:color w:val="auto"/>
          <w:sz w:val="32"/>
          <w:szCs w:val="32"/>
        </w:rPr>
        <w:t>药材信息</w:t>
      </w:r>
      <w:r>
        <w:rPr>
          <w:rFonts w:hint="eastAsia" w:ascii="仿宋" w:hAnsi="仿宋" w:eastAsia="仿宋" w:cs="仿宋"/>
          <w:b/>
          <w:bCs/>
          <w:color w:val="auto"/>
          <w:sz w:val="32"/>
          <w:szCs w:val="32"/>
          <w:lang w:val="en-US" w:eastAsia="zh-CN"/>
        </w:rPr>
        <w:t>及交易服务</w:t>
      </w:r>
      <w:r>
        <w:rPr>
          <w:rFonts w:hint="eastAsia" w:ascii="仿宋" w:hAnsi="仿宋" w:eastAsia="仿宋" w:cs="仿宋"/>
          <w:b/>
          <w:bCs/>
          <w:color w:val="auto"/>
          <w:sz w:val="32"/>
          <w:szCs w:val="32"/>
        </w:rPr>
        <w:t>平台</w:t>
      </w:r>
      <w:r>
        <w:rPr>
          <w:rFonts w:hint="eastAsia" w:ascii="仿宋" w:hAnsi="仿宋" w:eastAsia="仿宋" w:cs="仿宋"/>
          <w:b/>
          <w:bCs/>
          <w:color w:val="auto"/>
          <w:sz w:val="32"/>
          <w:szCs w:val="32"/>
          <w:lang w:eastAsia="zh-CN"/>
        </w:rPr>
        <w:t>。</w:t>
      </w:r>
      <w:r>
        <w:rPr>
          <w:rFonts w:hint="eastAsia" w:ascii="仿宋" w:hAnsi="仿宋" w:eastAsia="仿宋" w:cs="仿宋"/>
          <w:b w:val="0"/>
          <w:bCs w:val="0"/>
          <w:color w:val="auto"/>
          <w:sz w:val="32"/>
          <w:szCs w:val="32"/>
        </w:rPr>
        <w:t>充分运用互联网、物联网、区块链和人工智能等新技术，搭建集市场信息、质量追溯、第三方检验、电子交易等为一体的中药材互联网公共服务平台。加强对中药材信息的收集、汇总、分析，提升信息化对宁夏</w:t>
      </w:r>
      <w:r>
        <w:rPr>
          <w:rFonts w:hint="eastAsia" w:ascii="仿宋" w:hAnsi="仿宋" w:eastAsia="仿宋" w:cs="仿宋"/>
          <w:b w:val="0"/>
          <w:bCs w:val="0"/>
          <w:color w:val="auto"/>
          <w:sz w:val="32"/>
          <w:szCs w:val="32"/>
          <w:lang w:eastAsia="zh-CN"/>
        </w:rPr>
        <w:t>中</w:t>
      </w:r>
      <w:r>
        <w:rPr>
          <w:rFonts w:hint="eastAsia" w:ascii="仿宋" w:hAnsi="仿宋" w:eastAsia="仿宋" w:cs="仿宋"/>
          <w:b w:val="0"/>
          <w:bCs w:val="0"/>
          <w:color w:val="auto"/>
          <w:sz w:val="32"/>
          <w:szCs w:val="32"/>
        </w:rPr>
        <w:t>药材产业的带动引领作用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用精准数据指导生产销售实践，推动产业发展。</w:t>
      </w:r>
    </w:p>
    <w:p>
      <w:pPr>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11.提升中药材企业电子商务应用水平。</w:t>
      </w:r>
      <w:r>
        <w:rPr>
          <w:rFonts w:hint="eastAsia" w:ascii="仿宋" w:hAnsi="仿宋" w:eastAsia="仿宋" w:cs="仿宋"/>
          <w:b w:val="0"/>
          <w:bCs w:val="0"/>
          <w:color w:val="auto"/>
          <w:sz w:val="32"/>
          <w:szCs w:val="32"/>
          <w:lang w:val="en-US" w:eastAsia="zh-CN"/>
        </w:rPr>
        <w:t>支持中药材中小微经营企业进入电子商务网络系统，依法合规开展中药材及其产品销售、广告宣传、售后服务等业务，开展在线交易、在线支付及物流配送等服务；建立“龙头企业+合作社+致富带头人+农户”种植订单模式，建设一批以网络交易为主体、网络销售与实体经济协同发展的中药材种植企业。</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12.加强中药材交易市场建设。</w:t>
      </w:r>
      <w:r>
        <w:rPr>
          <w:rFonts w:hint="eastAsia" w:ascii="仿宋" w:hAnsi="仿宋" w:eastAsia="仿宋" w:cs="仿宋"/>
          <w:b w:val="0"/>
          <w:bCs w:val="0"/>
          <w:color w:val="auto"/>
          <w:sz w:val="32"/>
          <w:szCs w:val="32"/>
          <w:lang w:val="en-US" w:eastAsia="zh-CN"/>
        </w:rPr>
        <w:t>坚持政府引导，支持企业、合作社，民间资本参与，在中药材主产区逐步建成集商品集散、价格形成、信息汇聚、仓储物流、金融服务为一体的中药材交易市场，降低中药材交易和市场流通成本，提高应对市场变化和抵御风险能力。支持现有中药材交易市场升级改造，扩大交易规模，发展大宗中药材现货期货贸易，形成区域性中药材交易市场，建设中药材交易金融管理仓。</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13.建设中药材仓储物流基地。</w:t>
      </w:r>
      <w:r>
        <w:rPr>
          <w:rFonts w:hint="eastAsia" w:ascii="仿宋" w:hAnsi="仿宋" w:eastAsia="仿宋" w:cs="仿宋"/>
          <w:color w:val="auto"/>
          <w:sz w:val="32"/>
          <w:szCs w:val="32"/>
        </w:rPr>
        <w:t>围绕枸杞子、甘草、银柴胡、黄芪、秦艽、板蓝根、苦杏仁等重点品</w:t>
      </w:r>
      <w:r>
        <w:rPr>
          <w:rFonts w:hint="eastAsia" w:ascii="仿宋" w:hAnsi="仿宋" w:eastAsia="仿宋" w:cs="仿宋"/>
          <w:color w:val="auto"/>
          <w:sz w:val="32"/>
          <w:szCs w:val="32"/>
          <w:lang w:val="en-US" w:eastAsia="zh-CN"/>
        </w:rPr>
        <w:t>种</w:t>
      </w:r>
      <w:r>
        <w:rPr>
          <w:rFonts w:hint="eastAsia" w:ascii="仿宋" w:hAnsi="仿宋" w:eastAsia="仿宋" w:cs="仿宋"/>
          <w:color w:val="auto"/>
          <w:sz w:val="32"/>
          <w:szCs w:val="32"/>
        </w:rPr>
        <w:t>发展实际需求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以加工贮藏、物流配送、质量检验、追溯管理为基础，建设集仓储物流、市场交易和电商平台为一体的宁夏</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药材仓储物流基地2-3家，提升</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药材市场交易的现代化水平，实现</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药材交易便捷化和及时性。</w:t>
      </w:r>
      <w:bookmarkStart w:id="7" w:name="_Toc57029016"/>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楷体" w:hAnsi="楷体" w:eastAsia="楷体" w:cs="楷体"/>
          <w:color w:val="auto"/>
        </w:rPr>
      </w:pPr>
      <w:r>
        <w:rPr>
          <w:rFonts w:hint="eastAsia" w:ascii="楷体" w:hAnsi="楷体" w:eastAsia="楷体" w:cs="楷体"/>
          <w:b/>
          <w:bCs/>
          <w:color w:val="auto"/>
          <w:sz w:val="32"/>
          <w:szCs w:val="32"/>
        </w:rPr>
        <w:t>（六）</w:t>
      </w:r>
      <w:r>
        <w:rPr>
          <w:rFonts w:hint="eastAsia" w:ascii="楷体" w:hAnsi="楷体" w:eastAsia="楷体" w:cs="楷体"/>
          <w:b/>
          <w:bCs/>
          <w:color w:val="auto"/>
          <w:sz w:val="32"/>
          <w:szCs w:val="32"/>
          <w:lang w:val="en-US" w:eastAsia="zh-CN"/>
        </w:rPr>
        <w:t>加强中药</w:t>
      </w:r>
      <w:r>
        <w:rPr>
          <w:rFonts w:hint="eastAsia" w:ascii="楷体" w:hAnsi="楷体" w:eastAsia="楷体" w:cs="楷体"/>
          <w:b/>
          <w:bCs/>
          <w:color w:val="auto"/>
          <w:sz w:val="32"/>
          <w:szCs w:val="32"/>
        </w:rPr>
        <w:t>品牌培育</w:t>
      </w:r>
    </w:p>
    <w:p>
      <w:pPr>
        <w:pStyle w:val="2"/>
        <w:pageBreakBefore w:val="0"/>
        <w:kinsoku/>
        <w:wordWrap/>
        <w:overflowPunct/>
        <w:topLinePunct w:val="0"/>
        <w:autoSpaceDE/>
        <w:autoSpaceDN/>
        <w:bidi w:val="0"/>
        <w:spacing w:line="560" w:lineRule="exact"/>
        <w:ind w:left="0" w:leftChars="0" w:right="0" w:rightChars="0" w:firstLine="643" w:firstLineChars="200"/>
        <w:textAlignment w:val="auto"/>
        <w:rPr>
          <w:rFonts w:hint="eastAsia" w:ascii="仿宋" w:hAnsi="仿宋" w:eastAsia="仿宋" w:cs="仿宋"/>
          <w:color w:val="auto"/>
          <w:kern w:val="2"/>
          <w:sz w:val="32"/>
          <w:szCs w:val="32"/>
          <w:lang w:eastAsia="zh-CN"/>
        </w:rPr>
      </w:pPr>
      <w:r>
        <w:rPr>
          <w:rFonts w:hint="eastAsia" w:ascii="仿宋" w:hAnsi="仿宋" w:eastAsia="仿宋" w:cs="仿宋"/>
          <w:b/>
          <w:bCs/>
          <w:color w:val="auto"/>
          <w:kern w:val="2"/>
          <w:sz w:val="32"/>
          <w:szCs w:val="32"/>
          <w:lang w:val="en-US" w:eastAsia="zh-CN"/>
        </w:rPr>
        <w:t>14.</w:t>
      </w:r>
      <w:r>
        <w:rPr>
          <w:rFonts w:hint="eastAsia" w:ascii="仿宋" w:hAnsi="仿宋" w:eastAsia="仿宋" w:cs="仿宋"/>
          <w:b/>
          <w:bCs/>
          <w:color w:val="auto"/>
          <w:kern w:val="2"/>
          <w:sz w:val="32"/>
          <w:szCs w:val="32"/>
        </w:rPr>
        <w:t>实施</w:t>
      </w:r>
      <w:r>
        <w:rPr>
          <w:rFonts w:hint="eastAsia" w:ascii="仿宋" w:hAnsi="仿宋" w:eastAsia="仿宋" w:cs="仿宋"/>
          <w:b/>
          <w:bCs/>
          <w:color w:val="auto"/>
          <w:kern w:val="2"/>
          <w:sz w:val="32"/>
          <w:szCs w:val="32"/>
          <w:lang w:val="en-US" w:eastAsia="zh-CN"/>
        </w:rPr>
        <w:t>中药材</w:t>
      </w:r>
      <w:r>
        <w:rPr>
          <w:rFonts w:hint="eastAsia" w:ascii="仿宋" w:hAnsi="仿宋" w:eastAsia="仿宋" w:cs="仿宋"/>
          <w:b/>
          <w:bCs/>
          <w:color w:val="auto"/>
          <w:kern w:val="2"/>
          <w:sz w:val="32"/>
          <w:szCs w:val="32"/>
        </w:rPr>
        <w:t>品牌培育战略</w:t>
      </w:r>
      <w:r>
        <w:rPr>
          <w:rFonts w:hint="eastAsia" w:ascii="仿宋" w:hAnsi="仿宋" w:eastAsia="仿宋" w:cs="仿宋"/>
          <w:b/>
          <w:bCs/>
          <w:color w:val="auto"/>
          <w:kern w:val="2"/>
          <w:sz w:val="32"/>
          <w:szCs w:val="32"/>
          <w:lang w:eastAsia="zh-CN"/>
        </w:rPr>
        <w:t>。</w:t>
      </w:r>
      <w:r>
        <w:rPr>
          <w:rFonts w:hint="eastAsia" w:ascii="仿宋" w:hAnsi="仿宋" w:eastAsia="仿宋" w:cs="仿宋"/>
          <w:color w:val="auto"/>
          <w:kern w:val="2"/>
          <w:sz w:val="32"/>
          <w:szCs w:val="32"/>
        </w:rPr>
        <w:t>重点培育具有宁夏道地特色的中药材，做好商业品牌价值建设。</w:t>
      </w:r>
      <w:r>
        <w:rPr>
          <w:rFonts w:hint="eastAsia" w:ascii="仿宋" w:hAnsi="仿宋" w:eastAsia="仿宋" w:cs="仿宋"/>
          <w:color w:val="auto"/>
          <w:kern w:val="2"/>
          <w:sz w:val="32"/>
          <w:szCs w:val="32"/>
          <w:shd w:val="clear"/>
        </w:rPr>
        <w:t>提高优质中药材的社会认知度，</w:t>
      </w:r>
      <w:r>
        <w:rPr>
          <w:rFonts w:hint="eastAsia" w:ascii="仿宋" w:hAnsi="仿宋" w:eastAsia="仿宋" w:cs="仿宋"/>
          <w:b w:val="0"/>
          <w:bCs w:val="0"/>
          <w:color w:val="auto"/>
          <w:kern w:val="2"/>
          <w:sz w:val="32"/>
          <w:szCs w:val="32"/>
        </w:rPr>
        <w:t>打造品牌集群</w:t>
      </w:r>
      <w:r>
        <w:rPr>
          <w:rFonts w:hint="eastAsia" w:ascii="仿宋" w:hAnsi="仿宋" w:eastAsia="仿宋" w:cs="仿宋"/>
          <w:b w:val="0"/>
          <w:bCs w:val="0"/>
          <w:color w:val="auto"/>
          <w:kern w:val="2"/>
          <w:sz w:val="32"/>
          <w:szCs w:val="32"/>
          <w:lang w:eastAsia="zh-CN"/>
        </w:rPr>
        <w:t>，</w:t>
      </w:r>
      <w:r>
        <w:rPr>
          <w:rFonts w:hint="eastAsia" w:ascii="仿宋" w:hAnsi="仿宋" w:eastAsia="仿宋" w:cs="仿宋"/>
          <w:color w:val="auto"/>
          <w:kern w:val="2"/>
          <w:sz w:val="32"/>
          <w:szCs w:val="32"/>
          <w:shd w:val="clear"/>
        </w:rPr>
        <w:t>培育中药材知名品牌。</w:t>
      </w:r>
      <w:r>
        <w:rPr>
          <w:rFonts w:hint="eastAsia" w:ascii="仿宋" w:hAnsi="仿宋" w:eastAsia="仿宋" w:cs="仿宋"/>
          <w:b w:val="0"/>
          <w:bCs w:val="0"/>
          <w:color w:val="auto"/>
          <w:kern w:val="2"/>
          <w:sz w:val="32"/>
          <w:szCs w:val="32"/>
        </w:rPr>
        <w:t>开展宁夏</w:t>
      </w:r>
      <w:r>
        <w:rPr>
          <w:rFonts w:hint="eastAsia" w:ascii="仿宋" w:hAnsi="仿宋" w:eastAsia="仿宋" w:cs="仿宋"/>
          <w:b w:val="0"/>
          <w:bCs w:val="0"/>
          <w:color w:val="auto"/>
          <w:kern w:val="2"/>
          <w:sz w:val="32"/>
          <w:szCs w:val="32"/>
          <w:lang w:val="en-US" w:eastAsia="zh-CN"/>
        </w:rPr>
        <w:t>道地大宗药材</w:t>
      </w:r>
      <w:r>
        <w:rPr>
          <w:rFonts w:hint="eastAsia" w:ascii="仿宋" w:hAnsi="仿宋" w:eastAsia="仿宋" w:cs="仿宋"/>
          <w:b w:val="0"/>
          <w:bCs w:val="0"/>
          <w:color w:val="auto"/>
          <w:kern w:val="2"/>
          <w:sz w:val="32"/>
          <w:szCs w:val="32"/>
        </w:rPr>
        <w:t>品牌策划，加强“宁夏</w:t>
      </w:r>
      <w:r>
        <w:rPr>
          <w:rFonts w:hint="eastAsia" w:ascii="仿宋" w:hAnsi="仿宋" w:eastAsia="仿宋" w:cs="仿宋"/>
          <w:b w:val="0"/>
          <w:bCs w:val="0"/>
          <w:color w:val="auto"/>
          <w:kern w:val="2"/>
          <w:sz w:val="32"/>
          <w:szCs w:val="32"/>
          <w:lang w:val="en-US" w:eastAsia="zh-CN"/>
        </w:rPr>
        <w:t>枸杞</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、“盐池甘草”、“</w:t>
      </w:r>
      <w:r>
        <w:rPr>
          <w:rFonts w:hint="eastAsia" w:ascii="仿宋" w:hAnsi="仿宋" w:eastAsia="仿宋" w:cs="仿宋"/>
          <w:color w:val="auto"/>
          <w:kern w:val="2"/>
          <w:sz w:val="32"/>
          <w:szCs w:val="32"/>
        </w:rPr>
        <w:t>同心银柴胡</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隆德黄芪</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隆德秦艽</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lang w:val="en-US" w:eastAsia="zh-CN"/>
        </w:rPr>
        <w:t>等</w:t>
      </w:r>
      <w:r>
        <w:rPr>
          <w:rFonts w:hint="eastAsia" w:ascii="仿宋" w:hAnsi="仿宋" w:eastAsia="仿宋" w:cs="仿宋"/>
          <w:b w:val="0"/>
          <w:bCs w:val="0"/>
          <w:color w:val="auto"/>
          <w:kern w:val="2"/>
          <w:sz w:val="32"/>
          <w:szCs w:val="32"/>
        </w:rPr>
        <w:t>国家地理标志产品的使用、监督</w:t>
      </w:r>
      <w:r>
        <w:rPr>
          <w:rFonts w:hint="eastAsia" w:ascii="仿宋" w:hAnsi="仿宋" w:eastAsia="仿宋" w:cs="仿宋"/>
          <w:b w:val="0"/>
          <w:bCs w:val="0"/>
          <w:color w:val="auto"/>
          <w:kern w:val="2"/>
          <w:sz w:val="32"/>
          <w:szCs w:val="32"/>
          <w:lang w:val="en-US" w:eastAsia="zh-CN"/>
        </w:rPr>
        <w:t>和</w:t>
      </w:r>
      <w:r>
        <w:rPr>
          <w:rFonts w:hint="eastAsia" w:ascii="仿宋" w:hAnsi="仿宋" w:eastAsia="仿宋" w:cs="仿宋"/>
          <w:b w:val="0"/>
          <w:bCs w:val="0"/>
          <w:color w:val="auto"/>
          <w:kern w:val="2"/>
          <w:sz w:val="32"/>
          <w:szCs w:val="32"/>
        </w:rPr>
        <w:t>管理</w:t>
      </w:r>
      <w:r>
        <w:rPr>
          <w:rFonts w:hint="eastAsia" w:ascii="仿宋" w:hAnsi="仿宋" w:eastAsia="仿宋" w:cs="仿宋"/>
          <w:b w:val="0"/>
          <w:bCs w:val="0"/>
          <w:color w:val="auto"/>
          <w:kern w:val="2"/>
          <w:sz w:val="32"/>
          <w:szCs w:val="32"/>
          <w:lang w:eastAsia="zh-CN"/>
        </w:rPr>
        <w:t>，</w:t>
      </w:r>
      <w:r>
        <w:rPr>
          <w:rFonts w:hint="eastAsia" w:ascii="仿宋" w:hAnsi="仿宋" w:eastAsia="仿宋" w:cs="仿宋"/>
          <w:color w:val="auto"/>
          <w:kern w:val="2"/>
          <w:sz w:val="32"/>
          <w:szCs w:val="32"/>
        </w:rPr>
        <w:t>支持中药材产业大县申报大宗药材地理标志产品认证</w:t>
      </w:r>
      <w:r>
        <w:rPr>
          <w:rFonts w:hint="eastAsia" w:ascii="仿宋" w:hAnsi="仿宋" w:eastAsia="仿宋" w:cs="仿宋"/>
          <w:color w:val="auto"/>
          <w:kern w:val="2"/>
          <w:sz w:val="32"/>
          <w:szCs w:val="32"/>
          <w:lang w:eastAsia="zh-CN"/>
        </w:rPr>
        <w:t>、</w:t>
      </w:r>
      <w:r>
        <w:rPr>
          <w:rFonts w:hint="eastAsia" w:ascii="仿宋" w:hAnsi="仿宋" w:eastAsia="仿宋" w:cs="仿宋"/>
          <w:b w:val="0"/>
          <w:bCs w:val="0"/>
          <w:color w:val="auto"/>
          <w:kern w:val="2"/>
          <w:sz w:val="32"/>
          <w:szCs w:val="32"/>
        </w:rPr>
        <w:t>“农产品气候品质类国家气候标志”</w:t>
      </w:r>
      <w:r>
        <w:rPr>
          <w:rFonts w:hint="eastAsia" w:ascii="仿宋" w:hAnsi="仿宋" w:eastAsia="仿宋" w:cs="仿宋"/>
          <w:color w:val="auto"/>
          <w:kern w:val="2"/>
          <w:sz w:val="32"/>
          <w:szCs w:val="32"/>
        </w:rPr>
        <w:t>和驰名药材商标，完善以地理标志、商标、优质产品标准、信誉评级相结合的道地药材保护机制</w:t>
      </w:r>
      <w:r>
        <w:rPr>
          <w:rFonts w:hint="eastAsia" w:ascii="仿宋" w:hAnsi="仿宋" w:eastAsia="仿宋" w:cs="仿宋"/>
          <w:color w:val="auto"/>
          <w:kern w:val="2"/>
          <w:sz w:val="32"/>
          <w:szCs w:val="32"/>
          <w:lang w:eastAsia="zh-CN"/>
        </w:rPr>
        <w:t>。</w:t>
      </w:r>
    </w:p>
    <w:p>
      <w:pPr>
        <w:pStyle w:val="2"/>
        <w:pageBreakBefore w:val="0"/>
        <w:kinsoku/>
        <w:wordWrap/>
        <w:overflowPunct/>
        <w:topLinePunct w:val="0"/>
        <w:autoSpaceDE/>
        <w:autoSpaceDN/>
        <w:bidi w:val="0"/>
        <w:spacing w:line="560" w:lineRule="exact"/>
        <w:ind w:left="0" w:leftChars="0" w:right="0" w:rightChars="0" w:firstLine="643" w:firstLineChars="200"/>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lang w:val="en-US" w:eastAsia="zh-CN"/>
        </w:rPr>
        <w:t>15.</w:t>
      </w:r>
      <w:r>
        <w:rPr>
          <w:rFonts w:hint="eastAsia" w:ascii="仿宋" w:hAnsi="仿宋" w:eastAsia="仿宋" w:cs="仿宋"/>
          <w:b/>
          <w:bCs/>
          <w:color w:val="auto"/>
          <w:kern w:val="2"/>
          <w:sz w:val="32"/>
          <w:szCs w:val="32"/>
        </w:rPr>
        <w:t>提升优势特色药材品牌影响力</w:t>
      </w:r>
      <w:r>
        <w:rPr>
          <w:rFonts w:hint="eastAsia" w:ascii="仿宋" w:hAnsi="仿宋" w:eastAsia="仿宋" w:cs="仿宋"/>
          <w:b/>
          <w:bCs/>
          <w:color w:val="auto"/>
          <w:kern w:val="2"/>
          <w:sz w:val="32"/>
          <w:szCs w:val="32"/>
          <w:lang w:eastAsia="zh-CN"/>
        </w:rPr>
        <w:t>。</w:t>
      </w:r>
      <w:r>
        <w:rPr>
          <w:rFonts w:hint="eastAsia" w:ascii="仿宋" w:hAnsi="仿宋" w:eastAsia="仿宋" w:cs="仿宋"/>
          <w:color w:val="auto"/>
          <w:kern w:val="2"/>
          <w:sz w:val="32"/>
          <w:szCs w:val="32"/>
        </w:rPr>
        <w:t>加强</w:t>
      </w:r>
      <w:r>
        <w:rPr>
          <w:rFonts w:hint="eastAsia" w:ascii="仿宋" w:hAnsi="仿宋" w:eastAsia="仿宋" w:cs="仿宋"/>
          <w:color w:val="auto"/>
          <w:kern w:val="2"/>
          <w:sz w:val="32"/>
          <w:szCs w:val="32"/>
          <w:lang w:val="en-US" w:eastAsia="zh-CN"/>
        </w:rPr>
        <w:t>宁夏道地主产药材</w:t>
      </w:r>
      <w:r>
        <w:rPr>
          <w:rFonts w:hint="eastAsia" w:ascii="仿宋" w:hAnsi="仿宋" w:eastAsia="仿宋" w:cs="仿宋"/>
          <w:color w:val="auto"/>
          <w:kern w:val="2"/>
          <w:sz w:val="32"/>
          <w:szCs w:val="32"/>
        </w:rPr>
        <w:t>在中央、地方主流媒体和各类新媒体上的宣传推介</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提升宁夏优势特色药材品牌影响力。</w:t>
      </w:r>
      <w:r>
        <w:rPr>
          <w:rFonts w:hint="eastAsia" w:ascii="仿宋" w:hAnsi="仿宋" w:eastAsia="仿宋" w:cs="仿宋"/>
          <w:b w:val="0"/>
          <w:bCs w:val="0"/>
          <w:color w:val="auto"/>
          <w:kern w:val="2"/>
          <w:sz w:val="32"/>
          <w:szCs w:val="32"/>
        </w:rPr>
        <w:t>鼓励企业打造有辨识度的自主品牌，培育拥有自主知识产权和核心竞争力的产品品牌，力争培植优质</w:t>
      </w:r>
      <w:r>
        <w:rPr>
          <w:rFonts w:hint="eastAsia" w:ascii="仿宋" w:hAnsi="仿宋" w:eastAsia="仿宋" w:cs="仿宋"/>
          <w:b w:val="0"/>
          <w:bCs w:val="0"/>
          <w:color w:val="auto"/>
          <w:kern w:val="2"/>
          <w:sz w:val="32"/>
          <w:szCs w:val="32"/>
          <w:lang w:val="en-US" w:eastAsia="zh-CN"/>
        </w:rPr>
        <w:t>药材</w:t>
      </w:r>
      <w:r>
        <w:rPr>
          <w:rFonts w:hint="eastAsia" w:ascii="仿宋" w:hAnsi="仿宋" w:eastAsia="仿宋" w:cs="仿宋"/>
          <w:b w:val="0"/>
          <w:bCs w:val="0"/>
          <w:color w:val="auto"/>
          <w:kern w:val="2"/>
          <w:sz w:val="32"/>
          <w:szCs w:val="32"/>
        </w:rPr>
        <w:t>企业品牌2</w:t>
      </w:r>
      <w:r>
        <w:rPr>
          <w:rFonts w:hint="eastAsia" w:ascii="仿宋" w:hAnsi="仿宋" w:eastAsia="仿宋" w:cs="仿宋"/>
          <w:b w:val="0"/>
          <w:bCs w:val="0"/>
          <w:color w:val="auto"/>
          <w:kern w:val="2"/>
          <w:sz w:val="32"/>
          <w:szCs w:val="32"/>
          <w:lang w:val="en-US" w:eastAsia="zh-CN"/>
        </w:rPr>
        <w:t>0</w:t>
      </w:r>
      <w:r>
        <w:rPr>
          <w:rFonts w:hint="eastAsia" w:ascii="仿宋" w:hAnsi="仿宋" w:eastAsia="仿宋" w:cs="仿宋"/>
          <w:b w:val="0"/>
          <w:bCs w:val="0"/>
          <w:color w:val="auto"/>
          <w:kern w:val="2"/>
          <w:sz w:val="32"/>
          <w:szCs w:val="32"/>
        </w:rPr>
        <w:t>个以上，培育有一定知名度品牌1</w:t>
      </w:r>
      <w:r>
        <w:rPr>
          <w:rFonts w:hint="eastAsia" w:ascii="仿宋" w:hAnsi="仿宋" w:eastAsia="仿宋" w:cs="仿宋"/>
          <w:b w:val="0"/>
          <w:bCs w:val="0"/>
          <w:color w:val="auto"/>
          <w:kern w:val="2"/>
          <w:sz w:val="32"/>
          <w:szCs w:val="32"/>
          <w:lang w:val="en-US" w:eastAsia="zh-CN"/>
        </w:rPr>
        <w:t>5</w:t>
      </w:r>
      <w:r>
        <w:rPr>
          <w:rFonts w:hint="eastAsia" w:ascii="仿宋" w:hAnsi="仿宋" w:eastAsia="仿宋" w:cs="仿宋"/>
          <w:b w:val="0"/>
          <w:bCs w:val="0"/>
          <w:color w:val="auto"/>
          <w:kern w:val="2"/>
          <w:sz w:val="32"/>
          <w:szCs w:val="32"/>
        </w:rPr>
        <w:t>个以上。</w:t>
      </w:r>
    </w:p>
    <w:p>
      <w:pPr>
        <w:pStyle w:val="2"/>
        <w:pageBreakBefore w:val="0"/>
        <w:kinsoku/>
        <w:wordWrap/>
        <w:overflowPunct/>
        <w:topLinePunct w:val="0"/>
        <w:autoSpaceDE/>
        <w:autoSpaceDN/>
        <w:bidi w:val="0"/>
        <w:spacing w:line="560" w:lineRule="exact"/>
        <w:ind w:left="0" w:leftChars="0" w:right="0" w:righ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七</w:t>
      </w:r>
      <w:r>
        <w:rPr>
          <w:rFonts w:hint="eastAsia" w:ascii="楷体" w:hAnsi="楷体" w:eastAsia="楷体" w:cs="楷体"/>
          <w:b/>
          <w:bCs/>
          <w:color w:val="auto"/>
          <w:sz w:val="32"/>
          <w:szCs w:val="32"/>
        </w:rPr>
        <w:t>）</w:t>
      </w:r>
      <w:bookmarkEnd w:id="7"/>
      <w:r>
        <w:rPr>
          <w:rFonts w:hint="eastAsia" w:ascii="楷体" w:hAnsi="楷体" w:eastAsia="楷体" w:cs="楷体"/>
          <w:b/>
          <w:bCs/>
          <w:color w:val="auto"/>
          <w:sz w:val="32"/>
          <w:szCs w:val="32"/>
        </w:rPr>
        <w:t>强化中药材产业科技支撑</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16.</w:t>
      </w:r>
      <w:r>
        <w:rPr>
          <w:rFonts w:hint="eastAsia" w:ascii="仿宋" w:hAnsi="仿宋" w:eastAsia="仿宋" w:cs="仿宋"/>
          <w:b/>
          <w:bCs/>
          <w:color w:val="auto"/>
          <w:sz w:val="32"/>
          <w:szCs w:val="32"/>
        </w:rPr>
        <w:t>推进</w:t>
      </w:r>
      <w:r>
        <w:rPr>
          <w:rFonts w:hint="eastAsia" w:ascii="仿宋" w:hAnsi="仿宋" w:eastAsia="仿宋" w:cs="仿宋"/>
          <w:b/>
          <w:bCs/>
          <w:color w:val="auto"/>
          <w:sz w:val="32"/>
          <w:szCs w:val="32"/>
          <w:lang w:eastAsia="zh-CN"/>
        </w:rPr>
        <w:t>中</w:t>
      </w:r>
      <w:r>
        <w:rPr>
          <w:rFonts w:hint="eastAsia" w:ascii="仿宋" w:hAnsi="仿宋" w:eastAsia="仿宋" w:cs="仿宋"/>
          <w:b/>
          <w:bCs/>
          <w:color w:val="auto"/>
          <w:sz w:val="32"/>
          <w:szCs w:val="32"/>
        </w:rPr>
        <w:t>药材产业发展科技</w:t>
      </w:r>
      <w:r>
        <w:rPr>
          <w:rFonts w:hint="eastAsia" w:ascii="仿宋" w:hAnsi="仿宋" w:eastAsia="仿宋" w:cs="仿宋"/>
          <w:b/>
          <w:bCs/>
          <w:color w:val="auto"/>
          <w:sz w:val="32"/>
          <w:szCs w:val="32"/>
          <w:lang w:val="en-US" w:eastAsia="zh-CN"/>
        </w:rPr>
        <w:t>公共</w:t>
      </w:r>
      <w:r>
        <w:rPr>
          <w:rFonts w:hint="eastAsia" w:ascii="仿宋" w:hAnsi="仿宋" w:eastAsia="仿宋" w:cs="仿宋"/>
          <w:b/>
          <w:bCs/>
          <w:color w:val="auto"/>
          <w:sz w:val="32"/>
          <w:szCs w:val="32"/>
        </w:rPr>
        <w:t>平台建设。</w:t>
      </w:r>
      <w:r>
        <w:rPr>
          <w:rFonts w:hint="eastAsia" w:ascii="仿宋" w:hAnsi="仿宋" w:eastAsia="仿宋" w:cs="仿宋"/>
          <w:b w:val="0"/>
          <w:bCs w:val="0"/>
          <w:color w:val="auto"/>
          <w:sz w:val="32"/>
          <w:szCs w:val="32"/>
        </w:rPr>
        <w:t>整合区内外资源，强化产学研深度合作，围绕资源保护、品种培育、质量检测、规范化种植</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产品开发</w:t>
      </w:r>
      <w:r>
        <w:rPr>
          <w:rFonts w:hint="eastAsia" w:ascii="仿宋" w:hAnsi="仿宋" w:eastAsia="仿宋" w:cs="仿宋"/>
          <w:b w:val="0"/>
          <w:bCs w:val="0"/>
          <w:color w:val="auto"/>
          <w:sz w:val="32"/>
          <w:szCs w:val="32"/>
        </w:rPr>
        <w:t>等，组建一批创新服务平台和第三方科技服务机构。</w:t>
      </w:r>
      <w:r>
        <w:rPr>
          <w:rFonts w:hint="eastAsia" w:ascii="仿宋" w:hAnsi="仿宋" w:eastAsia="仿宋" w:cs="仿宋"/>
          <w:color w:val="auto"/>
          <w:sz w:val="32"/>
          <w:szCs w:val="32"/>
        </w:rPr>
        <w:t>充分利用区内外科研院所的技术实力和优势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抓好宁产中药材科研和产业发展战略布局，建立一批企业主导、科研院校与企业联合共建的中药材产业技术研发平台，推动中药材产业新型研发机构的培育，</w:t>
      </w:r>
      <w:r>
        <w:rPr>
          <w:rFonts w:hint="eastAsia" w:ascii="仿宋" w:hAnsi="仿宋" w:eastAsia="仿宋" w:cs="仿宋"/>
          <w:b w:val="0"/>
          <w:bCs w:val="0"/>
          <w:color w:val="auto"/>
          <w:sz w:val="32"/>
          <w:szCs w:val="32"/>
        </w:rPr>
        <w:t>推进</w:t>
      </w:r>
      <w:r>
        <w:rPr>
          <w:rFonts w:hint="eastAsia" w:ascii="仿宋" w:hAnsi="仿宋" w:eastAsia="仿宋" w:cs="仿宋"/>
          <w:b w:val="0"/>
          <w:bCs w:val="0"/>
          <w:color w:val="auto"/>
          <w:sz w:val="32"/>
          <w:szCs w:val="32"/>
          <w:lang w:eastAsia="zh-CN"/>
        </w:rPr>
        <w:t>中</w:t>
      </w:r>
      <w:r>
        <w:rPr>
          <w:rFonts w:hint="eastAsia" w:ascii="仿宋" w:hAnsi="仿宋" w:eastAsia="仿宋" w:cs="仿宋"/>
          <w:b w:val="0"/>
          <w:bCs w:val="0"/>
          <w:color w:val="auto"/>
          <w:sz w:val="32"/>
          <w:szCs w:val="32"/>
        </w:rPr>
        <w:t>药材</w:t>
      </w:r>
      <w:r>
        <w:rPr>
          <w:rFonts w:hint="eastAsia" w:ascii="仿宋" w:hAnsi="仿宋" w:eastAsia="仿宋" w:cs="仿宋"/>
          <w:b w:val="0"/>
          <w:bCs w:val="0"/>
          <w:color w:val="auto"/>
          <w:sz w:val="32"/>
          <w:szCs w:val="32"/>
          <w:lang w:val="en-US" w:eastAsia="zh-CN"/>
        </w:rPr>
        <w:t>质量可追溯体系平台的推广应用，</w:t>
      </w:r>
      <w:r>
        <w:rPr>
          <w:rFonts w:hint="eastAsia" w:ascii="仿宋" w:hAnsi="仿宋" w:eastAsia="仿宋" w:cs="仿宋"/>
          <w:color w:val="auto"/>
          <w:sz w:val="32"/>
          <w:szCs w:val="32"/>
        </w:rPr>
        <w:t>形成</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药材产业技术系列平台</w:t>
      </w:r>
      <w:r>
        <w:rPr>
          <w:rFonts w:hint="eastAsia" w:ascii="仿宋" w:hAnsi="仿宋" w:eastAsia="仿宋" w:cs="仿宋"/>
          <w:color w:val="auto"/>
          <w:sz w:val="32"/>
          <w:szCs w:val="32"/>
          <w:lang w:val="en-US" w:eastAsia="zh-CN"/>
        </w:rPr>
        <w:t>5-10个</w:t>
      </w:r>
      <w:r>
        <w:rPr>
          <w:rFonts w:hint="eastAsia" w:ascii="仿宋" w:hAnsi="仿宋" w:eastAsia="仿宋" w:cs="仿宋"/>
          <w:color w:val="auto"/>
          <w:sz w:val="32"/>
          <w:szCs w:val="32"/>
        </w:rPr>
        <w:t>，为高品质的</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药材生产提供基础保障。</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17.提升</w:t>
      </w:r>
      <w:r>
        <w:rPr>
          <w:rFonts w:hint="eastAsia" w:ascii="仿宋" w:hAnsi="仿宋" w:eastAsia="仿宋" w:cs="仿宋"/>
          <w:b/>
          <w:bCs/>
          <w:color w:val="auto"/>
          <w:sz w:val="32"/>
          <w:szCs w:val="32"/>
          <w:lang w:eastAsia="zh-CN"/>
        </w:rPr>
        <w:t>中</w:t>
      </w:r>
      <w:r>
        <w:rPr>
          <w:rFonts w:hint="eastAsia" w:ascii="仿宋" w:hAnsi="仿宋" w:eastAsia="仿宋" w:cs="仿宋"/>
          <w:b/>
          <w:bCs/>
          <w:color w:val="auto"/>
          <w:sz w:val="32"/>
          <w:szCs w:val="32"/>
        </w:rPr>
        <w:t>药材产业发展</w:t>
      </w:r>
      <w:r>
        <w:rPr>
          <w:rFonts w:hint="eastAsia" w:ascii="仿宋" w:hAnsi="仿宋" w:eastAsia="仿宋" w:cs="仿宋"/>
          <w:b/>
          <w:bCs/>
          <w:color w:val="auto"/>
          <w:sz w:val="32"/>
          <w:szCs w:val="32"/>
          <w:lang w:val="en-US" w:eastAsia="zh-CN"/>
        </w:rPr>
        <w:t>科技支撑</w:t>
      </w:r>
      <w:r>
        <w:rPr>
          <w:rFonts w:hint="eastAsia" w:ascii="仿宋" w:hAnsi="仿宋" w:eastAsia="仿宋" w:cs="仿宋"/>
          <w:b/>
          <w:bCs/>
          <w:color w:val="auto"/>
          <w:sz w:val="32"/>
          <w:szCs w:val="32"/>
        </w:rPr>
        <w:t>能力。</w:t>
      </w:r>
      <w:r>
        <w:rPr>
          <w:rFonts w:hint="eastAsia" w:ascii="仿宋" w:hAnsi="仿宋" w:eastAsia="仿宋" w:cs="仿宋"/>
          <w:color w:val="auto"/>
          <w:sz w:val="32"/>
          <w:szCs w:val="32"/>
        </w:rPr>
        <w:t>开展道地中药材种质资源收集、整理与评价研究，加强珍稀野生资源保护与驯化技术研究，进行</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药材良种繁育与新品种选育研究，从源头解决</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药材种质混乱问题；开展</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药材生态种植、采收加工等生产过程关键技术研究，加强</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药材加工副产品的利用途径研究，拓展中药材应用新领域；推进</w:t>
      </w:r>
      <w:r>
        <w:rPr>
          <w:rFonts w:hint="eastAsia" w:ascii="仿宋" w:hAnsi="仿宋" w:eastAsia="仿宋" w:cs="仿宋"/>
          <w:color w:val="auto"/>
          <w:sz w:val="32"/>
          <w:szCs w:val="32"/>
          <w:lang w:val="en-US" w:eastAsia="zh-CN"/>
        </w:rPr>
        <w:t>宁夏道地大宗</w:t>
      </w:r>
      <w:r>
        <w:rPr>
          <w:rFonts w:hint="eastAsia" w:ascii="仿宋" w:hAnsi="仿宋" w:eastAsia="仿宋" w:cs="仿宋"/>
          <w:color w:val="auto"/>
          <w:sz w:val="32"/>
          <w:szCs w:val="32"/>
        </w:rPr>
        <w:t>药材</w:t>
      </w:r>
      <w:r>
        <w:rPr>
          <w:rFonts w:hint="eastAsia" w:ascii="仿宋" w:hAnsi="仿宋" w:eastAsia="仿宋" w:cs="仿宋"/>
          <w:color w:val="auto"/>
          <w:sz w:val="32"/>
          <w:szCs w:val="32"/>
          <w:lang w:val="en-US" w:eastAsia="zh-CN"/>
        </w:rPr>
        <w:t>产品开发研究</w:t>
      </w:r>
      <w:r>
        <w:rPr>
          <w:rFonts w:hint="eastAsia" w:ascii="仿宋" w:hAnsi="仿宋" w:eastAsia="仿宋" w:cs="仿宋"/>
          <w:color w:val="auto"/>
          <w:sz w:val="32"/>
          <w:szCs w:val="32"/>
        </w:rPr>
        <w:t>，全面监控</w:t>
      </w:r>
      <w:r>
        <w:rPr>
          <w:rFonts w:hint="eastAsia" w:ascii="仿宋" w:hAnsi="仿宋" w:eastAsia="仿宋" w:cs="仿宋"/>
          <w:color w:val="auto"/>
          <w:sz w:val="32"/>
          <w:szCs w:val="32"/>
          <w:lang w:val="en-US" w:eastAsia="zh-CN"/>
        </w:rPr>
        <w:t>中药材相关产品</w:t>
      </w:r>
      <w:r>
        <w:rPr>
          <w:rFonts w:hint="eastAsia" w:ascii="仿宋" w:hAnsi="仿宋" w:eastAsia="仿宋" w:cs="仿宋"/>
          <w:color w:val="auto"/>
          <w:sz w:val="32"/>
          <w:szCs w:val="32"/>
        </w:rPr>
        <w:t>生产过程</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药材活性成分、重金属及农药残留变化，</w:t>
      </w:r>
      <w:r>
        <w:rPr>
          <w:rFonts w:hint="eastAsia" w:ascii="仿宋" w:hAnsi="仿宋" w:eastAsia="仿宋" w:cs="仿宋"/>
          <w:color w:val="auto"/>
          <w:sz w:val="32"/>
          <w:szCs w:val="32"/>
          <w:lang w:val="en-US" w:eastAsia="zh-CN"/>
        </w:rPr>
        <w:t>提升</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w:t>
      </w:r>
      <w:r>
        <w:rPr>
          <w:rFonts w:hint="eastAsia" w:ascii="仿宋" w:hAnsi="仿宋" w:eastAsia="仿宋" w:cs="仿宋"/>
          <w:color w:val="auto"/>
          <w:sz w:val="32"/>
          <w:szCs w:val="32"/>
          <w:lang w:val="en-US" w:eastAsia="zh-CN"/>
        </w:rPr>
        <w:t>产品</w:t>
      </w:r>
      <w:r>
        <w:rPr>
          <w:rFonts w:hint="eastAsia" w:ascii="仿宋" w:hAnsi="仿宋" w:eastAsia="仿宋" w:cs="仿宋"/>
          <w:color w:val="auto"/>
          <w:sz w:val="32"/>
          <w:szCs w:val="32"/>
        </w:rPr>
        <w:t>质量，增强产品市场竞争力。促进中药材科技成果转化。发挥市场化技术交易服务平台作用，加快中药材新技术、新产品的示范推广。</w:t>
      </w: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18.</w:t>
      </w:r>
      <w:r>
        <w:rPr>
          <w:rFonts w:hint="eastAsia" w:ascii="仿宋" w:hAnsi="仿宋" w:eastAsia="仿宋" w:cs="仿宋"/>
          <w:b/>
          <w:bCs/>
          <w:color w:val="auto"/>
          <w:sz w:val="32"/>
          <w:szCs w:val="32"/>
        </w:rPr>
        <w:t>加快</w:t>
      </w:r>
      <w:r>
        <w:rPr>
          <w:rFonts w:hint="eastAsia" w:ascii="仿宋" w:hAnsi="仿宋" w:eastAsia="仿宋" w:cs="仿宋"/>
          <w:b/>
          <w:bCs/>
          <w:color w:val="auto"/>
          <w:sz w:val="32"/>
          <w:szCs w:val="32"/>
          <w:lang w:eastAsia="zh-CN"/>
        </w:rPr>
        <w:t>中</w:t>
      </w:r>
      <w:r>
        <w:rPr>
          <w:rFonts w:hint="eastAsia" w:ascii="仿宋" w:hAnsi="仿宋" w:eastAsia="仿宋" w:cs="仿宋"/>
          <w:b/>
          <w:bCs/>
          <w:color w:val="auto"/>
          <w:sz w:val="32"/>
          <w:szCs w:val="32"/>
        </w:rPr>
        <w:t>药材产业技术标准体系建设</w:t>
      </w:r>
      <w:r>
        <w:rPr>
          <w:rFonts w:hint="eastAsia" w:ascii="楷体" w:hAnsi="楷体" w:eastAsia="楷体" w:cs="楷体"/>
          <w:b/>
          <w:bCs/>
          <w:color w:val="auto"/>
          <w:sz w:val="32"/>
          <w:szCs w:val="32"/>
          <w:lang w:eastAsia="zh-CN"/>
        </w:rPr>
        <w:t>。</w:t>
      </w:r>
      <w:r>
        <w:rPr>
          <w:rFonts w:hint="eastAsia" w:ascii="仿宋" w:hAnsi="仿宋" w:eastAsia="仿宋" w:cs="仿宋"/>
          <w:color w:val="auto"/>
          <w:sz w:val="32"/>
          <w:szCs w:val="32"/>
        </w:rPr>
        <w:t>建立枸杞子、甘草、黄芪、银柴胡、小茴香、苦杏仁、桃仁、</w:t>
      </w:r>
      <w:r>
        <w:rPr>
          <w:rFonts w:hint="eastAsia" w:ascii="仿宋" w:hAnsi="仿宋" w:eastAsia="仿宋" w:cs="仿宋"/>
          <w:color w:val="auto"/>
          <w:sz w:val="32"/>
          <w:szCs w:val="32"/>
          <w:lang w:eastAsia="zh-CN"/>
        </w:rPr>
        <w:t>菟丝子</w:t>
      </w:r>
      <w:r>
        <w:rPr>
          <w:rFonts w:hint="eastAsia" w:ascii="仿宋" w:hAnsi="仿宋" w:eastAsia="仿宋" w:cs="仿宋"/>
          <w:color w:val="auto"/>
          <w:sz w:val="32"/>
          <w:szCs w:val="32"/>
        </w:rPr>
        <w:t>、板蓝根、秦艽、柴胡、党参、红花、芍药、黄</w:t>
      </w:r>
      <w:r>
        <w:rPr>
          <w:rFonts w:hint="eastAsia" w:ascii="仿宋" w:hAnsi="仿宋" w:eastAsia="仿宋" w:cs="仿宋"/>
          <w:color w:val="auto"/>
          <w:sz w:val="32"/>
          <w:szCs w:val="32"/>
          <w:lang w:val="en-US" w:eastAsia="zh-CN"/>
        </w:rPr>
        <w:t>芩</w:t>
      </w:r>
      <w:r>
        <w:rPr>
          <w:rFonts w:hint="eastAsia" w:ascii="仿宋" w:hAnsi="仿宋" w:eastAsia="仿宋" w:cs="仿宋"/>
          <w:color w:val="auto"/>
          <w:sz w:val="32"/>
          <w:szCs w:val="32"/>
        </w:rPr>
        <w:t>等宁夏大宗中药材的标准体系。结合宁夏实际，制定良种繁育、种子种苗、种植（养殖）、采收、产地加工规范，制定或提升宁夏大宗中药材生产技术规程，构建宁夏优质中药材全产业链标准体系。探索制定枸杞子等产品国际标准，实现国际标准零突破。</w:t>
      </w:r>
    </w:p>
    <w:p>
      <w:pPr>
        <w:pStyle w:val="2"/>
        <w:pageBreakBefore w:val="0"/>
        <w:kinsoku/>
        <w:wordWrap/>
        <w:overflowPunct/>
        <w:topLinePunct w:val="0"/>
        <w:autoSpaceDE/>
        <w:autoSpaceDN/>
        <w:bidi w:val="0"/>
        <w:spacing w:line="560" w:lineRule="exact"/>
        <w:ind w:left="0" w:leftChars="0" w:right="0" w:rightChars="0" w:firstLine="643" w:firstLineChars="200"/>
        <w:textAlignment w:val="auto"/>
        <w:rPr>
          <w:rFonts w:hint="default" w:ascii="仿宋" w:hAnsi="仿宋" w:eastAsia="仿宋" w:cs="仿宋"/>
          <w:color w:val="auto"/>
          <w:sz w:val="32"/>
          <w:szCs w:val="32"/>
        </w:rPr>
      </w:pPr>
      <w:r>
        <w:rPr>
          <w:rFonts w:hint="eastAsia" w:ascii="仿宋" w:hAnsi="仿宋" w:eastAsia="仿宋" w:cs="仿宋"/>
          <w:b/>
          <w:bCs/>
          <w:color w:val="auto"/>
          <w:sz w:val="32"/>
          <w:szCs w:val="32"/>
          <w:lang w:val="en-US" w:eastAsia="zh-CN"/>
        </w:rPr>
        <w:t>19.</w:t>
      </w:r>
      <w:r>
        <w:rPr>
          <w:rFonts w:hint="default" w:ascii="仿宋" w:hAnsi="仿宋" w:eastAsia="仿宋" w:cs="仿宋"/>
          <w:b/>
          <w:bCs/>
          <w:color w:val="auto"/>
          <w:sz w:val="32"/>
          <w:szCs w:val="32"/>
        </w:rPr>
        <w:t>强化</w:t>
      </w:r>
      <w:r>
        <w:rPr>
          <w:rFonts w:hint="eastAsia" w:ascii="仿宋" w:hAnsi="仿宋" w:eastAsia="仿宋" w:cs="仿宋"/>
          <w:b/>
          <w:bCs/>
          <w:color w:val="auto"/>
          <w:sz w:val="32"/>
          <w:szCs w:val="32"/>
          <w:lang w:val="en-US" w:eastAsia="zh-CN"/>
        </w:rPr>
        <w:t>中药材</w:t>
      </w:r>
      <w:r>
        <w:rPr>
          <w:rFonts w:hint="default" w:ascii="仿宋" w:hAnsi="仿宋" w:eastAsia="仿宋" w:cs="仿宋"/>
          <w:b/>
          <w:bCs/>
          <w:color w:val="auto"/>
          <w:sz w:val="32"/>
          <w:szCs w:val="32"/>
        </w:rPr>
        <w:t>科技交流合作。</w:t>
      </w:r>
      <w:r>
        <w:rPr>
          <w:rFonts w:hint="default" w:ascii="仿宋" w:hAnsi="仿宋" w:eastAsia="仿宋" w:cs="仿宋"/>
          <w:bCs w:val="0"/>
          <w:color w:val="auto"/>
          <w:sz w:val="32"/>
          <w:szCs w:val="32"/>
        </w:rPr>
        <w:t>扎实推进与国内大院大所及</w:t>
      </w:r>
      <w:r>
        <w:rPr>
          <w:rFonts w:hint="eastAsia" w:ascii="仿宋" w:hAnsi="仿宋" w:eastAsia="仿宋" w:cs="仿宋"/>
          <w:bCs w:val="0"/>
          <w:color w:val="auto"/>
          <w:sz w:val="32"/>
          <w:szCs w:val="32"/>
          <w:lang w:val="en-US" w:eastAsia="zh-CN"/>
        </w:rPr>
        <w:t>中药材大</w:t>
      </w:r>
      <w:r>
        <w:rPr>
          <w:rFonts w:hint="default" w:ascii="仿宋" w:hAnsi="仿宋" w:eastAsia="仿宋" w:cs="仿宋"/>
          <w:bCs w:val="0"/>
          <w:color w:val="auto"/>
          <w:sz w:val="32"/>
          <w:szCs w:val="32"/>
        </w:rPr>
        <w:t>省的合作</w:t>
      </w:r>
      <w:r>
        <w:rPr>
          <w:rFonts w:hint="eastAsia" w:ascii="仿宋" w:hAnsi="仿宋" w:eastAsia="仿宋" w:cs="仿宋"/>
          <w:bCs w:val="0"/>
          <w:color w:val="auto"/>
          <w:sz w:val="32"/>
          <w:szCs w:val="32"/>
          <w:lang w:eastAsia="zh-CN"/>
        </w:rPr>
        <w:t>，</w:t>
      </w:r>
      <w:r>
        <w:rPr>
          <w:rFonts w:hint="default" w:ascii="仿宋" w:hAnsi="仿宋" w:eastAsia="仿宋" w:cs="仿宋"/>
          <w:color w:val="auto"/>
          <w:sz w:val="32"/>
          <w:szCs w:val="32"/>
        </w:rPr>
        <w:t>融合创新要素，汇聚区内外优势资源，加</w:t>
      </w:r>
      <w:r>
        <w:rPr>
          <w:rFonts w:hint="eastAsia" w:ascii="仿宋" w:hAnsi="仿宋" w:eastAsia="仿宋" w:cs="仿宋"/>
          <w:color w:val="auto"/>
          <w:sz w:val="32"/>
          <w:szCs w:val="32"/>
          <w:lang w:val="en-US" w:eastAsia="zh-CN"/>
        </w:rPr>
        <w:t>快推进</w:t>
      </w:r>
      <w:r>
        <w:rPr>
          <w:rFonts w:hint="default" w:ascii="仿宋" w:hAnsi="仿宋" w:eastAsia="仿宋" w:cs="仿宋"/>
          <w:color w:val="auto"/>
          <w:sz w:val="32"/>
          <w:szCs w:val="32"/>
        </w:rPr>
        <w:t>中药材全产业链的研究策略、方法、技术的革新，促进创新发展新突破。组织区内中药材企业与区外企业、高校、科研院所开展成果对接，促进先进科技成果在我区落地转化。充分利用东西部科技合作机制，进一步深化与东部省市中药材领域的科技合作交流。围绕中药材产业重大需求，组织实施一批科技研发项目和成果转化项目，突破</w:t>
      </w:r>
      <w:r>
        <w:rPr>
          <w:rFonts w:hint="eastAsia" w:ascii="仿宋" w:hAnsi="仿宋" w:eastAsia="仿宋" w:cs="仿宋"/>
          <w:color w:val="auto"/>
          <w:sz w:val="32"/>
          <w:szCs w:val="32"/>
          <w:lang w:val="en-US" w:eastAsia="zh-CN"/>
        </w:rPr>
        <w:t>宁夏</w:t>
      </w:r>
      <w:r>
        <w:rPr>
          <w:rFonts w:hint="default" w:ascii="仿宋" w:hAnsi="仿宋" w:eastAsia="仿宋" w:cs="仿宋"/>
          <w:color w:val="auto"/>
          <w:sz w:val="32"/>
          <w:szCs w:val="32"/>
        </w:rPr>
        <w:t>道地中药材</w:t>
      </w:r>
      <w:r>
        <w:rPr>
          <w:rFonts w:hint="eastAsia" w:ascii="仿宋" w:hAnsi="仿宋" w:eastAsia="仿宋" w:cs="仿宋"/>
          <w:color w:val="auto"/>
          <w:sz w:val="32"/>
          <w:szCs w:val="32"/>
          <w:lang w:val="en-US" w:eastAsia="zh-CN"/>
        </w:rPr>
        <w:t>产业</w:t>
      </w:r>
      <w:r>
        <w:rPr>
          <w:rFonts w:hint="default" w:ascii="仿宋" w:hAnsi="仿宋" w:eastAsia="仿宋" w:cs="仿宋"/>
          <w:color w:val="auto"/>
          <w:sz w:val="32"/>
          <w:szCs w:val="32"/>
        </w:rPr>
        <w:t>关键技术瓶颈，组织国内高层次专家来宁进行短期讲学、调研考察、技术诊断、技术推介发布、技术洽谈、产业合作等多种形式的技术合作，实现科技合作</w:t>
      </w:r>
      <w:r>
        <w:rPr>
          <w:rFonts w:hint="eastAsia" w:ascii="仿宋" w:hAnsi="仿宋" w:eastAsia="仿宋" w:cs="仿宋"/>
          <w:color w:val="auto"/>
          <w:sz w:val="32"/>
          <w:szCs w:val="32"/>
          <w:lang w:val="en-US" w:eastAsia="zh-CN"/>
        </w:rPr>
        <w:t>交流</w:t>
      </w:r>
      <w:r>
        <w:rPr>
          <w:rFonts w:hint="default" w:ascii="仿宋" w:hAnsi="仿宋" w:eastAsia="仿宋" w:cs="仿宋"/>
          <w:color w:val="auto"/>
          <w:sz w:val="32"/>
          <w:szCs w:val="32"/>
        </w:rPr>
        <w:t>的新突破。</w:t>
      </w:r>
    </w:p>
    <w:p>
      <w:pPr>
        <w:pStyle w:val="5"/>
        <w:pageBreakBefore w:val="0"/>
        <w:kinsoku/>
        <w:wordWrap/>
        <w:overflowPunct/>
        <w:topLinePunct w:val="0"/>
        <w:autoSpaceDE/>
        <w:autoSpaceDN/>
        <w:bidi w:val="0"/>
        <w:spacing w:after="0" w:line="560" w:lineRule="exact"/>
        <w:ind w:right="0" w:rightChars="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   （八）促进中药材产业多业态融合发展</w:t>
      </w:r>
    </w:p>
    <w:p>
      <w:pPr>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20.</w:t>
      </w:r>
      <w:r>
        <w:rPr>
          <w:rFonts w:hint="eastAsia" w:ascii="仿宋" w:hAnsi="仿宋" w:eastAsia="仿宋" w:cs="仿宋"/>
          <w:color w:val="auto"/>
          <w:sz w:val="32"/>
          <w:szCs w:val="32"/>
          <w:lang w:val="en-US" w:eastAsia="zh-CN"/>
        </w:rPr>
        <w:t>将中药材主产区和种养殖基地纳入全区旅游景区建设规划，促进中药材产业与养生保健、健康养老、健康旅游融合发展，建设一批特点鲜明、优势明显、综合实力强、具有示范辐射作用的中医药健康旅游示范区，开展中药材种植（养殖）、养生保健、旅游康养等服务，开发以宁夏枸杞子等中药材为主要原料的系列旅游商品，打造中药材旅游商品品牌。</w:t>
      </w:r>
      <w:bookmarkStart w:id="8" w:name="_Toc57029017"/>
    </w:p>
    <w:p>
      <w:pPr>
        <w:pageBreakBefore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保障措施</w:t>
      </w:r>
      <w:bookmarkEnd w:id="8"/>
      <w:bookmarkStart w:id="9" w:name="_Toc340646117"/>
      <w:bookmarkStart w:id="10" w:name="_Toc57029018"/>
    </w:p>
    <w:bookmarkEnd w:id="9"/>
    <w:bookmarkEnd w:id="10"/>
    <w:p>
      <w:pPr>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b w:val="0"/>
          <w:bCs w:val="0"/>
          <w:color w:val="auto"/>
          <w:sz w:val="32"/>
          <w:szCs w:val="32"/>
          <w:highlight w:val="none"/>
          <w:lang w:val="en-US" w:eastAsia="zh-CN"/>
        </w:rPr>
      </w:pPr>
      <w:r>
        <w:rPr>
          <w:rStyle w:val="21"/>
          <w:rFonts w:hint="eastAsia" w:ascii="楷体" w:hAnsi="楷体" w:eastAsia="楷体" w:cs="楷体"/>
          <w:color w:val="auto"/>
          <w:lang w:eastAsia="zh-CN"/>
        </w:rPr>
        <w:t>（</w:t>
      </w:r>
      <w:r>
        <w:rPr>
          <w:rStyle w:val="21"/>
          <w:rFonts w:hint="eastAsia" w:ascii="楷体" w:hAnsi="楷体" w:eastAsia="楷体" w:cs="楷体"/>
          <w:color w:val="auto"/>
          <w:lang w:val="en-US" w:eastAsia="zh-CN"/>
        </w:rPr>
        <w:t>一</w:t>
      </w:r>
      <w:r>
        <w:rPr>
          <w:rStyle w:val="21"/>
          <w:rFonts w:hint="eastAsia" w:ascii="楷体" w:hAnsi="楷体" w:eastAsia="楷体" w:cs="楷体"/>
          <w:color w:val="auto"/>
          <w:lang w:eastAsia="zh-CN"/>
        </w:rPr>
        <w:t>）</w:t>
      </w:r>
      <w:r>
        <w:rPr>
          <w:rStyle w:val="21"/>
          <w:rFonts w:hint="eastAsia" w:ascii="楷体" w:hAnsi="楷体" w:eastAsia="楷体" w:cs="楷体"/>
          <w:color w:val="auto"/>
        </w:rPr>
        <w:t>加强方案组织实施。</w:t>
      </w:r>
      <w:r>
        <w:rPr>
          <w:rStyle w:val="21"/>
          <w:rFonts w:hint="eastAsia" w:ascii="仿宋" w:hAnsi="仿宋" w:eastAsia="仿宋" w:cs="仿宋"/>
          <w:b w:val="0"/>
          <w:bCs w:val="0"/>
          <w:color w:val="auto"/>
        </w:rPr>
        <w:t>各级政府要提高认识，加强领</w:t>
      </w:r>
      <w:r>
        <w:rPr>
          <w:rFonts w:hint="eastAsia" w:ascii="仿宋" w:hAnsi="仿宋" w:eastAsia="仿宋" w:cs="仿宋"/>
          <w:b w:val="0"/>
          <w:bCs w:val="0"/>
          <w:color w:val="auto"/>
          <w:sz w:val="32"/>
          <w:szCs w:val="32"/>
          <w:highlight w:val="none"/>
          <w:lang w:val="en-US" w:eastAsia="zh-CN"/>
        </w:rPr>
        <w:t>导，将中药材产业发展纳入重要议事日程，列入当地国民经济和社会发展规划，一体谋划、一体推进、一体落实，在资源配置、政策机制、制度安排等方面予以倾斜。发挥自治区中医药工作</w:t>
      </w:r>
      <w:bookmarkStart w:id="14" w:name="_GoBack"/>
      <w:bookmarkEnd w:id="14"/>
      <w:r>
        <w:rPr>
          <w:rFonts w:hint="eastAsia" w:ascii="仿宋" w:hAnsi="仿宋" w:eastAsia="仿宋" w:cs="仿宋"/>
          <w:b w:val="0"/>
          <w:bCs w:val="0"/>
          <w:color w:val="auto"/>
          <w:sz w:val="32"/>
          <w:szCs w:val="32"/>
          <w:highlight w:val="none"/>
          <w:lang w:val="en-US" w:eastAsia="zh-CN"/>
        </w:rPr>
        <w:t>联席会议机制作用</w:t>
      </w:r>
      <w:r>
        <w:rPr>
          <w:rFonts w:hint="eastAsia" w:ascii="仿宋" w:hAnsi="仿宋" w:eastAsia="仿宋" w:cs="仿宋"/>
          <w:b w:val="0"/>
          <w:bCs w:val="0"/>
          <w:color w:val="auto"/>
          <w:sz w:val="32"/>
          <w:szCs w:val="32"/>
          <w:highlight w:val="none"/>
        </w:rPr>
        <w:t>，组织发改、财政、农业、工信、商务、卫健</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中医药</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、科技等部门和金融机构统筹</w:t>
      </w:r>
      <w:r>
        <w:rPr>
          <w:rFonts w:hint="eastAsia" w:ascii="仿宋" w:hAnsi="仿宋" w:eastAsia="仿宋" w:cs="仿宋"/>
          <w:b w:val="0"/>
          <w:bCs w:val="0"/>
          <w:color w:val="auto"/>
          <w:sz w:val="32"/>
          <w:szCs w:val="32"/>
        </w:rPr>
        <w:t>整合</w:t>
      </w:r>
      <w:r>
        <w:rPr>
          <w:rFonts w:hint="eastAsia" w:ascii="仿宋" w:hAnsi="仿宋" w:eastAsia="仿宋" w:cs="仿宋"/>
          <w:b w:val="0"/>
          <w:bCs w:val="0"/>
          <w:color w:val="auto"/>
          <w:sz w:val="32"/>
          <w:szCs w:val="32"/>
          <w:highlight w:val="none"/>
        </w:rPr>
        <w:t>产业资源，</w:t>
      </w:r>
      <w:r>
        <w:rPr>
          <w:rFonts w:hint="eastAsia" w:ascii="仿宋" w:hAnsi="仿宋" w:eastAsia="仿宋" w:cs="仿宋"/>
          <w:b w:val="0"/>
          <w:bCs w:val="0"/>
          <w:color w:val="auto"/>
          <w:sz w:val="32"/>
          <w:szCs w:val="32"/>
          <w:highlight w:val="none"/>
          <w:lang w:val="en-US" w:eastAsia="zh-CN"/>
        </w:rPr>
        <w:t>强化责任落实，</w:t>
      </w:r>
      <w:r>
        <w:rPr>
          <w:rFonts w:hint="eastAsia" w:ascii="仿宋" w:hAnsi="仿宋" w:eastAsia="仿宋" w:cs="仿宋"/>
          <w:b w:val="0"/>
          <w:bCs w:val="0"/>
          <w:color w:val="auto"/>
          <w:sz w:val="32"/>
          <w:szCs w:val="32"/>
        </w:rPr>
        <w:t>合力</w:t>
      </w:r>
      <w:r>
        <w:rPr>
          <w:rFonts w:hint="eastAsia" w:ascii="仿宋" w:hAnsi="仿宋" w:eastAsia="仿宋" w:cs="仿宋"/>
          <w:b w:val="0"/>
          <w:bCs w:val="0"/>
          <w:color w:val="auto"/>
          <w:sz w:val="32"/>
          <w:szCs w:val="32"/>
          <w:highlight w:val="none"/>
        </w:rPr>
        <w:t>推进</w:t>
      </w:r>
      <w:r>
        <w:rPr>
          <w:rFonts w:hint="eastAsia" w:ascii="仿宋" w:hAnsi="仿宋" w:eastAsia="仿宋" w:cs="仿宋"/>
          <w:b w:val="0"/>
          <w:bCs w:val="0"/>
          <w:color w:val="auto"/>
          <w:sz w:val="32"/>
          <w:szCs w:val="32"/>
          <w:highlight w:val="none"/>
          <w:lang w:val="en-US" w:eastAsia="zh-CN"/>
        </w:rPr>
        <w:t>各项工作目标的顺利</w:t>
      </w:r>
      <w:r>
        <w:rPr>
          <w:rFonts w:hint="eastAsia" w:ascii="仿宋" w:hAnsi="仿宋" w:eastAsia="仿宋" w:cs="仿宋"/>
          <w:b w:val="0"/>
          <w:bCs w:val="0"/>
          <w:color w:val="auto"/>
          <w:spacing w:val="0"/>
          <w:sz w:val="32"/>
          <w:szCs w:val="32"/>
        </w:rPr>
        <w:t>实施</w:t>
      </w:r>
      <w:r>
        <w:rPr>
          <w:rFonts w:hint="eastAsia" w:ascii="仿宋" w:hAnsi="仿宋" w:eastAsia="仿宋" w:cs="仿宋"/>
          <w:b w:val="0"/>
          <w:bCs w:val="0"/>
          <w:color w:val="auto"/>
          <w:sz w:val="32"/>
          <w:szCs w:val="32"/>
          <w:highlight w:val="none"/>
        </w:rPr>
        <w:t>。</w:t>
      </w:r>
      <w:bookmarkStart w:id="11" w:name="_Toc57029019"/>
      <w:r>
        <w:rPr>
          <w:rFonts w:hint="eastAsia" w:ascii="仿宋" w:hAnsi="仿宋" w:eastAsia="仿宋" w:cs="仿宋"/>
          <w:b w:val="0"/>
          <w:bCs w:val="0"/>
          <w:color w:val="auto"/>
          <w:sz w:val="32"/>
          <w:szCs w:val="32"/>
          <w:highlight w:val="none"/>
          <w:lang w:val="en-US" w:eastAsia="zh-CN"/>
        </w:rPr>
        <w:t xml:space="preserve">  </w:t>
      </w:r>
    </w:p>
    <w:p>
      <w:pPr>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b w:val="0"/>
          <w:bCs/>
          <w:color w:val="auto"/>
          <w:sz w:val="32"/>
          <w:szCs w:val="32"/>
          <w:lang w:eastAsia="zh-CN"/>
        </w:rPr>
      </w:pPr>
      <w:r>
        <w:rPr>
          <w:rFonts w:hint="eastAsia" w:ascii="楷体" w:hAnsi="楷体" w:eastAsia="楷体" w:cs="楷体"/>
          <w:b/>
          <w:bCs/>
          <w:color w:val="auto"/>
          <w:sz w:val="32"/>
          <w:szCs w:val="32"/>
          <w:highlight w:val="none"/>
        </w:rPr>
        <w:t>（二）</w:t>
      </w:r>
      <w:r>
        <w:rPr>
          <w:rFonts w:hint="eastAsia" w:ascii="楷体" w:hAnsi="楷体" w:eastAsia="楷体" w:cs="楷体"/>
          <w:b/>
          <w:bCs/>
          <w:color w:val="auto"/>
          <w:sz w:val="32"/>
          <w:szCs w:val="32"/>
          <w:highlight w:val="none"/>
          <w:lang w:val="en-US" w:eastAsia="zh-CN"/>
        </w:rPr>
        <w:t>完善政策投入机制</w:t>
      </w:r>
      <w:bookmarkEnd w:id="11"/>
      <w:r>
        <w:rPr>
          <w:rFonts w:hint="eastAsia" w:ascii="楷体" w:hAnsi="楷体" w:eastAsia="楷体" w:cs="楷体"/>
          <w:b/>
          <w:bCs/>
          <w:color w:val="auto"/>
          <w:sz w:val="32"/>
          <w:szCs w:val="32"/>
          <w:highlight w:val="none"/>
          <w:lang w:val="en-US" w:eastAsia="zh-CN"/>
        </w:rPr>
        <w:t>。</w:t>
      </w:r>
      <w:r>
        <w:rPr>
          <w:rFonts w:hint="eastAsia" w:ascii="仿宋" w:hAnsi="仿宋" w:eastAsia="仿宋" w:cs="仿宋"/>
          <w:b w:val="0"/>
          <w:bCs/>
          <w:color w:val="auto"/>
          <w:sz w:val="32"/>
          <w:szCs w:val="32"/>
          <w:lang w:val="en-US" w:eastAsia="zh-CN"/>
        </w:rPr>
        <w:t>各级政府要</w:t>
      </w:r>
      <w:r>
        <w:rPr>
          <w:rFonts w:hint="eastAsia" w:ascii="仿宋" w:hAnsi="仿宋" w:eastAsia="仿宋" w:cs="仿宋"/>
          <w:b w:val="0"/>
          <w:bCs/>
          <w:color w:val="auto"/>
          <w:sz w:val="32"/>
          <w:szCs w:val="32"/>
        </w:rPr>
        <w:t>制定推进中药材产业发展的</w:t>
      </w:r>
      <w:r>
        <w:rPr>
          <w:rFonts w:hint="eastAsia" w:ascii="仿宋" w:hAnsi="仿宋" w:eastAsia="仿宋" w:cs="仿宋"/>
          <w:b w:val="0"/>
          <w:bCs/>
          <w:color w:val="auto"/>
          <w:sz w:val="32"/>
          <w:szCs w:val="32"/>
          <w:highlight w:val="none"/>
        </w:rPr>
        <w:t>土地流转</w:t>
      </w:r>
      <w:r>
        <w:rPr>
          <w:rFonts w:hint="eastAsia" w:ascii="仿宋" w:hAnsi="仿宋" w:eastAsia="仿宋" w:cs="仿宋"/>
          <w:b w:val="0"/>
          <w:bCs/>
          <w:color w:val="auto"/>
          <w:sz w:val="32"/>
          <w:szCs w:val="32"/>
        </w:rPr>
        <w:t>、金融支持</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rPr>
        <w:t>人才引进</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rPr>
        <w:t>技术合作</w:t>
      </w:r>
      <w:r>
        <w:rPr>
          <w:rFonts w:hint="eastAsia" w:ascii="仿宋" w:hAnsi="仿宋" w:eastAsia="仿宋" w:cs="仿宋"/>
          <w:b w:val="0"/>
          <w:bCs/>
          <w:color w:val="auto"/>
          <w:sz w:val="32"/>
          <w:szCs w:val="32"/>
          <w:highlight w:val="none"/>
        </w:rPr>
        <w:t>等优惠政策，</w:t>
      </w:r>
      <w:r>
        <w:rPr>
          <w:rFonts w:hint="eastAsia" w:ascii="仿宋" w:hAnsi="仿宋" w:eastAsia="仿宋" w:cs="仿宋"/>
          <w:b w:val="0"/>
          <w:bCs/>
          <w:color w:val="auto"/>
          <w:sz w:val="32"/>
          <w:szCs w:val="32"/>
          <w:highlight w:val="none"/>
          <w:lang w:val="en-US" w:eastAsia="zh-CN"/>
        </w:rPr>
        <w:t>农业农村、科技、林业草原等</w:t>
      </w:r>
      <w:r>
        <w:rPr>
          <w:rFonts w:hint="eastAsia" w:ascii="仿宋" w:hAnsi="仿宋" w:eastAsia="仿宋" w:cs="仿宋"/>
          <w:b w:val="0"/>
          <w:bCs/>
          <w:color w:val="auto"/>
          <w:sz w:val="32"/>
          <w:szCs w:val="32"/>
          <w:lang w:eastAsia="zh-CN"/>
        </w:rPr>
        <w:t>部门按其业务渠道安排专项资金，统筹整合、捆绑实施扶持项目，协调推进中药材产业发展。</w:t>
      </w:r>
      <w:r>
        <w:rPr>
          <w:rFonts w:hint="eastAsia" w:ascii="仿宋" w:hAnsi="仿宋" w:eastAsia="仿宋" w:cs="仿宋"/>
          <w:b w:val="0"/>
          <w:bCs/>
          <w:color w:val="auto"/>
          <w:sz w:val="32"/>
          <w:szCs w:val="32"/>
          <w:lang w:val="en-US" w:eastAsia="zh-CN"/>
        </w:rPr>
        <w:t>要</w:t>
      </w:r>
      <w:r>
        <w:rPr>
          <w:rFonts w:hint="eastAsia" w:ascii="仿宋" w:hAnsi="仿宋" w:eastAsia="仿宋" w:cs="仿宋"/>
          <w:b w:val="0"/>
          <w:bCs/>
          <w:color w:val="auto"/>
          <w:sz w:val="32"/>
          <w:szCs w:val="32"/>
          <w:lang w:eastAsia="zh-CN"/>
        </w:rPr>
        <w:t>建立以政府投资为引导，</w:t>
      </w:r>
      <w:r>
        <w:rPr>
          <w:rFonts w:hint="eastAsia" w:ascii="仿宋" w:hAnsi="仿宋" w:eastAsia="仿宋" w:cs="仿宋"/>
          <w:b w:val="0"/>
          <w:bCs/>
          <w:color w:val="auto"/>
          <w:sz w:val="32"/>
          <w:szCs w:val="32"/>
          <w:lang w:val="en-US" w:eastAsia="zh-CN"/>
        </w:rPr>
        <w:t>工商</w:t>
      </w:r>
      <w:r>
        <w:rPr>
          <w:rFonts w:hint="eastAsia" w:ascii="仿宋" w:hAnsi="仿宋" w:eastAsia="仿宋" w:cs="仿宋"/>
          <w:b w:val="0"/>
          <w:bCs/>
          <w:color w:val="auto"/>
          <w:sz w:val="32"/>
          <w:szCs w:val="32"/>
          <w:lang w:eastAsia="zh-CN"/>
        </w:rPr>
        <w:t>企业、</w:t>
      </w:r>
      <w:r>
        <w:rPr>
          <w:rFonts w:hint="eastAsia" w:ascii="仿宋" w:hAnsi="仿宋" w:eastAsia="仿宋" w:cs="仿宋"/>
          <w:b w:val="0"/>
          <w:bCs/>
          <w:color w:val="auto"/>
          <w:sz w:val="32"/>
          <w:szCs w:val="32"/>
          <w:lang w:val="en-US" w:eastAsia="zh-CN"/>
        </w:rPr>
        <w:t>社会资本</w:t>
      </w:r>
      <w:r>
        <w:rPr>
          <w:rFonts w:hint="eastAsia" w:ascii="仿宋" w:hAnsi="仿宋" w:eastAsia="仿宋" w:cs="仿宋"/>
          <w:b w:val="0"/>
          <w:bCs/>
          <w:color w:val="auto"/>
          <w:sz w:val="32"/>
          <w:szCs w:val="32"/>
          <w:lang w:eastAsia="zh-CN"/>
        </w:rPr>
        <w:t>投</w:t>
      </w:r>
      <w:r>
        <w:rPr>
          <w:rFonts w:hint="eastAsia" w:ascii="仿宋" w:hAnsi="仿宋" w:eastAsia="仿宋" w:cs="仿宋"/>
          <w:b w:val="0"/>
          <w:bCs/>
          <w:color w:val="auto"/>
          <w:sz w:val="32"/>
          <w:szCs w:val="32"/>
          <w:lang w:val="en-US" w:eastAsia="zh-CN"/>
        </w:rPr>
        <w:t>入</w:t>
      </w:r>
      <w:r>
        <w:rPr>
          <w:rFonts w:hint="eastAsia" w:ascii="仿宋" w:hAnsi="仿宋" w:eastAsia="仿宋" w:cs="仿宋"/>
          <w:b w:val="0"/>
          <w:bCs/>
          <w:color w:val="auto"/>
          <w:sz w:val="32"/>
          <w:szCs w:val="32"/>
          <w:lang w:eastAsia="zh-CN"/>
        </w:rPr>
        <w:t>为主体，</w:t>
      </w:r>
      <w:r>
        <w:rPr>
          <w:rFonts w:hint="eastAsia" w:ascii="仿宋" w:hAnsi="仿宋" w:eastAsia="仿宋" w:cs="仿宋"/>
          <w:b w:val="0"/>
          <w:bCs/>
          <w:color w:val="auto"/>
          <w:sz w:val="32"/>
          <w:szCs w:val="32"/>
          <w:lang w:val="en-US" w:eastAsia="zh-CN"/>
        </w:rPr>
        <w:t>贴息</w:t>
      </w:r>
      <w:r>
        <w:rPr>
          <w:rFonts w:hint="eastAsia" w:ascii="仿宋" w:hAnsi="仿宋" w:eastAsia="仿宋" w:cs="仿宋"/>
          <w:b w:val="0"/>
          <w:bCs/>
          <w:color w:val="auto"/>
          <w:sz w:val="32"/>
          <w:szCs w:val="32"/>
          <w:lang w:eastAsia="zh-CN"/>
        </w:rPr>
        <w:t>贷款为补充的多元投资机制，打造</w:t>
      </w:r>
      <w:r>
        <w:rPr>
          <w:rFonts w:hint="eastAsia" w:ascii="仿宋" w:hAnsi="仿宋" w:eastAsia="仿宋" w:cs="仿宋"/>
          <w:b w:val="0"/>
          <w:bCs/>
          <w:color w:val="auto"/>
          <w:sz w:val="32"/>
          <w:szCs w:val="32"/>
          <w:lang w:val="en-US" w:eastAsia="zh-CN"/>
        </w:rPr>
        <w:t>中</w:t>
      </w:r>
      <w:r>
        <w:rPr>
          <w:rFonts w:hint="eastAsia" w:ascii="仿宋" w:hAnsi="仿宋" w:eastAsia="仿宋" w:cs="仿宋"/>
          <w:b w:val="0"/>
          <w:bCs/>
          <w:color w:val="auto"/>
          <w:sz w:val="32"/>
          <w:szCs w:val="32"/>
          <w:lang w:eastAsia="zh-CN"/>
        </w:rPr>
        <w:t>药材产业集群。</w:t>
      </w:r>
      <w:r>
        <w:rPr>
          <w:rFonts w:hint="eastAsia" w:ascii="仿宋" w:hAnsi="仿宋" w:eastAsia="仿宋" w:cs="仿宋"/>
          <w:b w:val="0"/>
          <w:bCs/>
          <w:color w:val="auto"/>
          <w:sz w:val="32"/>
          <w:szCs w:val="32"/>
          <w:lang w:val="en-US" w:eastAsia="zh-CN"/>
        </w:rPr>
        <w:t>实施</w:t>
      </w:r>
      <w:r>
        <w:rPr>
          <w:rFonts w:hint="eastAsia" w:ascii="仿宋" w:hAnsi="仿宋" w:eastAsia="仿宋" w:cs="仿宋"/>
          <w:b w:val="0"/>
          <w:bCs/>
          <w:color w:val="auto"/>
          <w:sz w:val="32"/>
          <w:szCs w:val="32"/>
          <w:lang w:eastAsia="zh-CN"/>
        </w:rPr>
        <w:t>药农或中药合作社直补政策，引导</w:t>
      </w:r>
      <w:r>
        <w:rPr>
          <w:rFonts w:hint="eastAsia" w:ascii="仿宋" w:hAnsi="仿宋" w:eastAsia="仿宋" w:cs="仿宋"/>
          <w:b w:val="0"/>
          <w:bCs/>
          <w:color w:val="auto"/>
          <w:sz w:val="32"/>
          <w:szCs w:val="32"/>
          <w:lang w:val="en-US" w:eastAsia="zh-CN"/>
        </w:rPr>
        <w:t>扩大种植规模，</w:t>
      </w:r>
      <w:r>
        <w:rPr>
          <w:rFonts w:hint="eastAsia" w:ascii="仿宋" w:hAnsi="仿宋" w:eastAsia="仿宋" w:cs="仿宋"/>
          <w:b w:val="0"/>
          <w:bCs/>
          <w:color w:val="auto"/>
          <w:sz w:val="32"/>
          <w:szCs w:val="32"/>
          <w:lang w:eastAsia="zh-CN"/>
        </w:rPr>
        <w:t>提高产品品质。完善</w:t>
      </w:r>
      <w:r>
        <w:rPr>
          <w:rFonts w:hint="eastAsia" w:ascii="仿宋" w:hAnsi="仿宋" w:eastAsia="仿宋" w:cs="仿宋"/>
          <w:b w:val="0"/>
          <w:bCs/>
          <w:color w:val="auto"/>
          <w:sz w:val="32"/>
          <w:szCs w:val="32"/>
          <w:lang w:val="en-US" w:eastAsia="zh-CN"/>
        </w:rPr>
        <w:t>中药</w:t>
      </w:r>
      <w:r>
        <w:rPr>
          <w:rFonts w:hint="eastAsia" w:ascii="仿宋" w:hAnsi="仿宋" w:eastAsia="仿宋" w:cs="仿宋"/>
          <w:b w:val="0"/>
          <w:bCs/>
          <w:color w:val="auto"/>
          <w:sz w:val="32"/>
          <w:szCs w:val="32"/>
          <w:lang w:eastAsia="zh-CN"/>
        </w:rPr>
        <w:t>材生产基地用地政策，支持道地药材加工、仓储、物流等设施建设。</w:t>
      </w:r>
      <w:bookmarkStart w:id="12" w:name="_Toc57029020"/>
    </w:p>
    <w:p>
      <w:pPr>
        <w:pageBreakBefore w:val="0"/>
        <w:kinsoku/>
        <w:wordWrap/>
        <w:overflowPunct/>
        <w:topLinePunct w:val="0"/>
        <w:autoSpaceDE/>
        <w:autoSpaceDN/>
        <w:bidi w:val="0"/>
        <w:spacing w:line="560" w:lineRule="exact"/>
        <w:ind w:right="0" w:rightChars="0" w:firstLine="643" w:firstLineChars="200"/>
        <w:textAlignment w:val="auto"/>
        <w:rPr>
          <w:rFonts w:hint="eastAsia" w:ascii="仿宋" w:hAnsi="仿宋" w:eastAsia="仿宋" w:cs="仿宋"/>
          <w:color w:val="auto"/>
          <w:sz w:val="32"/>
          <w:szCs w:val="32"/>
        </w:rPr>
      </w:pPr>
      <w:r>
        <w:rPr>
          <w:rStyle w:val="21"/>
          <w:rFonts w:hint="eastAsia" w:ascii="楷体" w:hAnsi="楷体" w:eastAsia="楷体" w:cs="楷体"/>
          <w:color w:val="auto"/>
          <w:lang w:eastAsia="zh-CN"/>
        </w:rPr>
        <w:t>（</w:t>
      </w:r>
      <w:r>
        <w:rPr>
          <w:rStyle w:val="21"/>
          <w:rFonts w:hint="eastAsia" w:ascii="楷体" w:hAnsi="楷体" w:eastAsia="楷体" w:cs="楷体"/>
          <w:color w:val="auto"/>
          <w:lang w:val="en-US" w:eastAsia="zh-CN"/>
        </w:rPr>
        <w:t>三）</w:t>
      </w:r>
      <w:r>
        <w:rPr>
          <w:rStyle w:val="21"/>
          <w:rFonts w:hint="eastAsia" w:ascii="楷体" w:hAnsi="楷体" w:eastAsia="楷体" w:cs="楷体"/>
          <w:color w:val="auto"/>
        </w:rPr>
        <w:t>强化人才队伍建设。</w:t>
      </w:r>
      <w:r>
        <w:rPr>
          <w:rFonts w:hint="eastAsia" w:ascii="仿宋" w:hAnsi="仿宋" w:eastAsia="仿宋" w:cs="仿宋"/>
          <w:color w:val="auto"/>
          <w:sz w:val="32"/>
          <w:szCs w:val="32"/>
        </w:rPr>
        <w:t>建立人才培养机制</w:t>
      </w:r>
      <w:r>
        <w:rPr>
          <w:rFonts w:hint="eastAsia" w:ascii="仿宋" w:hAnsi="仿宋" w:eastAsia="仿宋" w:cs="仿宋"/>
          <w:color w:val="auto"/>
          <w:sz w:val="32"/>
          <w:szCs w:val="32"/>
          <w:lang w:eastAsia="zh-CN"/>
        </w:rPr>
        <w:t>，</w:t>
      </w:r>
      <w:r>
        <w:rPr>
          <w:rStyle w:val="21"/>
          <w:rFonts w:hint="eastAsia" w:ascii="仿宋" w:hAnsi="仿宋" w:eastAsia="仿宋" w:cs="仿宋"/>
          <w:b w:val="0"/>
          <w:bCs w:val="0"/>
          <w:color w:val="auto"/>
        </w:rPr>
        <w:t>培养和引进高层次中药</w:t>
      </w:r>
      <w:r>
        <w:rPr>
          <w:rFonts w:hint="eastAsia" w:ascii="仿宋" w:hAnsi="仿宋" w:eastAsia="仿宋" w:cs="仿宋"/>
          <w:color w:val="auto"/>
          <w:sz w:val="32"/>
          <w:szCs w:val="32"/>
        </w:rPr>
        <w:t>材产业人才，培养一批有一定影响、比较优势明显的科技带头人和创新团队；完善中药材产业从业人员科技培训机制与体系，强化职业技能培训，鼓励校企、院企等多种方式合作，培养一支扎根基层的中药材资源保护、种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养殖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、加工、鉴定技术和信息服务队伍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加强对基层技术人员和生产大户的科技培训指导，</w:t>
      </w:r>
      <w:r>
        <w:rPr>
          <w:rFonts w:hint="eastAsia" w:ascii="仿宋" w:hAnsi="仿宋" w:eastAsia="仿宋" w:cs="仿宋"/>
          <w:color w:val="auto"/>
          <w:sz w:val="32"/>
          <w:szCs w:val="32"/>
          <w:lang w:val="en-US" w:eastAsia="zh-CN"/>
        </w:rPr>
        <w:t>提高</w:t>
      </w:r>
      <w:r>
        <w:rPr>
          <w:rFonts w:hint="eastAsia" w:ascii="仿宋" w:hAnsi="仿宋" w:eastAsia="仿宋" w:cs="仿宋"/>
          <w:color w:val="auto"/>
          <w:sz w:val="32"/>
          <w:szCs w:val="32"/>
        </w:rPr>
        <w:t>基层中药材生产人员的业务素质和专业水平，</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rPr>
        <w:t>中药材产业创新发展</w:t>
      </w:r>
      <w:r>
        <w:rPr>
          <w:rFonts w:hint="eastAsia" w:ascii="仿宋" w:hAnsi="仿宋" w:eastAsia="仿宋" w:cs="仿宋"/>
          <w:color w:val="auto"/>
          <w:sz w:val="32"/>
          <w:szCs w:val="32"/>
          <w:lang w:val="en-US" w:eastAsia="zh-CN"/>
        </w:rPr>
        <w:t>提供人员保障</w:t>
      </w:r>
      <w:r>
        <w:rPr>
          <w:rFonts w:hint="eastAsia" w:ascii="仿宋" w:hAnsi="仿宋" w:eastAsia="仿宋" w:cs="仿宋"/>
          <w:color w:val="auto"/>
          <w:sz w:val="32"/>
          <w:szCs w:val="32"/>
        </w:rPr>
        <w:t>。</w:t>
      </w:r>
    </w:p>
    <w:p>
      <w:pPr>
        <w:pageBreakBefore w:val="0"/>
        <w:kinsoku/>
        <w:wordWrap/>
        <w:overflowPunct/>
        <w:topLinePunct w:val="0"/>
        <w:autoSpaceDE/>
        <w:autoSpaceDN/>
        <w:bidi w:val="0"/>
        <w:spacing w:line="560" w:lineRule="exact"/>
        <w:ind w:right="0" w:rightChars="0" w:firstLine="643" w:firstLineChars="200"/>
        <w:textAlignment w:val="auto"/>
        <w:rPr>
          <w:rFonts w:hint="eastAsia"/>
          <w:color w:val="auto"/>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rPr>
        <w:t>）</w:t>
      </w:r>
      <w:bookmarkEnd w:id="12"/>
      <w:r>
        <w:rPr>
          <w:rFonts w:hint="eastAsia" w:ascii="楷体" w:hAnsi="楷体" w:eastAsia="楷体" w:cs="楷体"/>
          <w:b/>
          <w:bCs/>
          <w:color w:val="auto"/>
          <w:sz w:val="32"/>
          <w:szCs w:val="32"/>
          <w:lang w:val="en-US" w:eastAsia="zh-CN"/>
        </w:rPr>
        <w:t>推进科技</w:t>
      </w:r>
      <w:r>
        <w:rPr>
          <w:rFonts w:hint="eastAsia" w:ascii="楷体" w:hAnsi="楷体" w:eastAsia="楷体" w:cs="楷体"/>
          <w:b/>
          <w:bCs/>
          <w:color w:val="auto"/>
          <w:sz w:val="32"/>
          <w:szCs w:val="32"/>
        </w:rPr>
        <w:t>服务</w:t>
      </w:r>
      <w:r>
        <w:rPr>
          <w:rFonts w:hint="eastAsia" w:ascii="楷体" w:hAnsi="楷体" w:eastAsia="楷体" w:cs="楷体"/>
          <w:b/>
          <w:bCs/>
          <w:color w:val="auto"/>
          <w:sz w:val="32"/>
          <w:szCs w:val="32"/>
          <w:lang w:val="en-US" w:eastAsia="zh-CN"/>
        </w:rPr>
        <w:t>创新</w:t>
      </w:r>
      <w:r>
        <w:rPr>
          <w:rFonts w:hint="eastAsia" w:ascii="楷体" w:hAnsi="楷体" w:eastAsia="楷体" w:cs="楷体"/>
          <w:b/>
          <w:color w:val="auto"/>
          <w:sz w:val="32"/>
          <w:szCs w:val="32"/>
          <w:lang w:val="en-US" w:eastAsia="zh-CN"/>
        </w:rPr>
        <w:t>。</w:t>
      </w:r>
      <w:r>
        <w:rPr>
          <w:rFonts w:hint="eastAsia" w:ascii="仿宋" w:hAnsi="仿宋" w:eastAsia="仿宋" w:cs="仿宋"/>
          <w:b w:val="0"/>
          <w:bCs/>
          <w:color w:val="auto"/>
          <w:sz w:val="32"/>
          <w:szCs w:val="32"/>
          <w:highlight w:val="none"/>
          <w:lang w:val="en-US" w:eastAsia="zh-CN"/>
        </w:rPr>
        <w:t>成立</w:t>
      </w:r>
      <w:r>
        <w:rPr>
          <w:rFonts w:hint="eastAsia" w:ascii="仿宋" w:hAnsi="仿宋" w:eastAsia="仿宋" w:cs="仿宋"/>
          <w:b w:val="0"/>
          <w:bCs/>
          <w:color w:val="auto"/>
          <w:sz w:val="32"/>
          <w:szCs w:val="32"/>
          <w:highlight w:val="none"/>
        </w:rPr>
        <w:t>成</w:t>
      </w:r>
      <w:r>
        <w:rPr>
          <w:rFonts w:hint="eastAsia" w:ascii="仿宋" w:hAnsi="仿宋" w:eastAsia="仿宋" w:cs="仿宋"/>
          <w:b w:val="0"/>
          <w:bCs/>
          <w:color w:val="auto"/>
          <w:sz w:val="32"/>
          <w:szCs w:val="32"/>
        </w:rPr>
        <w:t>中药材</w:t>
      </w:r>
      <w:r>
        <w:rPr>
          <w:rFonts w:hint="eastAsia" w:ascii="仿宋" w:hAnsi="仿宋" w:eastAsia="仿宋" w:cs="仿宋"/>
          <w:b w:val="0"/>
          <w:bCs/>
          <w:color w:val="auto"/>
          <w:sz w:val="32"/>
          <w:szCs w:val="32"/>
          <w:highlight w:val="none"/>
        </w:rPr>
        <w:t>产业专家咨询委员会，为</w:t>
      </w:r>
      <w:r>
        <w:rPr>
          <w:rFonts w:hint="eastAsia" w:ascii="仿宋" w:hAnsi="仿宋" w:eastAsia="仿宋" w:cs="仿宋"/>
          <w:b w:val="0"/>
          <w:bCs/>
          <w:color w:val="auto"/>
          <w:sz w:val="32"/>
          <w:szCs w:val="32"/>
          <w:highlight w:val="none"/>
          <w:lang w:val="en-US" w:eastAsia="zh-CN"/>
        </w:rPr>
        <w:t>方案的</w:t>
      </w:r>
      <w:r>
        <w:rPr>
          <w:rFonts w:hint="eastAsia" w:ascii="仿宋" w:hAnsi="仿宋" w:eastAsia="仿宋" w:cs="仿宋"/>
          <w:b w:val="0"/>
          <w:bCs/>
          <w:color w:val="auto"/>
          <w:spacing w:val="0"/>
          <w:sz w:val="32"/>
          <w:szCs w:val="32"/>
          <w:highlight w:val="none"/>
        </w:rPr>
        <w:t>实施</w:t>
      </w:r>
      <w:r>
        <w:rPr>
          <w:rFonts w:hint="eastAsia" w:ascii="仿宋" w:hAnsi="仿宋" w:eastAsia="仿宋" w:cs="仿宋"/>
          <w:b w:val="0"/>
          <w:bCs/>
          <w:color w:val="auto"/>
          <w:sz w:val="32"/>
          <w:szCs w:val="32"/>
          <w:highlight w:val="none"/>
        </w:rPr>
        <w:t>提供技术指导和咨询服务。</w:t>
      </w:r>
      <w:r>
        <w:rPr>
          <w:rFonts w:hint="eastAsia" w:ascii="仿宋" w:hAnsi="仿宋" w:eastAsia="仿宋" w:cs="仿宋"/>
          <w:b w:val="0"/>
          <w:bCs/>
          <w:color w:val="auto"/>
          <w:sz w:val="32"/>
          <w:szCs w:val="32"/>
          <w:highlight w:val="none"/>
          <w:lang w:val="en-US" w:eastAsia="zh-CN"/>
        </w:rPr>
        <w:t>发挥</w:t>
      </w:r>
      <w:r>
        <w:rPr>
          <w:rFonts w:hint="eastAsia" w:ascii="仿宋" w:hAnsi="仿宋" w:eastAsia="仿宋" w:cs="仿宋"/>
          <w:b w:val="0"/>
          <w:bCs/>
          <w:color w:val="auto"/>
          <w:sz w:val="32"/>
          <w:szCs w:val="32"/>
          <w:highlight w:val="none"/>
        </w:rPr>
        <w:t>科技特派员</w:t>
      </w:r>
      <w:r>
        <w:rPr>
          <w:rFonts w:hint="eastAsia" w:ascii="仿宋" w:hAnsi="仿宋" w:eastAsia="仿宋" w:cs="仿宋"/>
          <w:b w:val="0"/>
          <w:bCs/>
          <w:color w:val="auto"/>
          <w:sz w:val="32"/>
          <w:szCs w:val="32"/>
          <w:highlight w:val="none"/>
          <w:lang w:val="en-US" w:eastAsia="zh-CN"/>
        </w:rPr>
        <w:t>制度作用</w:t>
      </w:r>
      <w:r>
        <w:rPr>
          <w:rFonts w:hint="eastAsia" w:ascii="仿宋" w:hAnsi="仿宋" w:eastAsia="仿宋" w:cs="仿宋"/>
          <w:b w:val="0"/>
          <w:bCs/>
          <w:color w:val="auto"/>
          <w:spacing w:val="0"/>
          <w:sz w:val="32"/>
          <w:szCs w:val="32"/>
          <w:highlight w:val="none"/>
        </w:rPr>
        <w:t>，支持专业技术人员通过承包、租赁、股份合作经营等机制，</w:t>
      </w:r>
      <w:r>
        <w:rPr>
          <w:rFonts w:hint="eastAsia" w:ascii="仿宋" w:hAnsi="仿宋" w:eastAsia="仿宋" w:cs="仿宋"/>
          <w:b w:val="0"/>
          <w:bCs/>
          <w:color w:val="auto"/>
          <w:sz w:val="32"/>
          <w:szCs w:val="32"/>
          <w:highlight w:val="none"/>
        </w:rPr>
        <w:t>为</w:t>
      </w:r>
      <w:r>
        <w:rPr>
          <w:rFonts w:hint="eastAsia" w:ascii="仿宋" w:hAnsi="仿宋" w:eastAsia="仿宋" w:cs="仿宋"/>
          <w:b w:val="0"/>
          <w:bCs/>
          <w:color w:val="auto"/>
          <w:sz w:val="32"/>
          <w:szCs w:val="32"/>
        </w:rPr>
        <w:t>中药材</w:t>
      </w:r>
      <w:r>
        <w:rPr>
          <w:rFonts w:hint="eastAsia" w:ascii="仿宋" w:hAnsi="仿宋" w:eastAsia="仿宋" w:cs="仿宋"/>
          <w:b w:val="0"/>
          <w:bCs/>
          <w:color w:val="auto"/>
          <w:sz w:val="32"/>
          <w:szCs w:val="32"/>
          <w:highlight w:val="none"/>
        </w:rPr>
        <w:t>生产经营主体提供</w:t>
      </w:r>
      <w:r>
        <w:rPr>
          <w:rFonts w:hint="eastAsia" w:ascii="仿宋" w:hAnsi="仿宋" w:eastAsia="仿宋" w:cs="仿宋"/>
          <w:b w:val="0"/>
          <w:bCs/>
          <w:color w:val="auto"/>
          <w:sz w:val="32"/>
          <w:szCs w:val="32"/>
          <w:highlight w:val="none"/>
          <w:lang w:val="en-US" w:eastAsia="zh-CN"/>
        </w:rPr>
        <w:t>科技</w:t>
      </w:r>
      <w:r>
        <w:rPr>
          <w:rFonts w:hint="eastAsia" w:ascii="仿宋" w:hAnsi="仿宋" w:eastAsia="仿宋" w:cs="仿宋"/>
          <w:b w:val="0"/>
          <w:bCs/>
          <w:color w:val="auto"/>
          <w:sz w:val="32"/>
          <w:szCs w:val="32"/>
          <w:highlight w:val="none"/>
        </w:rPr>
        <w:t>服务。</w:t>
      </w:r>
      <w:r>
        <w:rPr>
          <w:rFonts w:hint="eastAsia" w:ascii="仿宋" w:hAnsi="仿宋" w:eastAsia="仿宋" w:cs="仿宋"/>
          <w:b w:val="0"/>
          <w:bCs/>
          <w:color w:val="auto"/>
          <w:spacing w:val="0"/>
          <w:sz w:val="32"/>
          <w:szCs w:val="32"/>
          <w:highlight w:val="none"/>
        </w:rPr>
        <w:t>运用市场机制培育科技服务企业，完善政府购买服务机制，探索技术推广多元化、科技支撑社会化运行，开辟技术服务</w:t>
      </w:r>
      <w:r>
        <w:rPr>
          <w:rFonts w:hint="eastAsia" w:ascii="仿宋" w:hAnsi="仿宋" w:eastAsia="仿宋" w:cs="仿宋"/>
          <w:b w:val="0"/>
          <w:bCs/>
          <w:color w:val="auto"/>
          <w:sz w:val="32"/>
          <w:szCs w:val="32"/>
        </w:rPr>
        <w:t>融入经营过程的途径，构建科技服务的长效机制。</w:t>
      </w:r>
    </w:p>
    <w:p>
      <w:pPr>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（五）加强监督考核评估。</w:t>
      </w:r>
      <w:r>
        <w:rPr>
          <w:rFonts w:hint="eastAsia" w:ascii="仿宋" w:hAnsi="仿宋" w:eastAsia="仿宋" w:cs="仿宋"/>
          <w:color w:val="auto"/>
          <w:sz w:val="32"/>
          <w:szCs w:val="32"/>
          <w:lang w:val="en-US" w:eastAsia="zh-CN"/>
        </w:rPr>
        <w:t>各级政府和部门要建立中药材产业发展监测评价与考核管理制度，定期开展督导评估考核，客观评价中药材产业发展规模与进度、质量与水平、产出与效益，作为政府各部门和各级政府年度综合考核内容之一。要不断完善考核指标体系，强化考核结果运用。</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（六）加强宣传推介引导。</w:t>
      </w:r>
      <w:r>
        <w:rPr>
          <w:rFonts w:hint="eastAsia" w:ascii="仿宋" w:hAnsi="仿宋" w:eastAsia="仿宋" w:cs="仿宋"/>
          <w:b w:val="0"/>
          <w:bCs w:val="0"/>
          <w:color w:val="auto"/>
          <w:sz w:val="32"/>
          <w:szCs w:val="32"/>
          <w:lang w:val="en-US" w:eastAsia="zh-CN"/>
        </w:rPr>
        <w:t>总结各地中药材产业发展的好经验、好做法，注重典型带动，推广先进经验。</w:t>
      </w:r>
      <w:r>
        <w:rPr>
          <w:rFonts w:hint="eastAsia" w:ascii="仿宋" w:hAnsi="仿宋" w:eastAsia="仿宋" w:cs="仿宋"/>
          <w:color w:val="auto"/>
          <w:sz w:val="32"/>
          <w:szCs w:val="32"/>
          <w:lang w:val="en-US" w:eastAsia="zh-CN"/>
        </w:rPr>
        <w:t>充分利用报刊、广播、电视、互联网等媒体，全方位、多角度、立体化地宣传中药材产业发展成就。通过博览会、交易会、推介会等多种形式，开展宁产优质道地中药材推介，扩大宁夏中药材品牌影响力，提升市场认可度。</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p>
    <w:p>
      <w:pPr>
        <w:pStyle w:val="4"/>
        <w:pageBreakBefore w:val="0"/>
        <w:widowControl w:val="0"/>
        <w:kinsoku/>
        <w:wordWrap/>
        <w:overflowPunct/>
        <w:topLinePunct w:val="0"/>
        <w:autoSpaceDE/>
        <w:autoSpaceDN/>
        <w:bidi w:val="0"/>
        <w:adjustRightInd/>
        <w:snapToGrid/>
        <w:spacing w:before="120" w:after="120" w:line="360" w:lineRule="auto"/>
        <w:ind w:firstLine="643" w:firstLineChars="200"/>
        <w:jc w:val="both"/>
        <w:textAlignment w:val="auto"/>
        <w:rPr>
          <w:rFonts w:hint="eastAsia" w:ascii="仿宋" w:hAnsi="仿宋" w:eastAsia="仿宋" w:cs="仿宋"/>
          <w:color w:val="auto"/>
          <w:sz w:val="32"/>
          <w:szCs w:val="32"/>
        </w:rPr>
      </w:pPr>
      <w:bookmarkStart w:id="13" w:name="_Toc57029021"/>
    </w:p>
    <w:p>
      <w:pPr>
        <w:pStyle w:val="4"/>
        <w:pageBreakBefore w:val="0"/>
        <w:widowControl w:val="0"/>
        <w:kinsoku/>
        <w:wordWrap/>
        <w:overflowPunct/>
        <w:topLinePunct w:val="0"/>
        <w:autoSpaceDE/>
        <w:autoSpaceDN/>
        <w:bidi w:val="0"/>
        <w:adjustRightInd/>
        <w:snapToGrid/>
        <w:spacing w:before="120" w:after="120" w:line="360" w:lineRule="auto"/>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附表</w:t>
      </w:r>
      <w:bookmarkEnd w:id="13"/>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1.宁夏中药材产区主要生态特征指标</w:t>
      </w:r>
    </w:p>
    <w:p>
      <w:pPr>
        <w:pStyle w:val="19"/>
        <w:spacing w:before="120" w:beforeLines="0" w:after="120" w:afterLines="0" w:line="480" w:lineRule="exact"/>
        <w:ind w:firstLine="1600" w:firstLineChars="500"/>
        <w:jc w:val="left"/>
        <w:rPr>
          <w:rFonts w:hint="eastAsia" w:ascii="仿宋" w:hAnsi="仿宋" w:eastAsia="仿宋" w:cs="仿宋"/>
          <w:color w:val="auto"/>
          <w:sz w:val="32"/>
          <w:szCs w:val="32"/>
        </w:rPr>
      </w:pPr>
      <w:r>
        <w:rPr>
          <w:rFonts w:hint="eastAsia" w:ascii="仿宋" w:hAnsi="仿宋" w:eastAsia="仿宋" w:cs="仿宋"/>
          <w:color w:val="auto"/>
          <w:sz w:val="32"/>
          <w:szCs w:val="32"/>
        </w:rPr>
        <w:t>2.宁夏重点</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药材种植品种发展规模</w:t>
      </w:r>
    </w:p>
    <w:p>
      <w:pPr>
        <w:spacing w:line="440" w:lineRule="exact"/>
        <w:ind w:firstLine="480" w:firstLineChars="200"/>
        <w:rPr>
          <w:rFonts w:ascii="仿宋" w:hAnsi="仿宋" w:eastAsia="仿宋" w:cs="仿宋"/>
          <w:color w:val="auto"/>
          <w:sz w:val="24"/>
          <w:szCs w:val="24"/>
        </w:rPr>
        <w:sectPr>
          <w:footerReference r:id="rId3" w:type="default"/>
          <w:pgSz w:w="11850" w:h="16783"/>
          <w:pgMar w:top="1440" w:right="1803" w:bottom="1440" w:left="1803" w:header="720" w:footer="720" w:gutter="0"/>
          <w:cols w:space="720" w:num="1"/>
          <w:docGrid w:linePitch="1" w:charSpace="0"/>
        </w:sectPr>
      </w:pPr>
    </w:p>
    <w:p>
      <w:pPr>
        <w:pStyle w:val="5"/>
        <w:spacing w:before="120" w:after="120" w:line="480" w:lineRule="exact"/>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附表1</w:t>
      </w:r>
    </w:p>
    <w:p>
      <w:pPr>
        <w:pStyle w:val="5"/>
        <w:spacing w:before="120" w:after="120" w:line="480" w:lineRule="exact"/>
        <w:jc w:val="center"/>
        <w:rPr>
          <w:rFonts w:hint="eastAsia" w:ascii="方正小标宋简体" w:hAnsi="方正小标宋简体" w:eastAsia="方正小标宋简体" w:cs="方正小标宋简体"/>
          <w:b w:val="0"/>
          <w:bCs w:val="0"/>
          <w:sz w:val="32"/>
          <w:szCs w:val="32"/>
        </w:rPr>
      </w:pPr>
    </w:p>
    <w:p>
      <w:pPr>
        <w:pStyle w:val="5"/>
        <w:spacing w:before="120" w:after="120" w:line="48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宁夏中药材产区主要生态特征指标</w:t>
      </w:r>
    </w:p>
    <w:tbl>
      <w:tblPr>
        <w:tblStyle w:val="13"/>
        <w:tblpPr w:leftFromText="180" w:rightFromText="180" w:vertAnchor="text" w:horzAnchor="page" w:tblpX="1919" w:tblpY="2005"/>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84"/>
        <w:gridCol w:w="2264"/>
        <w:gridCol w:w="2227"/>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0"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sz w:val="28"/>
                <w:szCs w:val="28"/>
              </w:rPr>
            </w:pPr>
            <w:r>
              <w:rPr>
                <w:rFonts w:hint="eastAsia" w:ascii="仿宋" w:hAnsi="仿宋" w:eastAsia="仿宋" w:cs="仿宋"/>
                <w:b/>
                <w:sz w:val="28"/>
                <w:szCs w:val="28"/>
              </w:rPr>
              <w:t>项目</w:t>
            </w:r>
          </w:p>
        </w:tc>
        <w:tc>
          <w:tcPr>
            <w:tcW w:w="2264" w:type="dxa"/>
            <w:shd w:val="clear" w:color="000000" w:fill="FFFFFF"/>
            <w:tcMar>
              <w:left w:w="108" w:type="dxa"/>
              <w:right w:w="108" w:type="dxa"/>
            </w:tcMar>
            <w:vAlign w:val="center"/>
          </w:tcPr>
          <w:p>
            <w:pPr>
              <w:spacing w:line="240" w:lineRule="auto"/>
              <w:jc w:val="center"/>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六盘山</w:t>
            </w:r>
          </w:p>
          <w:p>
            <w:pPr>
              <w:spacing w:line="240" w:lineRule="auto"/>
              <w:jc w:val="center"/>
              <w:rPr>
                <w:rFonts w:ascii="仿宋" w:hAnsi="仿宋" w:eastAsia="仿宋" w:cs="仿宋"/>
                <w:sz w:val="28"/>
                <w:szCs w:val="28"/>
              </w:rPr>
            </w:pPr>
            <w:r>
              <w:rPr>
                <w:rFonts w:hint="eastAsia" w:ascii="仿宋" w:hAnsi="仿宋" w:eastAsia="仿宋" w:cs="仿宋"/>
                <w:b/>
                <w:sz w:val="28"/>
                <w:szCs w:val="28"/>
                <w:shd w:val="clear" w:color="auto" w:fill="FFFFFF"/>
              </w:rPr>
              <w:t>中药材生产区</w:t>
            </w:r>
          </w:p>
        </w:tc>
        <w:tc>
          <w:tcPr>
            <w:tcW w:w="2227" w:type="dxa"/>
            <w:shd w:val="clear" w:color="000000" w:fill="FFFFFF"/>
            <w:tcMar>
              <w:left w:w="108" w:type="dxa"/>
              <w:right w:w="108" w:type="dxa"/>
            </w:tcMar>
            <w:vAlign w:val="center"/>
          </w:tcPr>
          <w:p>
            <w:pPr>
              <w:spacing w:line="240" w:lineRule="auto"/>
              <w:jc w:val="center"/>
              <w:rPr>
                <w:rFonts w:hint="default" w:ascii="仿宋" w:hAnsi="仿宋" w:eastAsia="仿宋" w:cs="仿宋"/>
                <w:b/>
                <w:sz w:val="28"/>
                <w:szCs w:val="28"/>
                <w:shd w:val="clear" w:color="auto" w:fill="FFFFFF"/>
                <w:lang w:val="en-US" w:eastAsia="zh-CN"/>
              </w:rPr>
            </w:pPr>
            <w:r>
              <w:rPr>
                <w:rFonts w:hint="eastAsia" w:ascii="仿宋" w:hAnsi="仿宋" w:eastAsia="仿宋" w:cs="仿宋"/>
                <w:b/>
                <w:sz w:val="28"/>
                <w:szCs w:val="28"/>
                <w:shd w:val="clear" w:color="auto" w:fill="FFFFFF"/>
              </w:rPr>
              <w:t>沙</w:t>
            </w:r>
            <w:r>
              <w:rPr>
                <w:rFonts w:hint="eastAsia" w:ascii="仿宋" w:hAnsi="仿宋" w:eastAsia="仿宋" w:cs="仿宋"/>
                <w:b/>
                <w:sz w:val="28"/>
                <w:szCs w:val="28"/>
                <w:shd w:val="clear" w:color="auto" w:fill="FFFFFF"/>
                <w:lang w:val="en-US" w:eastAsia="zh-CN"/>
              </w:rPr>
              <w:t>旱生</w:t>
            </w:r>
          </w:p>
          <w:p>
            <w:pPr>
              <w:spacing w:line="240" w:lineRule="auto"/>
              <w:jc w:val="center"/>
              <w:rPr>
                <w:rFonts w:ascii="仿宋" w:hAnsi="仿宋" w:eastAsia="仿宋" w:cs="仿宋"/>
                <w:sz w:val="28"/>
                <w:szCs w:val="28"/>
              </w:rPr>
            </w:pPr>
            <w:r>
              <w:rPr>
                <w:rFonts w:hint="eastAsia" w:ascii="仿宋" w:hAnsi="仿宋" w:eastAsia="仿宋" w:cs="仿宋"/>
                <w:b/>
                <w:sz w:val="28"/>
                <w:szCs w:val="28"/>
                <w:shd w:val="clear" w:color="auto" w:fill="FFFFFF"/>
              </w:rPr>
              <w:t>中药材生产区</w:t>
            </w:r>
          </w:p>
        </w:tc>
        <w:tc>
          <w:tcPr>
            <w:tcW w:w="2285" w:type="dxa"/>
            <w:shd w:val="clear" w:color="000000" w:fill="FFFFFF"/>
            <w:tcMar>
              <w:left w:w="108" w:type="dxa"/>
              <w:right w:w="108" w:type="dxa"/>
            </w:tcMar>
            <w:vAlign w:val="center"/>
          </w:tcPr>
          <w:p>
            <w:pPr>
              <w:spacing w:line="240" w:lineRule="auto"/>
              <w:jc w:val="center"/>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引黄灌区</w:t>
            </w:r>
          </w:p>
          <w:p>
            <w:pPr>
              <w:spacing w:line="240" w:lineRule="auto"/>
              <w:jc w:val="center"/>
              <w:rPr>
                <w:rFonts w:ascii="仿宋" w:hAnsi="仿宋" w:eastAsia="仿宋" w:cs="仿宋"/>
                <w:sz w:val="28"/>
                <w:szCs w:val="28"/>
              </w:rPr>
            </w:pPr>
            <w:r>
              <w:rPr>
                <w:rFonts w:hint="eastAsia" w:ascii="仿宋" w:hAnsi="仿宋" w:eastAsia="仿宋" w:cs="仿宋"/>
                <w:b/>
                <w:sz w:val="28"/>
                <w:szCs w:val="28"/>
                <w:shd w:val="clear" w:color="auto" w:fill="FFFFFF"/>
              </w:rPr>
              <w:t>中药材生产区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b/>
                <w:sz w:val="24"/>
                <w:szCs w:val="24"/>
              </w:rPr>
              <w:t>主要地域</w:t>
            </w:r>
          </w:p>
        </w:tc>
        <w:tc>
          <w:tcPr>
            <w:tcW w:w="2264" w:type="dxa"/>
            <w:shd w:val="clear" w:color="000000" w:fill="FFFFFF"/>
            <w:tcMar>
              <w:left w:w="108" w:type="dxa"/>
              <w:right w:w="108" w:type="dxa"/>
            </w:tcMar>
            <w:vAlign w:val="center"/>
          </w:tcPr>
          <w:p>
            <w:pPr>
              <w:spacing w:line="240" w:lineRule="auto"/>
              <w:rPr>
                <w:rFonts w:ascii="仿宋" w:hAnsi="仿宋" w:eastAsia="仿宋" w:cs="仿宋"/>
                <w:sz w:val="24"/>
                <w:szCs w:val="24"/>
              </w:rPr>
            </w:pPr>
            <w:r>
              <w:rPr>
                <w:rFonts w:hint="eastAsia" w:ascii="仿宋" w:hAnsi="仿宋" w:eastAsia="仿宋" w:cs="仿宋"/>
                <w:sz w:val="24"/>
                <w:szCs w:val="24"/>
              </w:rPr>
              <w:t>隆德县、彭阳县、泾源县、西吉县、原州区</w:t>
            </w:r>
          </w:p>
        </w:tc>
        <w:tc>
          <w:tcPr>
            <w:tcW w:w="2227" w:type="dxa"/>
            <w:shd w:val="clear" w:color="000000" w:fill="FFFFFF"/>
            <w:tcMar>
              <w:left w:w="108" w:type="dxa"/>
              <w:right w:w="108" w:type="dxa"/>
            </w:tcMar>
            <w:vAlign w:val="center"/>
          </w:tcPr>
          <w:p>
            <w:pPr>
              <w:spacing w:line="240" w:lineRule="auto"/>
              <w:rPr>
                <w:rFonts w:ascii="仿宋" w:hAnsi="仿宋" w:eastAsia="仿宋" w:cs="仿宋"/>
                <w:sz w:val="24"/>
                <w:szCs w:val="24"/>
              </w:rPr>
            </w:pPr>
            <w:r>
              <w:rPr>
                <w:rFonts w:hint="eastAsia" w:ascii="仿宋" w:hAnsi="仿宋" w:eastAsia="仿宋" w:cs="仿宋"/>
                <w:sz w:val="24"/>
                <w:szCs w:val="24"/>
              </w:rPr>
              <w:t>盐池县、灵武市、红寺堡区、同心县、海原县</w:t>
            </w:r>
          </w:p>
        </w:tc>
        <w:tc>
          <w:tcPr>
            <w:tcW w:w="2285" w:type="dxa"/>
            <w:shd w:val="clear" w:color="000000" w:fill="FFFFFF"/>
            <w:tcMar>
              <w:left w:w="108" w:type="dxa"/>
              <w:right w:w="108" w:type="dxa"/>
            </w:tcMar>
            <w:vAlign w:val="center"/>
          </w:tcPr>
          <w:p>
            <w:pPr>
              <w:spacing w:line="240" w:lineRule="auto"/>
              <w:rPr>
                <w:rFonts w:ascii="仿宋" w:hAnsi="仿宋" w:eastAsia="仿宋" w:cs="仿宋"/>
                <w:sz w:val="24"/>
                <w:szCs w:val="24"/>
              </w:rPr>
            </w:pPr>
            <w:r>
              <w:rPr>
                <w:rFonts w:hint="eastAsia" w:ascii="仿宋" w:hAnsi="仿宋" w:eastAsia="仿宋" w:cs="仿宋"/>
                <w:sz w:val="24"/>
                <w:szCs w:val="24"/>
              </w:rPr>
              <w:t>惠农区、平罗县、贺兰县、永宁县、利通区、中宁县、沙坡头区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b/>
                <w:sz w:val="24"/>
                <w:szCs w:val="24"/>
              </w:rPr>
              <w:t>地貌</w:t>
            </w:r>
          </w:p>
        </w:tc>
        <w:tc>
          <w:tcPr>
            <w:tcW w:w="226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黄土丘陵沟壑区</w:t>
            </w:r>
          </w:p>
        </w:tc>
        <w:tc>
          <w:tcPr>
            <w:tcW w:w="2227" w:type="dxa"/>
            <w:shd w:val="clear" w:color="000000" w:fill="FFFFFF"/>
            <w:tcMar>
              <w:left w:w="108" w:type="dxa"/>
              <w:right w:w="108" w:type="dxa"/>
            </w:tcMar>
            <w:vAlign w:val="center"/>
          </w:tcPr>
          <w:p>
            <w:pPr>
              <w:spacing w:line="240" w:lineRule="auto"/>
              <w:jc w:val="center"/>
              <w:rPr>
                <w:rFonts w:ascii="仿宋" w:hAnsi="仿宋" w:eastAsia="仿宋" w:cs="仿宋"/>
                <w:color w:val="000000"/>
                <w:sz w:val="24"/>
                <w:szCs w:val="24"/>
              </w:rPr>
            </w:pPr>
            <w:r>
              <w:rPr>
                <w:rFonts w:ascii="仿宋" w:hAnsi="仿宋" w:eastAsia="仿宋" w:cs="仿宋"/>
                <w:color w:val="000000"/>
                <w:sz w:val="24"/>
                <w:szCs w:val="24"/>
              </w:rPr>
              <w:t>中温带干旱气候区</w:t>
            </w:r>
          </w:p>
        </w:tc>
        <w:tc>
          <w:tcPr>
            <w:tcW w:w="2285"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黄河冲积平原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b/>
                <w:sz w:val="24"/>
                <w:szCs w:val="24"/>
              </w:rPr>
              <w:t>气候带</w:t>
            </w:r>
          </w:p>
        </w:tc>
        <w:tc>
          <w:tcPr>
            <w:tcW w:w="226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温暖带半湿润区</w:t>
            </w:r>
          </w:p>
        </w:tc>
        <w:tc>
          <w:tcPr>
            <w:tcW w:w="2227"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大陆气候</w:t>
            </w:r>
          </w:p>
        </w:tc>
        <w:tc>
          <w:tcPr>
            <w:tcW w:w="2285"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中温带干旱区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b/>
                <w:sz w:val="24"/>
                <w:szCs w:val="24"/>
              </w:rPr>
            </w:pPr>
            <w:r>
              <w:rPr>
                <w:rFonts w:hint="eastAsia" w:ascii="仿宋" w:hAnsi="仿宋" w:eastAsia="仿宋" w:cs="仿宋"/>
                <w:b/>
                <w:sz w:val="24"/>
                <w:szCs w:val="24"/>
              </w:rPr>
              <w:t>年均温</w:t>
            </w:r>
          </w:p>
          <w:p>
            <w:pPr>
              <w:spacing w:line="240" w:lineRule="auto"/>
              <w:jc w:val="center"/>
              <w:rPr>
                <w:rFonts w:ascii="仿宋" w:hAnsi="仿宋" w:eastAsia="仿宋" w:cs="仿宋"/>
                <w:b/>
                <w:sz w:val="24"/>
                <w:szCs w:val="24"/>
              </w:rPr>
            </w:pPr>
            <w:r>
              <w:rPr>
                <w:rFonts w:hint="eastAsia" w:ascii="仿宋" w:hAnsi="仿宋" w:eastAsia="仿宋" w:cs="仿宋"/>
                <w:b/>
                <w:sz w:val="24"/>
                <w:szCs w:val="24"/>
              </w:rPr>
              <w:t>（℃）</w:t>
            </w:r>
          </w:p>
        </w:tc>
        <w:tc>
          <w:tcPr>
            <w:tcW w:w="2264" w:type="dxa"/>
            <w:shd w:val="clear" w:color="000000" w:fill="FFFFFF"/>
            <w:tcMar>
              <w:left w:w="108" w:type="dxa"/>
              <w:right w:w="108" w:type="dxa"/>
            </w:tcMar>
            <w:vAlign w:val="center"/>
          </w:tcPr>
          <w:p>
            <w:pPr>
              <w:spacing w:line="24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2227"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8.7</w:t>
            </w:r>
          </w:p>
        </w:tc>
        <w:tc>
          <w:tcPr>
            <w:tcW w:w="2285"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b/>
                <w:sz w:val="24"/>
                <w:szCs w:val="24"/>
              </w:rPr>
            </w:pPr>
            <w:r>
              <w:rPr>
                <w:rFonts w:hint="eastAsia" w:ascii="仿宋" w:hAnsi="仿宋" w:eastAsia="仿宋" w:cs="仿宋"/>
                <w:b/>
                <w:sz w:val="24"/>
                <w:szCs w:val="24"/>
              </w:rPr>
              <w:t>≧10℃年积温（℃）</w:t>
            </w:r>
          </w:p>
        </w:tc>
        <w:tc>
          <w:tcPr>
            <w:tcW w:w="226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1846.6</w:t>
            </w:r>
          </w:p>
        </w:tc>
        <w:tc>
          <w:tcPr>
            <w:tcW w:w="2227"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3200</w:t>
            </w:r>
          </w:p>
        </w:tc>
        <w:tc>
          <w:tcPr>
            <w:tcW w:w="2285"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3200-3400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b/>
                <w:sz w:val="24"/>
                <w:szCs w:val="24"/>
              </w:rPr>
              <w:t>无霜期（天）</w:t>
            </w:r>
          </w:p>
        </w:tc>
        <w:tc>
          <w:tcPr>
            <w:tcW w:w="226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90-130</w:t>
            </w:r>
          </w:p>
        </w:tc>
        <w:tc>
          <w:tcPr>
            <w:tcW w:w="2227"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p>
        </w:tc>
        <w:tc>
          <w:tcPr>
            <w:tcW w:w="2285"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b/>
                <w:sz w:val="24"/>
                <w:szCs w:val="24"/>
              </w:rPr>
            </w:pPr>
            <w:r>
              <w:rPr>
                <w:rFonts w:hint="eastAsia" w:ascii="仿宋" w:hAnsi="仿宋" w:eastAsia="仿宋" w:cs="仿宋"/>
                <w:b/>
                <w:sz w:val="24"/>
                <w:szCs w:val="24"/>
              </w:rPr>
              <w:t>年照时数</w:t>
            </w:r>
          </w:p>
          <w:p>
            <w:pPr>
              <w:spacing w:line="240" w:lineRule="auto"/>
              <w:jc w:val="center"/>
              <w:rPr>
                <w:rFonts w:ascii="仿宋" w:hAnsi="仿宋" w:eastAsia="仿宋" w:cs="仿宋"/>
                <w:sz w:val="24"/>
                <w:szCs w:val="24"/>
              </w:rPr>
            </w:pPr>
            <w:r>
              <w:rPr>
                <w:rFonts w:hint="eastAsia" w:ascii="仿宋" w:hAnsi="仿宋" w:eastAsia="仿宋" w:cs="仿宋"/>
                <w:b/>
                <w:sz w:val="24"/>
                <w:szCs w:val="24"/>
              </w:rPr>
              <w:t>（小时）</w:t>
            </w:r>
          </w:p>
        </w:tc>
        <w:tc>
          <w:tcPr>
            <w:tcW w:w="226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2100-2400</w:t>
            </w:r>
          </w:p>
        </w:tc>
        <w:tc>
          <w:tcPr>
            <w:tcW w:w="2227"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2750-3000</w:t>
            </w:r>
          </w:p>
        </w:tc>
        <w:tc>
          <w:tcPr>
            <w:tcW w:w="2285"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2800-3000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b/>
                <w:sz w:val="24"/>
                <w:szCs w:val="24"/>
              </w:rPr>
            </w:pPr>
            <w:r>
              <w:rPr>
                <w:rFonts w:hint="eastAsia" w:ascii="仿宋" w:hAnsi="仿宋" w:eastAsia="仿宋" w:cs="仿宋"/>
                <w:b/>
                <w:sz w:val="24"/>
                <w:szCs w:val="24"/>
              </w:rPr>
              <w:t>平均降雨量</w:t>
            </w:r>
          </w:p>
          <w:p>
            <w:pPr>
              <w:spacing w:line="240" w:lineRule="auto"/>
              <w:jc w:val="center"/>
              <w:rPr>
                <w:rFonts w:ascii="仿宋" w:hAnsi="仿宋" w:eastAsia="仿宋" w:cs="仿宋"/>
                <w:b/>
                <w:sz w:val="24"/>
                <w:szCs w:val="24"/>
              </w:rPr>
            </w:pPr>
            <w:r>
              <w:rPr>
                <w:rFonts w:hint="eastAsia" w:ascii="仿宋" w:hAnsi="仿宋" w:eastAsia="仿宋" w:cs="仿宋"/>
                <w:b/>
                <w:sz w:val="24"/>
                <w:szCs w:val="24"/>
              </w:rPr>
              <w:t>（mm）</w:t>
            </w:r>
          </w:p>
        </w:tc>
        <w:tc>
          <w:tcPr>
            <w:tcW w:w="2264"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290-630</w:t>
            </w:r>
          </w:p>
        </w:tc>
        <w:tc>
          <w:tcPr>
            <w:tcW w:w="2227"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200-400</w:t>
            </w:r>
          </w:p>
        </w:tc>
        <w:tc>
          <w:tcPr>
            <w:tcW w:w="2285" w:type="dxa"/>
            <w:shd w:val="clear" w:color="000000" w:fill="FFFFFF"/>
            <w:tcMar>
              <w:left w:w="108" w:type="dxa"/>
              <w:right w:w="108" w:type="dxa"/>
            </w:tcMar>
            <w:vAlign w:val="center"/>
          </w:tcPr>
          <w:p>
            <w:pPr>
              <w:spacing w:line="240" w:lineRule="auto"/>
              <w:jc w:val="center"/>
              <w:rPr>
                <w:rFonts w:ascii="仿宋" w:hAnsi="仿宋" w:eastAsia="仿宋" w:cs="仿宋"/>
                <w:sz w:val="24"/>
                <w:szCs w:val="24"/>
              </w:rPr>
            </w:pPr>
            <w:r>
              <w:rPr>
                <w:rFonts w:hint="eastAsia" w:ascii="仿宋" w:hAnsi="仿宋" w:eastAsia="仿宋" w:cs="仿宋"/>
                <w:sz w:val="24"/>
                <w:szCs w:val="24"/>
              </w:rPr>
              <w:t>180-200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1684" w:type="dxa"/>
            <w:shd w:val="clear" w:color="000000" w:fill="FFFFFF"/>
            <w:tcMar>
              <w:left w:w="108" w:type="dxa"/>
              <w:right w:w="108" w:type="dxa"/>
            </w:tcMar>
            <w:vAlign w:val="center"/>
          </w:tcPr>
          <w:p>
            <w:pPr>
              <w:spacing w:line="240" w:lineRule="auto"/>
              <w:jc w:val="center"/>
              <w:rPr>
                <w:rFonts w:ascii="仿宋" w:hAnsi="仿宋" w:eastAsia="仿宋" w:cs="仿宋"/>
                <w:b/>
                <w:sz w:val="24"/>
                <w:szCs w:val="24"/>
              </w:rPr>
            </w:pPr>
            <w:r>
              <w:rPr>
                <w:rFonts w:hint="eastAsia" w:ascii="仿宋" w:hAnsi="仿宋" w:eastAsia="仿宋" w:cs="仿宋"/>
                <w:b/>
                <w:sz w:val="24"/>
                <w:szCs w:val="24"/>
              </w:rPr>
              <w:t>主要适宜</w:t>
            </w:r>
          </w:p>
          <w:p>
            <w:pPr>
              <w:spacing w:line="240" w:lineRule="auto"/>
              <w:jc w:val="center"/>
              <w:rPr>
                <w:rFonts w:ascii="仿宋" w:hAnsi="仿宋" w:eastAsia="仿宋" w:cs="仿宋"/>
                <w:sz w:val="24"/>
                <w:szCs w:val="24"/>
              </w:rPr>
            </w:pPr>
            <w:r>
              <w:rPr>
                <w:rFonts w:hint="eastAsia" w:ascii="仿宋" w:hAnsi="仿宋" w:eastAsia="仿宋" w:cs="仿宋"/>
                <w:b/>
                <w:sz w:val="24"/>
                <w:szCs w:val="24"/>
              </w:rPr>
              <w:t>品种</w:t>
            </w:r>
          </w:p>
        </w:tc>
        <w:tc>
          <w:tcPr>
            <w:tcW w:w="2264" w:type="dxa"/>
            <w:shd w:val="clear" w:color="000000" w:fill="FFFFFF"/>
            <w:tcMar>
              <w:left w:w="108" w:type="dxa"/>
              <w:right w:w="108" w:type="dxa"/>
            </w:tcMar>
            <w:vAlign w:val="center"/>
          </w:tcPr>
          <w:p>
            <w:pPr>
              <w:spacing w:line="240" w:lineRule="auto"/>
              <w:rPr>
                <w:rFonts w:ascii="仿宋" w:hAnsi="仿宋" w:eastAsia="仿宋" w:cs="仿宋"/>
                <w:color w:val="000000"/>
                <w:sz w:val="24"/>
                <w:szCs w:val="24"/>
              </w:rPr>
            </w:pPr>
            <w:r>
              <w:rPr>
                <w:rFonts w:hint="eastAsia" w:ascii="仿宋" w:hAnsi="仿宋" w:eastAsia="仿宋" w:cs="仿宋"/>
                <w:color w:val="000000"/>
                <w:sz w:val="24"/>
                <w:szCs w:val="24"/>
              </w:rPr>
              <w:t>黄芪、党参、板蓝根、柴胡、秦艽、</w:t>
            </w:r>
            <w:r>
              <w:rPr>
                <w:rFonts w:hint="eastAsia" w:ascii="仿宋" w:hAnsi="仿宋" w:eastAsia="仿宋" w:cs="仿宋"/>
                <w:color w:val="000000"/>
                <w:sz w:val="24"/>
                <w:szCs w:val="24"/>
                <w:lang w:val="en-US" w:eastAsia="zh-CN"/>
              </w:rPr>
              <w:t>黄芩</w:t>
            </w:r>
            <w:r>
              <w:rPr>
                <w:rFonts w:hint="eastAsia" w:ascii="仿宋" w:hAnsi="仿宋" w:eastAsia="仿宋" w:cs="仿宋"/>
                <w:color w:val="000000"/>
                <w:sz w:val="24"/>
                <w:szCs w:val="24"/>
              </w:rPr>
              <w:t>、大黄、山杏、山桃、芍药、红花等。</w:t>
            </w:r>
          </w:p>
        </w:tc>
        <w:tc>
          <w:tcPr>
            <w:tcW w:w="2227" w:type="dxa"/>
            <w:shd w:val="clear" w:color="000000" w:fill="FFFFFF"/>
            <w:tcMar>
              <w:left w:w="108" w:type="dxa"/>
              <w:right w:w="108" w:type="dxa"/>
            </w:tcMar>
            <w:vAlign w:val="center"/>
          </w:tcPr>
          <w:p>
            <w:pPr>
              <w:spacing w:line="240" w:lineRule="auto"/>
              <w:rPr>
                <w:rFonts w:ascii="仿宋" w:hAnsi="仿宋" w:eastAsia="仿宋" w:cs="仿宋"/>
                <w:sz w:val="24"/>
                <w:szCs w:val="24"/>
              </w:rPr>
            </w:pPr>
            <w:r>
              <w:rPr>
                <w:rFonts w:hint="eastAsia" w:ascii="仿宋" w:hAnsi="仿宋" w:eastAsia="仿宋" w:cs="仿宋"/>
                <w:sz w:val="24"/>
                <w:szCs w:val="24"/>
              </w:rPr>
              <w:t>甘草、麻黄、银柴胡、黄芪、红花、枸杞、小茴香、射干等。</w:t>
            </w:r>
          </w:p>
        </w:tc>
        <w:tc>
          <w:tcPr>
            <w:tcW w:w="2285" w:type="dxa"/>
            <w:shd w:val="clear" w:color="000000" w:fill="FFFFFF"/>
            <w:tcMar>
              <w:left w:w="108" w:type="dxa"/>
              <w:right w:w="108" w:type="dxa"/>
            </w:tcMar>
            <w:vAlign w:val="center"/>
          </w:tcPr>
          <w:p>
            <w:pPr>
              <w:spacing w:line="240" w:lineRule="auto"/>
              <w:rPr>
                <w:rFonts w:ascii="仿宋" w:hAnsi="仿宋" w:eastAsia="仿宋" w:cs="仿宋"/>
                <w:sz w:val="24"/>
                <w:szCs w:val="24"/>
              </w:rPr>
            </w:pPr>
            <w:r>
              <w:rPr>
                <w:rFonts w:hint="eastAsia" w:ascii="仿宋" w:hAnsi="仿宋" w:eastAsia="仿宋" w:cs="仿宋"/>
                <w:sz w:val="24"/>
                <w:szCs w:val="24"/>
              </w:rPr>
              <w:t>枸杞、菟丝子、红花等。</w:t>
            </w:r>
          </w:p>
        </w:tc>
      </w:tr>
    </w:tbl>
    <w:p>
      <w:pPr>
        <w:spacing w:before="120" w:after="120" w:line="480" w:lineRule="exact"/>
        <w:ind w:firstLine="560" w:firstLineChars="200"/>
        <w:rPr>
          <w:sz w:val="20"/>
          <w:szCs w:val="22"/>
        </w:rPr>
      </w:pPr>
      <w:r>
        <w:rPr>
          <w:rFonts w:hint="eastAsia" w:ascii="仿宋" w:hAnsi="仿宋" w:eastAsia="仿宋" w:cs="仿宋"/>
          <w:sz w:val="28"/>
          <w:szCs w:val="28"/>
        </w:rPr>
        <w:t>按照宁夏</w:t>
      </w:r>
      <w:r>
        <w:rPr>
          <w:rFonts w:hint="eastAsia" w:ascii="仿宋" w:hAnsi="仿宋" w:eastAsia="仿宋" w:cs="仿宋"/>
          <w:sz w:val="28"/>
          <w:szCs w:val="28"/>
          <w:lang w:eastAsia="zh-CN"/>
        </w:rPr>
        <w:t>中</w:t>
      </w:r>
      <w:r>
        <w:rPr>
          <w:rFonts w:hint="eastAsia" w:ascii="仿宋" w:hAnsi="仿宋" w:eastAsia="仿宋" w:cs="仿宋"/>
          <w:sz w:val="28"/>
          <w:szCs w:val="28"/>
        </w:rPr>
        <w:t>药材产地适应性原则，同时考虑地貌、气候及水文等因素将宁夏</w:t>
      </w:r>
      <w:r>
        <w:rPr>
          <w:rFonts w:hint="eastAsia" w:ascii="仿宋" w:hAnsi="仿宋" w:eastAsia="仿宋" w:cs="仿宋"/>
          <w:sz w:val="28"/>
          <w:szCs w:val="28"/>
          <w:lang w:eastAsia="zh-CN"/>
        </w:rPr>
        <w:t>中</w:t>
      </w:r>
      <w:r>
        <w:rPr>
          <w:rFonts w:hint="eastAsia" w:ascii="仿宋" w:hAnsi="仿宋" w:eastAsia="仿宋" w:cs="仿宋"/>
          <w:sz w:val="28"/>
          <w:szCs w:val="28"/>
        </w:rPr>
        <w:t>药材产区划分为三个大区：六盘山中药材生产区、沙</w:t>
      </w:r>
      <w:r>
        <w:rPr>
          <w:rFonts w:hint="eastAsia" w:ascii="仿宋" w:hAnsi="仿宋" w:eastAsia="仿宋" w:cs="仿宋"/>
          <w:sz w:val="28"/>
          <w:szCs w:val="28"/>
          <w:lang w:val="en-US" w:eastAsia="zh-CN"/>
        </w:rPr>
        <w:t>旱生</w:t>
      </w:r>
      <w:r>
        <w:rPr>
          <w:rFonts w:hint="eastAsia" w:ascii="仿宋" w:hAnsi="仿宋" w:eastAsia="仿宋" w:cs="仿宋"/>
          <w:sz w:val="28"/>
          <w:szCs w:val="28"/>
        </w:rPr>
        <w:t>中药材生产区和引黄灌区中药材生产区。</w:t>
      </w:r>
    </w:p>
    <w:p>
      <w:pPr>
        <w:spacing w:before="120" w:beforeLines="50" w:after="120" w:afterLines="50" w:line="360" w:lineRule="auto"/>
        <w:rPr>
          <w:rFonts w:eastAsia="楷体"/>
          <w:sz w:val="22"/>
          <w:szCs w:val="22"/>
        </w:rPr>
        <w:sectPr>
          <w:pgSz w:w="11850" w:h="16783"/>
          <w:pgMar w:top="1440" w:right="1803" w:bottom="1440" w:left="1803" w:header="720" w:footer="720" w:gutter="0"/>
          <w:cols w:space="720" w:num="1"/>
          <w:docGrid w:linePitch="1" w:charSpace="0"/>
        </w:sectPr>
      </w:pPr>
    </w:p>
    <w:p>
      <w:pPr>
        <w:pStyle w:val="5"/>
        <w:spacing w:before="156" w:after="156" w:line="480" w:lineRule="exact"/>
        <w:jc w:val="both"/>
        <w:rPr>
          <w:rFonts w:hint="eastAsia" w:ascii="仿宋" w:hAnsi="仿宋" w:eastAsia="仿宋" w:cs="仿宋"/>
          <w:b w:val="0"/>
          <w:bCs w:val="0"/>
          <w:kern w:val="2"/>
          <w:sz w:val="32"/>
          <w:szCs w:val="32"/>
        </w:rPr>
      </w:pPr>
      <w:r>
        <w:rPr>
          <w:rFonts w:hint="eastAsia" w:ascii="仿宋" w:hAnsi="仿宋" w:eastAsia="仿宋" w:cs="仿宋"/>
          <w:b w:val="0"/>
          <w:bCs w:val="0"/>
          <w:sz w:val="32"/>
          <w:szCs w:val="32"/>
        </w:rPr>
        <w:t>附表2</w:t>
      </w:r>
    </w:p>
    <w:p>
      <w:pPr>
        <w:pStyle w:val="5"/>
        <w:spacing w:before="156" w:after="156" w:line="480" w:lineRule="exact"/>
        <w:jc w:val="center"/>
        <w:rPr>
          <w:rFonts w:hint="eastAsia" w:ascii="方正小标宋简体" w:hAnsi="方正小标宋简体" w:eastAsia="方正小标宋简体" w:cs="方正小标宋简体"/>
          <w:b w:val="0"/>
          <w:bCs w:val="0"/>
          <w:sz w:val="36"/>
          <w:szCs w:val="36"/>
        </w:rPr>
      </w:pPr>
    </w:p>
    <w:p>
      <w:pPr>
        <w:pStyle w:val="5"/>
        <w:spacing w:before="156" w:after="156" w:line="48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宁夏重点</w:t>
      </w:r>
      <w:r>
        <w:rPr>
          <w:rFonts w:hint="eastAsia" w:ascii="方正小标宋简体" w:hAnsi="方正小标宋简体" w:eastAsia="方正小标宋简体" w:cs="方正小标宋简体"/>
          <w:b w:val="0"/>
          <w:bCs w:val="0"/>
          <w:sz w:val="36"/>
          <w:szCs w:val="36"/>
          <w:lang w:eastAsia="zh-CN"/>
        </w:rPr>
        <w:t>中</w:t>
      </w:r>
      <w:r>
        <w:rPr>
          <w:rFonts w:hint="eastAsia" w:ascii="方正小标宋简体" w:hAnsi="方正小标宋简体" w:eastAsia="方正小标宋简体" w:cs="方正小标宋简体"/>
          <w:b w:val="0"/>
          <w:bCs w:val="0"/>
          <w:sz w:val="36"/>
          <w:szCs w:val="36"/>
        </w:rPr>
        <w:t>药材种植品种发展规模</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通过对宁夏回族自治区各市、县现有</w:t>
      </w:r>
      <w:r>
        <w:rPr>
          <w:rFonts w:hint="eastAsia" w:ascii="仿宋" w:hAnsi="仿宋" w:eastAsia="仿宋" w:cs="仿宋"/>
          <w:sz w:val="28"/>
          <w:szCs w:val="28"/>
          <w:lang w:eastAsia="zh-CN"/>
        </w:rPr>
        <w:t>中</w:t>
      </w:r>
      <w:r>
        <w:rPr>
          <w:rFonts w:hint="eastAsia" w:ascii="仿宋" w:hAnsi="仿宋" w:eastAsia="仿宋" w:cs="仿宋"/>
          <w:sz w:val="28"/>
          <w:szCs w:val="28"/>
        </w:rPr>
        <w:t>药材种植品种的分布、种植历史、种植面积等统计，结合宁夏道地、大宗中药材的分布区域与产地适宜性，提出全区重点发展的道地</w:t>
      </w:r>
      <w:r>
        <w:rPr>
          <w:rFonts w:hint="eastAsia" w:ascii="仿宋" w:hAnsi="仿宋" w:eastAsia="仿宋" w:cs="仿宋"/>
          <w:sz w:val="28"/>
          <w:szCs w:val="28"/>
          <w:lang w:eastAsia="zh-CN"/>
        </w:rPr>
        <w:t>中</w:t>
      </w:r>
      <w:r>
        <w:rPr>
          <w:rFonts w:hint="eastAsia" w:ascii="仿宋" w:hAnsi="仿宋" w:eastAsia="仿宋" w:cs="仿宋"/>
          <w:sz w:val="28"/>
          <w:szCs w:val="28"/>
        </w:rPr>
        <w:t>药材品种、适宜发展区域及发展规模。</w:t>
      </w:r>
    </w:p>
    <w:tbl>
      <w:tblPr>
        <w:tblStyle w:val="13"/>
        <w:tblpPr w:leftFromText="180" w:rightFromText="180" w:vertAnchor="text" w:horzAnchor="page" w:tblpX="1831" w:tblpY="40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30"/>
        <w:gridCol w:w="2045"/>
        <w:gridCol w:w="2004"/>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40" w:type="dxa"/>
            <w:shd w:val="clear" w:color="000000" w:fill="auto"/>
            <w:vAlign w:val="center"/>
          </w:tcPr>
          <w:p>
            <w:pPr>
              <w:rPr>
                <w:rFonts w:ascii="仿宋" w:hAnsi="仿宋" w:eastAsia="仿宋" w:cs="宋体"/>
                <w:b/>
                <w:bCs/>
                <w:color w:val="000000"/>
                <w:kern w:val="0"/>
                <w:sz w:val="28"/>
                <w:szCs w:val="28"/>
              </w:rPr>
            </w:pPr>
            <w:r>
              <w:rPr>
                <w:rFonts w:hint="eastAsia" w:ascii="仿宋" w:hAnsi="仿宋" w:eastAsia="仿宋" w:cs="仿宋"/>
                <w:b/>
                <w:bCs/>
                <w:sz w:val="24"/>
                <w:szCs w:val="24"/>
              </w:rPr>
              <w:t>序号</w:t>
            </w:r>
          </w:p>
        </w:tc>
        <w:tc>
          <w:tcPr>
            <w:tcW w:w="1530" w:type="dxa"/>
            <w:shd w:val="clear" w:color="000000" w:fill="auto"/>
            <w:vAlign w:val="center"/>
          </w:tcPr>
          <w:p>
            <w:pPr>
              <w:rPr>
                <w:rFonts w:ascii="仿宋" w:hAnsi="仿宋" w:eastAsia="仿宋" w:cs="宋体"/>
                <w:b/>
                <w:bCs/>
                <w:color w:val="000000"/>
                <w:kern w:val="0"/>
                <w:sz w:val="28"/>
                <w:szCs w:val="28"/>
              </w:rPr>
            </w:pPr>
            <w:r>
              <w:rPr>
                <w:rFonts w:hint="eastAsia" w:ascii="仿宋" w:hAnsi="仿宋" w:eastAsia="仿宋" w:cs="仿宋"/>
                <w:b/>
                <w:bCs/>
                <w:sz w:val="24"/>
                <w:szCs w:val="24"/>
                <w:lang w:eastAsia="zh-CN"/>
              </w:rPr>
              <w:t>中</w:t>
            </w:r>
            <w:r>
              <w:rPr>
                <w:rFonts w:hint="eastAsia" w:ascii="仿宋" w:hAnsi="仿宋" w:eastAsia="仿宋" w:cs="仿宋"/>
                <w:b/>
                <w:bCs/>
                <w:sz w:val="24"/>
                <w:szCs w:val="24"/>
              </w:rPr>
              <w:t>药材名称</w:t>
            </w:r>
          </w:p>
        </w:tc>
        <w:tc>
          <w:tcPr>
            <w:tcW w:w="2045" w:type="dxa"/>
            <w:shd w:val="clear" w:color="000000" w:fill="auto"/>
            <w:vAlign w:val="center"/>
          </w:tcPr>
          <w:p>
            <w:pPr>
              <w:spacing w:line="240" w:lineRule="auto"/>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4"/>
                <w:szCs w:val="24"/>
              </w:rPr>
              <w:t>种植区域</w:t>
            </w:r>
          </w:p>
        </w:tc>
        <w:tc>
          <w:tcPr>
            <w:tcW w:w="2004" w:type="dxa"/>
            <w:shd w:val="clear" w:color="000000" w:fill="auto"/>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20</w:t>
            </w:r>
            <w:r>
              <w:rPr>
                <w:rFonts w:hint="eastAsia" w:ascii="仿宋" w:hAnsi="仿宋" w:eastAsia="仿宋" w:cs="仿宋"/>
                <w:b/>
                <w:bCs/>
                <w:sz w:val="24"/>
                <w:szCs w:val="24"/>
                <w:lang w:val="en-US" w:eastAsia="zh-CN"/>
              </w:rPr>
              <w:t>20</w:t>
            </w:r>
            <w:r>
              <w:rPr>
                <w:rFonts w:hint="eastAsia" w:ascii="仿宋" w:hAnsi="仿宋" w:eastAsia="仿宋" w:cs="仿宋"/>
                <w:b/>
                <w:bCs/>
                <w:sz w:val="24"/>
                <w:szCs w:val="24"/>
              </w:rPr>
              <w:t>年</w:t>
            </w:r>
          </w:p>
          <w:p>
            <w:pPr>
              <w:jc w:val="center"/>
              <w:rPr>
                <w:rFonts w:ascii="仿宋" w:hAnsi="仿宋" w:eastAsia="仿宋" w:cs="宋体"/>
                <w:b/>
                <w:bCs/>
                <w:color w:val="000000"/>
                <w:kern w:val="0"/>
                <w:sz w:val="28"/>
                <w:szCs w:val="28"/>
              </w:rPr>
            </w:pPr>
            <w:r>
              <w:rPr>
                <w:rFonts w:hint="eastAsia" w:ascii="仿宋" w:hAnsi="仿宋" w:eastAsia="仿宋" w:cs="仿宋"/>
                <w:b/>
                <w:bCs/>
                <w:sz w:val="24"/>
                <w:szCs w:val="24"/>
              </w:rPr>
              <w:t>面积（亩）</w:t>
            </w:r>
          </w:p>
        </w:tc>
        <w:tc>
          <w:tcPr>
            <w:tcW w:w="2003" w:type="dxa"/>
            <w:shd w:val="clear" w:color="000000" w:fill="auto"/>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2025年</w:t>
            </w:r>
          </w:p>
          <w:p>
            <w:pPr>
              <w:jc w:val="center"/>
              <w:rPr>
                <w:rFonts w:ascii="仿宋" w:hAnsi="仿宋" w:eastAsia="仿宋" w:cs="宋体"/>
                <w:b/>
                <w:bCs/>
                <w:color w:val="000000"/>
                <w:kern w:val="0"/>
                <w:sz w:val="28"/>
                <w:szCs w:val="28"/>
              </w:rPr>
            </w:pPr>
            <w:r>
              <w:rPr>
                <w:rFonts w:hint="eastAsia" w:ascii="仿宋" w:hAnsi="仿宋" w:eastAsia="仿宋" w:cs="仿宋"/>
                <w:b/>
                <w:bCs/>
                <w:sz w:val="24"/>
                <w:szCs w:val="24"/>
              </w:rPr>
              <w:t>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left"/>
              <w:rPr>
                <w:rFonts w:ascii="仿宋" w:hAnsi="仿宋" w:eastAsia="仿宋" w:cs="宋体"/>
                <w:color w:val="000000"/>
                <w:kern w:val="0"/>
                <w:szCs w:val="21"/>
              </w:rPr>
            </w:pPr>
          </w:p>
        </w:tc>
        <w:tc>
          <w:tcPr>
            <w:tcW w:w="1530" w:type="dxa"/>
            <w:vMerge w:val="restart"/>
            <w:vAlign w:val="center"/>
          </w:tcPr>
          <w:p>
            <w:pPr>
              <w:widowControl/>
              <w:ind w:firstLine="420" w:firstLineChars="200"/>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甘草</w:t>
            </w: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盐池县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63200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81000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灵武市</w:t>
            </w: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红寺堡区</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7570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同心县</w:t>
            </w: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海原县</w:t>
            </w:r>
          </w:p>
        </w:tc>
        <w:tc>
          <w:tcPr>
            <w:tcW w:w="2004" w:type="dxa"/>
            <w:vAlign w:val="center"/>
          </w:tcPr>
          <w:p>
            <w:pPr>
              <w:widowControl/>
              <w:jc w:val="right"/>
              <w:rPr>
                <w:rFonts w:hint="default" w:ascii="仿宋" w:hAnsi="仿宋" w:eastAsia="仿宋" w:cs="宋体"/>
                <w:color w:val="000000"/>
                <w:kern w:val="0"/>
                <w:szCs w:val="21"/>
                <w:lang w:val="en-US" w:eastAsia="zh-CN"/>
              </w:rPr>
            </w:pP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70770</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黄芪</w:t>
            </w:r>
          </w:p>
        </w:tc>
        <w:tc>
          <w:tcPr>
            <w:tcW w:w="2045" w:type="dxa"/>
            <w:vAlign w:val="center"/>
          </w:tcPr>
          <w:p>
            <w:pPr>
              <w:widowControl/>
              <w:jc w:val="center"/>
              <w:rPr>
                <w:rFonts w:hint="default" w:ascii="仿宋" w:hAnsi="仿宋" w:eastAsia="仿宋" w:cs="宋体"/>
                <w:color w:val="0000FF"/>
                <w:kern w:val="0"/>
                <w:szCs w:val="21"/>
                <w:lang w:val="en-US" w:eastAsia="zh-CN"/>
              </w:rPr>
            </w:pPr>
            <w:r>
              <w:rPr>
                <w:rFonts w:hint="eastAsia" w:ascii="仿宋" w:hAnsi="仿宋" w:eastAsia="仿宋" w:cs="宋体"/>
                <w:color w:val="0000FF"/>
                <w:kern w:val="0"/>
                <w:szCs w:val="21"/>
                <w:lang w:val="en-US" w:eastAsia="zh-CN"/>
              </w:rPr>
              <w:t>原州区</w:t>
            </w:r>
          </w:p>
        </w:tc>
        <w:tc>
          <w:tcPr>
            <w:tcW w:w="2004" w:type="dxa"/>
            <w:vAlign w:val="center"/>
          </w:tcPr>
          <w:p>
            <w:pPr>
              <w:widowControl/>
              <w:jc w:val="right"/>
              <w:rPr>
                <w:rFonts w:hint="default" w:ascii="仿宋" w:hAnsi="仿宋" w:eastAsia="仿宋" w:cs="宋体"/>
                <w:color w:val="0000FF"/>
                <w:kern w:val="0"/>
                <w:szCs w:val="21"/>
                <w:lang w:val="en-US" w:eastAsia="zh-CN"/>
              </w:rPr>
            </w:pPr>
            <w:r>
              <w:rPr>
                <w:rFonts w:hint="eastAsia" w:ascii="仿宋" w:hAnsi="仿宋" w:eastAsia="仿宋" w:cs="宋体"/>
                <w:color w:val="0000FF"/>
                <w:kern w:val="0"/>
                <w:szCs w:val="21"/>
                <w:lang w:val="en-US" w:eastAsia="zh-CN"/>
              </w:rPr>
              <w:t>4800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center"/>
              <w:rPr>
                <w:rFonts w:ascii="仿宋" w:hAnsi="仿宋" w:eastAsia="仿宋" w:cs="宋体"/>
                <w:color w:val="000000"/>
                <w:kern w:val="0"/>
                <w:szCs w:val="21"/>
              </w:rPr>
            </w:pPr>
          </w:p>
        </w:tc>
        <w:tc>
          <w:tcPr>
            <w:tcW w:w="1530" w:type="dxa"/>
            <w:vMerge w:val="continue"/>
            <w:vAlign w:val="center"/>
          </w:tcPr>
          <w:p>
            <w:pPr>
              <w:widowControl/>
              <w:jc w:val="center"/>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同心县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560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盐池县</w:t>
            </w:r>
          </w:p>
        </w:tc>
        <w:tc>
          <w:tcPr>
            <w:tcW w:w="2004" w:type="dxa"/>
            <w:vAlign w:val="center"/>
          </w:tcPr>
          <w:p>
            <w:pPr>
              <w:widowControl/>
              <w:jc w:val="right"/>
              <w:rPr>
                <w:rFonts w:hint="default" w:ascii="仿宋" w:hAnsi="仿宋" w:eastAsia="仿宋" w:cs="宋体"/>
                <w:color w:val="0000FF"/>
                <w:kern w:val="0"/>
                <w:szCs w:val="21"/>
                <w:lang w:val="en-US" w:eastAsia="zh-CN"/>
              </w:rPr>
            </w:pPr>
            <w:r>
              <w:rPr>
                <w:rFonts w:hint="eastAsia" w:ascii="仿宋" w:hAnsi="仿宋" w:eastAsia="仿宋" w:cs="宋体"/>
                <w:color w:val="0000FF"/>
                <w:kern w:val="0"/>
                <w:szCs w:val="21"/>
                <w:lang w:val="en-US" w:eastAsia="zh-CN"/>
              </w:rPr>
              <w:t>3000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海原县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800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西吉县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1400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隆德县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13650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彭阳县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10000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34210</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银柴胡</w:t>
            </w:r>
          </w:p>
        </w:tc>
        <w:tc>
          <w:tcPr>
            <w:tcW w:w="2045" w:type="dxa"/>
            <w:vAlign w:val="center"/>
          </w:tcPr>
          <w:p>
            <w:pPr>
              <w:widowControl/>
              <w:jc w:val="both"/>
              <w:rPr>
                <w:rFonts w:ascii="仿宋" w:hAnsi="仿宋" w:eastAsia="仿宋" w:cs="宋体"/>
                <w:color w:val="000000"/>
                <w:kern w:val="0"/>
                <w:szCs w:val="21"/>
              </w:rPr>
            </w:pP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红寺堡区</w:t>
            </w: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同心县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19200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lang w:eastAsia="zh-CN"/>
              </w:rPr>
              <w:t>海原</w:t>
            </w:r>
            <w:r>
              <w:rPr>
                <w:rFonts w:hint="eastAsia" w:ascii="仿宋" w:hAnsi="仿宋" w:eastAsia="仿宋" w:cs="宋体"/>
                <w:color w:val="000000"/>
                <w:kern w:val="0"/>
                <w:szCs w:val="21"/>
              </w:rPr>
              <w:t>县</w:t>
            </w: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6000</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19200</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板蓝根</w:t>
            </w: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红寺堡区</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1000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同心县</w:t>
            </w: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原州区</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13165</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海原县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7200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西吉县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6000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隆德县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2200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彭阳县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8000</w:t>
            </w:r>
          </w:p>
        </w:tc>
        <w:tc>
          <w:tcPr>
            <w:tcW w:w="2003" w:type="dxa"/>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12000</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平罗县</w:t>
            </w:r>
          </w:p>
        </w:tc>
        <w:tc>
          <w:tcPr>
            <w:tcW w:w="2004" w:type="dxa"/>
            <w:vAlign w:val="center"/>
          </w:tcPr>
          <w:p>
            <w:pPr>
              <w:widowControl/>
              <w:jc w:val="right"/>
              <w:rPr>
                <w:rFonts w:hint="eastAsia" w:ascii="仿宋" w:hAnsi="仿宋" w:eastAsia="仿宋" w:cs="宋体"/>
                <w:color w:val="0000FF"/>
                <w:kern w:val="0"/>
                <w:szCs w:val="21"/>
                <w:lang w:val="en-US" w:eastAsia="zh-CN"/>
              </w:rPr>
            </w:pP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37565</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柴胡</w:t>
            </w:r>
          </w:p>
        </w:tc>
        <w:tc>
          <w:tcPr>
            <w:tcW w:w="2045" w:type="dxa"/>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原州区</w:t>
            </w:r>
          </w:p>
        </w:tc>
        <w:tc>
          <w:tcPr>
            <w:tcW w:w="2004" w:type="dxa"/>
            <w:vAlign w:val="center"/>
          </w:tcPr>
          <w:p>
            <w:pPr>
              <w:widowControl/>
              <w:jc w:val="right"/>
              <w:rPr>
                <w:rFonts w:hint="default" w:ascii="仿宋" w:hAnsi="仿宋" w:eastAsia="仿宋" w:cs="宋体"/>
                <w:color w:val="0000FF"/>
                <w:kern w:val="0"/>
                <w:szCs w:val="21"/>
                <w:lang w:val="en-US" w:eastAsia="zh-CN"/>
              </w:rPr>
            </w:pPr>
            <w:r>
              <w:rPr>
                <w:rFonts w:hint="eastAsia" w:ascii="仿宋" w:hAnsi="仿宋" w:eastAsia="仿宋" w:cs="宋体"/>
                <w:color w:val="0000FF"/>
                <w:kern w:val="0"/>
                <w:szCs w:val="21"/>
                <w:lang w:val="en-US" w:eastAsia="zh-CN"/>
              </w:rPr>
              <w:t>309</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center"/>
              <w:rPr>
                <w:rFonts w:ascii="仿宋" w:hAnsi="仿宋" w:eastAsia="仿宋" w:cs="宋体"/>
                <w:color w:val="000000"/>
                <w:kern w:val="0"/>
                <w:szCs w:val="21"/>
              </w:rPr>
            </w:pPr>
          </w:p>
        </w:tc>
        <w:tc>
          <w:tcPr>
            <w:tcW w:w="1530" w:type="dxa"/>
            <w:vMerge w:val="continue"/>
            <w:vAlign w:val="center"/>
          </w:tcPr>
          <w:p>
            <w:pPr>
              <w:widowControl/>
              <w:jc w:val="center"/>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隆德县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3400</w:t>
            </w: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海原县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2000</w:t>
            </w:r>
          </w:p>
        </w:tc>
        <w:tc>
          <w:tcPr>
            <w:tcW w:w="2003" w:type="dxa"/>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4000</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同心县</w:t>
            </w:r>
          </w:p>
        </w:tc>
        <w:tc>
          <w:tcPr>
            <w:tcW w:w="2004"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13630</w:t>
            </w:r>
          </w:p>
        </w:tc>
        <w:tc>
          <w:tcPr>
            <w:tcW w:w="2003" w:type="dxa"/>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17000</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彭阳县</w:t>
            </w: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其他</w:t>
            </w:r>
          </w:p>
        </w:tc>
        <w:tc>
          <w:tcPr>
            <w:tcW w:w="2004" w:type="dxa"/>
            <w:vAlign w:val="center"/>
          </w:tcPr>
          <w:p>
            <w:pPr>
              <w:widowControl/>
              <w:jc w:val="right"/>
              <w:rPr>
                <w:rFonts w:ascii="仿宋" w:hAnsi="仿宋" w:eastAsia="仿宋" w:cs="宋体"/>
                <w:color w:val="000000"/>
                <w:kern w:val="0"/>
                <w:szCs w:val="21"/>
              </w:rPr>
            </w:pPr>
          </w:p>
        </w:tc>
        <w:tc>
          <w:tcPr>
            <w:tcW w:w="2003" w:type="dxa"/>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3200</w:t>
            </w:r>
            <w:r>
              <w:rPr>
                <w:rFonts w:hint="eastAsia" w:ascii="仿宋" w:hAnsi="仿宋" w:eastAsia="仿宋"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19339</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秦艽</w:t>
            </w: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FF"/>
                <w:kern w:val="0"/>
                <w:szCs w:val="21"/>
              </w:rPr>
              <w:t>泾源县</w:t>
            </w:r>
          </w:p>
        </w:tc>
        <w:tc>
          <w:tcPr>
            <w:tcW w:w="2004" w:type="dxa"/>
            <w:shd w:val="clear" w:color="000000"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FF"/>
                <w:kern w:val="0"/>
                <w:szCs w:val="21"/>
                <w:lang w:val="en-US" w:eastAsia="zh-CN"/>
              </w:rPr>
              <w:t>2500</w:t>
            </w:r>
            <w:r>
              <w:rPr>
                <w:rFonts w:hint="eastAsia" w:ascii="仿宋" w:hAnsi="仿宋" w:eastAsia="仿宋" w:cs="宋体"/>
                <w:color w:val="000000"/>
                <w:kern w:val="0"/>
                <w:szCs w:val="21"/>
              </w:rPr>
              <w:t>　</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隆德县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430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2930</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黄芩</w:t>
            </w:r>
          </w:p>
        </w:tc>
        <w:tc>
          <w:tcPr>
            <w:tcW w:w="2045" w:type="dxa"/>
            <w:shd w:val="clear" w:color="000000"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原州区</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680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center"/>
              <w:rPr>
                <w:rFonts w:ascii="仿宋" w:hAnsi="仿宋" w:eastAsia="仿宋" w:cs="宋体"/>
                <w:color w:val="000000"/>
                <w:kern w:val="0"/>
                <w:szCs w:val="21"/>
              </w:rPr>
            </w:pPr>
          </w:p>
        </w:tc>
        <w:tc>
          <w:tcPr>
            <w:tcW w:w="1530" w:type="dxa"/>
            <w:vMerge w:val="continue"/>
            <w:vAlign w:val="center"/>
          </w:tcPr>
          <w:p>
            <w:pPr>
              <w:widowControl/>
              <w:jc w:val="center"/>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同心县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3450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彭阳县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7000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隆德县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4100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15230</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枸杞</w:t>
            </w: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中宁县</w:t>
            </w:r>
          </w:p>
        </w:tc>
        <w:tc>
          <w:tcPr>
            <w:tcW w:w="2004" w:type="dxa"/>
            <w:shd w:val="clear" w:color="000000"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FF"/>
                <w:kern w:val="0"/>
                <w:szCs w:val="21"/>
                <w:lang w:val="en-US" w:eastAsia="zh-CN"/>
              </w:rPr>
              <w:t>173200</w:t>
            </w:r>
          </w:p>
        </w:tc>
        <w:tc>
          <w:tcPr>
            <w:tcW w:w="2003" w:type="dxa"/>
            <w:shd w:val="clear" w:color="000000" w:fill="auto"/>
            <w:vAlign w:val="center"/>
          </w:tcPr>
          <w:p>
            <w:pPr>
              <w:widowControl/>
              <w:jc w:val="righ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lang w:val="en-US" w:eastAsia="zh-CN"/>
              </w:rPr>
              <w:t>205000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海原县</w:t>
            </w:r>
          </w:p>
        </w:tc>
        <w:tc>
          <w:tcPr>
            <w:tcW w:w="2004" w:type="dxa"/>
            <w:shd w:val="clear" w:color="000000"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45000</w:t>
            </w:r>
          </w:p>
        </w:tc>
        <w:tc>
          <w:tcPr>
            <w:tcW w:w="2003" w:type="dxa"/>
            <w:shd w:val="clear" w:color="000000" w:fill="auto"/>
            <w:vAlign w:val="center"/>
          </w:tcPr>
          <w:p>
            <w:pPr>
              <w:widowControl/>
              <w:jc w:val="righ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lang w:val="en-US" w:eastAsia="zh-CN"/>
              </w:rPr>
              <w:t>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同心县</w:t>
            </w:r>
          </w:p>
        </w:tc>
        <w:tc>
          <w:tcPr>
            <w:tcW w:w="2004" w:type="dxa"/>
            <w:shd w:val="clear" w:color="000000"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FF"/>
                <w:kern w:val="0"/>
                <w:szCs w:val="21"/>
                <w:lang w:val="en-US" w:eastAsia="zh-CN"/>
              </w:rPr>
              <w:t>46000</w:t>
            </w:r>
          </w:p>
        </w:tc>
        <w:tc>
          <w:tcPr>
            <w:tcW w:w="2003" w:type="dxa"/>
            <w:shd w:val="clear" w:color="000000" w:fill="auto"/>
            <w:vAlign w:val="center"/>
          </w:tcPr>
          <w:p>
            <w:pPr>
              <w:widowControl/>
              <w:jc w:val="righ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lang w:val="en-US" w:eastAsia="zh-CN"/>
              </w:rPr>
              <w:t>70500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红寺堡</w:t>
            </w:r>
          </w:p>
        </w:tc>
        <w:tc>
          <w:tcPr>
            <w:tcW w:w="2004" w:type="dxa"/>
            <w:shd w:val="clear" w:color="000000" w:fill="auto"/>
            <w:vAlign w:val="center"/>
          </w:tcPr>
          <w:p>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94000</w:t>
            </w:r>
          </w:p>
        </w:tc>
        <w:tc>
          <w:tcPr>
            <w:tcW w:w="2003" w:type="dxa"/>
            <w:shd w:val="clear" w:color="000000" w:fill="auto"/>
            <w:vAlign w:val="center"/>
          </w:tcPr>
          <w:p>
            <w:pPr>
              <w:widowControl/>
              <w:jc w:val="righ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lang w:val="en-US" w:eastAsia="zh-CN"/>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其他</w:t>
            </w:r>
          </w:p>
        </w:tc>
        <w:tc>
          <w:tcPr>
            <w:tcW w:w="2004" w:type="dxa"/>
            <w:shd w:val="clear" w:color="000000" w:fill="auto"/>
            <w:vAlign w:val="center"/>
          </w:tcPr>
          <w:p>
            <w:pPr>
              <w:widowControl/>
              <w:jc w:val="right"/>
              <w:rPr>
                <w:rFonts w:ascii="仿宋" w:hAnsi="仿宋" w:eastAsia="仿宋" w:cs="宋体"/>
                <w:color w:val="000000"/>
                <w:kern w:val="0"/>
                <w:szCs w:val="21"/>
              </w:rPr>
            </w:pPr>
            <w:r>
              <w:rPr>
                <w:rFonts w:hint="eastAsia" w:ascii="仿宋" w:hAnsi="仿宋" w:eastAsia="仿宋" w:cs="宋体"/>
                <w:b/>
                <w:bCs/>
                <w:color w:val="000000"/>
                <w:kern w:val="0"/>
                <w:szCs w:val="21"/>
                <w:lang w:val="en-US" w:eastAsia="zh-CN"/>
              </w:rPr>
              <w:t>21800</w:t>
            </w:r>
          </w:p>
        </w:tc>
        <w:tc>
          <w:tcPr>
            <w:tcW w:w="2003" w:type="dxa"/>
            <w:shd w:val="clear" w:color="000000" w:fill="auto"/>
            <w:vAlign w:val="center"/>
          </w:tcPr>
          <w:p>
            <w:pPr>
              <w:widowControl/>
              <w:jc w:val="righ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lang w:val="en-US" w:eastAsia="zh-CN"/>
              </w:rPr>
              <w:t>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ascii="仿宋" w:hAnsi="仿宋" w:eastAsia="仿宋" w:cs="宋体"/>
                <w:b/>
                <w:bCs/>
                <w:color w:val="000000"/>
                <w:kern w:val="0"/>
                <w:szCs w:val="21"/>
              </w:rPr>
            </w:pPr>
            <w:r>
              <w:rPr>
                <w:rFonts w:hint="eastAsia" w:ascii="仿宋" w:hAnsi="仿宋" w:eastAsia="仿宋" w:cs="宋体"/>
                <w:b/>
                <w:bCs/>
                <w:color w:val="000000"/>
                <w:kern w:val="0"/>
                <w:szCs w:val="21"/>
                <w:lang w:val="en-US" w:eastAsia="zh-CN"/>
              </w:rPr>
              <w:t>380000</w:t>
            </w:r>
          </w:p>
        </w:tc>
        <w:tc>
          <w:tcPr>
            <w:tcW w:w="2003" w:type="dxa"/>
            <w:shd w:val="clear" w:color="000000" w:fill="auto"/>
            <w:vAlign w:val="center"/>
          </w:tcPr>
          <w:p>
            <w:pPr>
              <w:widowControl/>
              <w:jc w:val="right"/>
              <w:rPr>
                <w:rFonts w:hint="default"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Cs w:val="21"/>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9</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党参</w:t>
            </w: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原州区</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130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隆德县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620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彭阳县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3000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西吉县</w:t>
            </w:r>
          </w:p>
        </w:tc>
        <w:tc>
          <w:tcPr>
            <w:tcW w:w="2004" w:type="dxa"/>
            <w:shd w:val="clear" w:color="000000" w:fill="auto"/>
            <w:vAlign w:val="center"/>
          </w:tcPr>
          <w:p>
            <w:pPr>
              <w:widowControl/>
              <w:jc w:val="right"/>
              <w:rPr>
                <w:rFonts w:hint="eastAsia" w:ascii="仿宋" w:hAnsi="仿宋" w:eastAsia="仿宋" w:cs="宋体"/>
                <w:color w:val="0000FF"/>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3750</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0</w:t>
            </w:r>
          </w:p>
        </w:tc>
        <w:tc>
          <w:tcPr>
            <w:tcW w:w="153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苦杏仁</w:t>
            </w:r>
          </w:p>
        </w:tc>
        <w:tc>
          <w:tcPr>
            <w:tcW w:w="2045" w:type="dxa"/>
            <w:shd w:val="clear" w:color="000000" w:fill="auto"/>
            <w:vAlign w:val="center"/>
          </w:tcPr>
          <w:p>
            <w:pPr>
              <w:widowControl/>
              <w:jc w:val="center"/>
              <w:rPr>
                <w:rFonts w:ascii="仿宋" w:hAnsi="仿宋" w:eastAsia="仿宋" w:cs="宋体"/>
                <w:b w:val="0"/>
                <w:bCs w:val="0"/>
                <w:color w:val="000000"/>
                <w:kern w:val="0"/>
                <w:szCs w:val="21"/>
              </w:rPr>
            </w:pPr>
            <w:r>
              <w:rPr>
                <w:rFonts w:hint="eastAsia" w:ascii="仿宋" w:hAnsi="仿宋" w:eastAsia="仿宋" w:cs="宋体"/>
                <w:b w:val="0"/>
                <w:bCs w:val="0"/>
                <w:color w:val="000000"/>
                <w:kern w:val="0"/>
                <w:szCs w:val="21"/>
              </w:rPr>
              <w:t>彭阳县</w:t>
            </w:r>
          </w:p>
        </w:tc>
        <w:tc>
          <w:tcPr>
            <w:tcW w:w="2004" w:type="dxa"/>
            <w:shd w:val="clear" w:color="000000" w:fill="auto"/>
            <w:vAlign w:val="center"/>
          </w:tcPr>
          <w:p>
            <w:pPr>
              <w:widowControl/>
              <w:jc w:val="right"/>
              <w:rPr>
                <w:rFonts w:ascii="仿宋" w:hAnsi="仿宋" w:eastAsia="仿宋" w:cs="宋体"/>
                <w:b w:val="0"/>
                <w:bCs w:val="0"/>
                <w:color w:val="000000"/>
                <w:kern w:val="0"/>
                <w:szCs w:val="21"/>
              </w:rPr>
            </w:pPr>
            <w:r>
              <w:rPr>
                <w:rFonts w:hint="eastAsia" w:ascii="仿宋" w:hAnsi="仿宋" w:eastAsia="仿宋" w:cs="宋体"/>
                <w:b w:val="0"/>
                <w:bCs w:val="0"/>
                <w:color w:val="000000"/>
                <w:kern w:val="0"/>
                <w:szCs w:val="21"/>
              </w:rPr>
              <w:t>35</w:t>
            </w:r>
            <w:r>
              <w:rPr>
                <w:rFonts w:hint="eastAsia" w:ascii="仿宋" w:hAnsi="仿宋" w:eastAsia="仿宋" w:cs="宋体"/>
                <w:b w:val="0"/>
                <w:bCs w:val="0"/>
                <w:color w:val="000000"/>
                <w:kern w:val="0"/>
                <w:szCs w:val="21"/>
                <w:lang w:val="en-US" w:eastAsia="zh-CN"/>
              </w:rPr>
              <w:t>5000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365000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1</w:t>
            </w:r>
          </w:p>
        </w:tc>
        <w:tc>
          <w:tcPr>
            <w:tcW w:w="153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桃仁</w:t>
            </w:r>
          </w:p>
        </w:tc>
        <w:tc>
          <w:tcPr>
            <w:tcW w:w="2045" w:type="dxa"/>
            <w:shd w:val="clear" w:color="000000" w:fill="auto"/>
            <w:vAlign w:val="center"/>
          </w:tcPr>
          <w:p>
            <w:pPr>
              <w:widowControl/>
              <w:jc w:val="center"/>
              <w:rPr>
                <w:rFonts w:ascii="仿宋" w:hAnsi="仿宋" w:eastAsia="仿宋" w:cs="宋体"/>
                <w:b w:val="0"/>
                <w:bCs w:val="0"/>
                <w:color w:val="000000"/>
                <w:kern w:val="0"/>
                <w:szCs w:val="21"/>
              </w:rPr>
            </w:pPr>
            <w:r>
              <w:rPr>
                <w:rFonts w:hint="eastAsia" w:ascii="仿宋" w:hAnsi="仿宋" w:eastAsia="仿宋" w:cs="宋体"/>
                <w:b w:val="0"/>
                <w:bCs w:val="0"/>
                <w:color w:val="000000"/>
                <w:kern w:val="0"/>
                <w:szCs w:val="21"/>
              </w:rPr>
              <w:t>彭阳县</w:t>
            </w:r>
          </w:p>
        </w:tc>
        <w:tc>
          <w:tcPr>
            <w:tcW w:w="2004" w:type="dxa"/>
            <w:shd w:val="clear" w:color="000000" w:fill="auto"/>
            <w:vAlign w:val="center"/>
          </w:tcPr>
          <w:p>
            <w:pPr>
              <w:widowControl/>
              <w:jc w:val="right"/>
              <w:rPr>
                <w:rFonts w:ascii="仿宋" w:hAnsi="仿宋" w:eastAsia="仿宋" w:cs="宋体"/>
                <w:b w:val="0"/>
                <w:bCs w:val="0"/>
                <w:color w:val="000000"/>
                <w:kern w:val="0"/>
                <w:szCs w:val="21"/>
              </w:rPr>
            </w:pPr>
            <w:r>
              <w:rPr>
                <w:rFonts w:hint="eastAsia" w:ascii="仿宋" w:hAnsi="仿宋" w:eastAsia="仿宋" w:cs="宋体"/>
                <w:b w:val="0"/>
                <w:bCs w:val="0"/>
                <w:color w:val="000000"/>
                <w:kern w:val="0"/>
                <w:szCs w:val="21"/>
              </w:rPr>
              <w:t>3</w:t>
            </w:r>
            <w:r>
              <w:rPr>
                <w:rFonts w:hint="eastAsia" w:ascii="仿宋" w:hAnsi="仿宋" w:eastAsia="仿宋" w:cs="宋体"/>
                <w:b w:val="0"/>
                <w:bCs w:val="0"/>
                <w:color w:val="000000"/>
                <w:kern w:val="0"/>
                <w:szCs w:val="21"/>
                <w:lang w:val="en-US" w:eastAsia="zh-CN"/>
              </w:rPr>
              <w:t>45000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355000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2</w:t>
            </w:r>
          </w:p>
        </w:tc>
        <w:tc>
          <w:tcPr>
            <w:tcW w:w="153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小茴香</w:t>
            </w:r>
          </w:p>
        </w:tc>
        <w:tc>
          <w:tcPr>
            <w:tcW w:w="2045" w:type="dxa"/>
            <w:shd w:val="clear" w:color="000000" w:fill="auto"/>
            <w:vAlign w:val="center"/>
          </w:tcPr>
          <w:p>
            <w:pPr>
              <w:widowControl/>
              <w:jc w:val="center"/>
              <w:rPr>
                <w:rFonts w:ascii="仿宋" w:hAnsi="仿宋" w:eastAsia="仿宋" w:cs="宋体"/>
                <w:b w:val="0"/>
                <w:bCs w:val="0"/>
                <w:color w:val="000000"/>
                <w:kern w:val="0"/>
                <w:szCs w:val="21"/>
              </w:rPr>
            </w:pPr>
            <w:r>
              <w:rPr>
                <w:rFonts w:hint="eastAsia" w:ascii="仿宋" w:hAnsi="仿宋" w:eastAsia="仿宋" w:cs="宋体"/>
                <w:b w:val="0"/>
                <w:bCs w:val="0"/>
                <w:color w:val="000000"/>
                <w:kern w:val="0"/>
                <w:szCs w:val="21"/>
              </w:rPr>
              <w:t>海原县</w:t>
            </w:r>
          </w:p>
        </w:tc>
        <w:tc>
          <w:tcPr>
            <w:tcW w:w="2004"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FF"/>
                <w:kern w:val="0"/>
                <w:szCs w:val="21"/>
                <w:lang w:val="en-US" w:eastAsia="zh-CN"/>
              </w:rPr>
              <w:t>20000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3</w:t>
            </w:r>
          </w:p>
        </w:tc>
        <w:tc>
          <w:tcPr>
            <w:tcW w:w="1530" w:type="dxa"/>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红花</w:t>
            </w: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原州区</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3628</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西吉县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35000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彭阳县</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10000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平罗县</w:t>
            </w:r>
          </w:p>
        </w:tc>
        <w:tc>
          <w:tcPr>
            <w:tcW w:w="2004" w:type="dxa"/>
            <w:shd w:val="clear" w:color="000000" w:fill="auto"/>
            <w:vAlign w:val="center"/>
          </w:tcPr>
          <w:p>
            <w:pPr>
              <w:widowControl/>
              <w:jc w:val="right"/>
              <w:rPr>
                <w:rFonts w:hint="eastAsia" w:ascii="仿宋" w:hAnsi="仿宋" w:eastAsia="仿宋" w:cs="宋体"/>
                <w:color w:val="0000FF"/>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海原县</w:t>
            </w:r>
          </w:p>
        </w:tc>
        <w:tc>
          <w:tcPr>
            <w:tcW w:w="2004" w:type="dxa"/>
            <w:shd w:val="clear" w:color="000000" w:fill="auto"/>
            <w:vAlign w:val="center"/>
          </w:tcPr>
          <w:p>
            <w:pPr>
              <w:widowControl/>
              <w:jc w:val="right"/>
              <w:rPr>
                <w:rFonts w:hint="eastAsia" w:ascii="仿宋" w:hAnsi="仿宋" w:eastAsia="仿宋" w:cs="宋体"/>
                <w:color w:val="0000FF"/>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0" w:type="dxa"/>
            <w:vMerge w:val="continue"/>
            <w:vAlign w:val="center"/>
          </w:tcPr>
          <w:p>
            <w:pPr>
              <w:widowControl/>
              <w:jc w:val="left"/>
              <w:rPr>
                <w:rFonts w:ascii="仿宋" w:hAnsi="仿宋" w:eastAsia="仿宋" w:cs="宋体"/>
                <w:color w:val="000000"/>
                <w:kern w:val="0"/>
                <w:szCs w:val="21"/>
              </w:rPr>
            </w:pPr>
          </w:p>
        </w:tc>
        <w:tc>
          <w:tcPr>
            <w:tcW w:w="1530" w:type="dxa"/>
            <w:vMerge w:val="continue"/>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红寺堡</w:t>
            </w:r>
          </w:p>
        </w:tc>
        <w:tc>
          <w:tcPr>
            <w:tcW w:w="2004"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500</w:t>
            </w:r>
          </w:p>
        </w:tc>
        <w:tc>
          <w:tcPr>
            <w:tcW w:w="2003" w:type="dxa"/>
            <w:shd w:val="clear" w:color="000000" w:fill="auto"/>
            <w:vAlign w:val="center"/>
          </w:tcPr>
          <w:p>
            <w:pPr>
              <w:widowControl/>
              <w:jc w:val="righ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left"/>
              <w:rPr>
                <w:rFonts w:ascii="仿宋" w:hAnsi="仿宋" w:eastAsia="仿宋" w:cs="宋体"/>
                <w:color w:val="000000"/>
                <w:kern w:val="0"/>
                <w:szCs w:val="21"/>
              </w:rPr>
            </w:pPr>
          </w:p>
        </w:tc>
        <w:tc>
          <w:tcPr>
            <w:tcW w:w="1530" w:type="dxa"/>
            <w:vMerge w:val="continue"/>
            <w:shd w:val="clear" w:color="auto" w:fill="auto"/>
            <w:vAlign w:val="center"/>
          </w:tcPr>
          <w:p>
            <w:pPr>
              <w:widowControl/>
              <w:jc w:val="left"/>
              <w:rPr>
                <w:rFonts w:ascii="仿宋" w:hAnsi="仿宋" w:eastAsia="仿宋" w:cs="宋体"/>
                <w:color w:val="000000"/>
                <w:kern w:val="0"/>
                <w:szCs w:val="21"/>
              </w:rPr>
            </w:pPr>
          </w:p>
        </w:tc>
        <w:tc>
          <w:tcPr>
            <w:tcW w:w="2045" w:type="dxa"/>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49128</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restar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4</w:t>
            </w:r>
          </w:p>
        </w:tc>
        <w:tc>
          <w:tcPr>
            <w:tcW w:w="1530" w:type="dxa"/>
            <w:vMerge w:val="restar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金银花</w:t>
            </w:r>
          </w:p>
        </w:tc>
        <w:tc>
          <w:tcPr>
            <w:tcW w:w="2045" w:type="dxa"/>
            <w:shd w:val="clear" w:color="000000" w:fill="auto"/>
            <w:vAlign w:val="center"/>
          </w:tcPr>
          <w:p>
            <w:pPr>
              <w:widowControl/>
              <w:jc w:val="center"/>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FF"/>
                <w:kern w:val="0"/>
                <w:szCs w:val="21"/>
                <w:lang w:val="en-US" w:eastAsia="zh-CN"/>
              </w:rPr>
              <w:t>沙坡头</w:t>
            </w:r>
          </w:p>
        </w:tc>
        <w:tc>
          <w:tcPr>
            <w:tcW w:w="2004"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FF"/>
                <w:kern w:val="0"/>
                <w:szCs w:val="21"/>
                <w:lang w:val="en-US" w:eastAsia="zh-CN"/>
              </w:rPr>
              <w:t>3600</w:t>
            </w:r>
          </w:p>
        </w:tc>
        <w:tc>
          <w:tcPr>
            <w:tcW w:w="2003" w:type="dxa"/>
            <w:shd w:val="clear" w:color="000000" w:fill="auto"/>
            <w:vAlign w:val="center"/>
          </w:tcPr>
          <w:p>
            <w:pPr>
              <w:widowControl/>
              <w:jc w:val="right"/>
              <w:rPr>
                <w:rFonts w:ascii="仿宋" w:hAnsi="仿宋" w:eastAsia="仿宋" w:cs="宋体"/>
                <w:b w:val="0"/>
                <w:bCs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红寺堡</w:t>
            </w:r>
          </w:p>
        </w:tc>
        <w:tc>
          <w:tcPr>
            <w:tcW w:w="2004" w:type="dxa"/>
            <w:shd w:val="clear" w:color="000000" w:fill="auto"/>
            <w:vAlign w:val="center"/>
          </w:tcPr>
          <w:p>
            <w:pPr>
              <w:widowControl/>
              <w:jc w:val="right"/>
              <w:rPr>
                <w:rFonts w:hint="eastAsia" w:ascii="仿宋" w:hAnsi="仿宋" w:eastAsia="仿宋" w:cs="宋体"/>
                <w:b w:val="0"/>
                <w:bCs w:val="0"/>
                <w:color w:val="0000FF"/>
                <w:kern w:val="0"/>
                <w:szCs w:val="21"/>
                <w:lang w:val="en-US" w:eastAsia="zh-CN"/>
              </w:rPr>
            </w:pPr>
          </w:p>
        </w:tc>
        <w:tc>
          <w:tcPr>
            <w:tcW w:w="2003" w:type="dxa"/>
            <w:shd w:val="clear" w:color="000000" w:fill="auto"/>
            <w:vAlign w:val="center"/>
          </w:tcPr>
          <w:p>
            <w:pPr>
              <w:widowControl/>
              <w:jc w:val="right"/>
              <w:rPr>
                <w:rFonts w:ascii="仿宋" w:hAnsi="仿宋" w:eastAsia="仿宋" w:cs="宋体"/>
                <w:b w:val="0"/>
                <w:bCs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shd w:val="clear" w:color="auto" w:fill="auto"/>
            <w:vAlign w:val="center"/>
          </w:tcPr>
          <w:p>
            <w:pPr>
              <w:widowControl/>
              <w:jc w:val="center"/>
              <w:rPr>
                <w:rFonts w:hint="eastAsia" w:ascii="仿宋" w:hAnsi="仿宋" w:eastAsia="仿宋" w:cs="宋体"/>
                <w:color w:val="000000"/>
                <w:kern w:val="0"/>
                <w:szCs w:val="21"/>
              </w:rPr>
            </w:pPr>
          </w:p>
        </w:tc>
        <w:tc>
          <w:tcPr>
            <w:tcW w:w="1530" w:type="dxa"/>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eastAsia"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合计</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3600</w:t>
            </w:r>
          </w:p>
        </w:tc>
        <w:tc>
          <w:tcPr>
            <w:tcW w:w="2003" w:type="dxa"/>
            <w:shd w:val="clear" w:color="000000" w:fill="auto"/>
            <w:vAlign w:val="center"/>
          </w:tcPr>
          <w:p>
            <w:pPr>
              <w:widowControl/>
              <w:jc w:val="right"/>
              <w:rPr>
                <w:rFonts w:ascii="仿宋" w:hAnsi="仿宋" w:eastAsia="仿宋" w:cs="宋体"/>
                <w:b w:val="0"/>
                <w:bCs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restart"/>
            <w:shd w:val="clear" w:color="auto"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15</w:t>
            </w:r>
          </w:p>
        </w:tc>
        <w:tc>
          <w:tcPr>
            <w:tcW w:w="1530" w:type="dxa"/>
            <w:vMerge w:val="restart"/>
            <w:shd w:val="clear" w:color="auto" w:fill="auto"/>
            <w:vAlign w:val="center"/>
          </w:tcPr>
          <w:p>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芍药</w:t>
            </w: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原州区</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1450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FF"/>
                <w:kern w:val="0"/>
                <w:szCs w:val="21"/>
                <w:lang w:val="en-US" w:eastAsia="zh-CN"/>
              </w:rPr>
            </w:pPr>
          </w:p>
        </w:tc>
        <w:tc>
          <w:tcPr>
            <w:tcW w:w="2045" w:type="dxa"/>
            <w:shd w:val="clear" w:color="000000" w:fill="auto"/>
            <w:vAlign w:val="center"/>
          </w:tcPr>
          <w:p>
            <w:pPr>
              <w:widowControl/>
              <w:jc w:val="center"/>
              <w:rPr>
                <w:rFonts w:hint="eastAsia"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西吉县</w:t>
            </w:r>
          </w:p>
        </w:tc>
        <w:tc>
          <w:tcPr>
            <w:tcW w:w="2004" w:type="dxa"/>
            <w:shd w:val="clear" w:color="000000" w:fill="auto"/>
            <w:vAlign w:val="center"/>
          </w:tcPr>
          <w:p>
            <w:pPr>
              <w:widowControl/>
              <w:jc w:val="right"/>
              <w:rPr>
                <w:rFonts w:hint="eastAsia" w:ascii="仿宋" w:hAnsi="仿宋" w:eastAsia="仿宋" w:cs="宋体"/>
                <w:b w:val="0"/>
                <w:bCs w:val="0"/>
                <w:color w:val="0000FF"/>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FF"/>
                <w:kern w:val="0"/>
                <w:szCs w:val="21"/>
                <w:lang w:val="en-US" w:eastAsia="zh-CN"/>
              </w:rPr>
            </w:pPr>
          </w:p>
        </w:tc>
        <w:tc>
          <w:tcPr>
            <w:tcW w:w="2045" w:type="dxa"/>
            <w:shd w:val="clear" w:color="000000" w:fill="auto"/>
            <w:vAlign w:val="center"/>
          </w:tcPr>
          <w:p>
            <w:pPr>
              <w:widowControl/>
              <w:jc w:val="center"/>
              <w:rPr>
                <w:rFonts w:hint="eastAsia"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合计</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1450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restart"/>
            <w:shd w:val="clear" w:color="auto"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16</w:t>
            </w:r>
          </w:p>
        </w:tc>
        <w:tc>
          <w:tcPr>
            <w:tcW w:w="1530" w:type="dxa"/>
            <w:vMerge w:val="restart"/>
            <w:shd w:val="clear" w:color="auto" w:fill="auto"/>
            <w:vAlign w:val="center"/>
          </w:tcPr>
          <w:p>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FF"/>
                <w:kern w:val="0"/>
                <w:szCs w:val="21"/>
                <w:lang w:val="en-US" w:eastAsia="zh-CN"/>
              </w:rPr>
              <w:t>菟丝子</w:t>
            </w: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平罗县</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77000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兴庆区</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50000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惠农区</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3000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大武口</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10000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eastAsia"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陶乐县</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4000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合计</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144000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restart"/>
            <w:shd w:val="clear" w:color="auto"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17</w:t>
            </w:r>
          </w:p>
        </w:tc>
        <w:tc>
          <w:tcPr>
            <w:tcW w:w="1530" w:type="dxa"/>
            <w:vMerge w:val="restart"/>
            <w:shd w:val="clear" w:color="auto" w:fill="auto"/>
            <w:vAlign w:val="center"/>
          </w:tcPr>
          <w:p>
            <w:pPr>
              <w:widowControl/>
              <w:jc w:val="center"/>
              <w:rPr>
                <w:rFonts w:hint="eastAsia" w:ascii="仿宋" w:hAnsi="仿宋" w:eastAsia="仿宋" w:cs="宋体"/>
                <w:color w:val="000000"/>
                <w:kern w:val="0"/>
                <w:szCs w:val="21"/>
                <w:lang w:val="en-US" w:eastAsia="zh-CN"/>
              </w:rPr>
            </w:pPr>
            <w:r>
              <w:rPr>
                <w:rFonts w:hint="eastAsia" w:ascii="仿宋" w:hAnsi="仿宋" w:eastAsia="仿宋" w:cs="宋体"/>
                <w:b w:val="0"/>
                <w:bCs w:val="0"/>
                <w:color w:val="0000FF"/>
                <w:kern w:val="0"/>
                <w:szCs w:val="21"/>
                <w:lang w:val="en-US" w:eastAsia="zh-CN"/>
              </w:rPr>
              <w:t>艾草</w:t>
            </w: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隆德县</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1200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西吉县</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6000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合计</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7200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restart"/>
            <w:shd w:val="clear" w:color="auto"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18</w:t>
            </w:r>
          </w:p>
        </w:tc>
        <w:tc>
          <w:tcPr>
            <w:tcW w:w="1530" w:type="dxa"/>
            <w:vMerge w:val="restart"/>
            <w:shd w:val="clear" w:color="auto"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b w:val="0"/>
                <w:bCs w:val="0"/>
                <w:color w:val="0000FF"/>
                <w:kern w:val="0"/>
                <w:szCs w:val="21"/>
                <w:lang w:val="en-US" w:eastAsia="zh-CN"/>
              </w:rPr>
              <w:t>林下药材</w:t>
            </w: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隆德县</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53000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彭阳县</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30000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西吉县</w:t>
            </w:r>
          </w:p>
        </w:tc>
        <w:tc>
          <w:tcPr>
            <w:tcW w:w="2004" w:type="dxa"/>
            <w:shd w:val="clear" w:color="000000" w:fill="auto"/>
            <w:vAlign w:val="center"/>
          </w:tcPr>
          <w:p>
            <w:pPr>
              <w:widowControl/>
              <w:jc w:val="right"/>
              <w:rPr>
                <w:rFonts w:hint="default"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3800</w:t>
            </w: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eastAsia" w:ascii="仿宋" w:hAnsi="仿宋" w:eastAsia="仿宋" w:cs="宋体"/>
                <w:b w:val="0"/>
                <w:bCs w:val="0"/>
                <w:color w:val="0000FF"/>
                <w:kern w:val="0"/>
                <w:szCs w:val="21"/>
                <w:lang w:val="en-US" w:eastAsia="zh-CN"/>
              </w:rPr>
            </w:pPr>
            <w:r>
              <w:rPr>
                <w:rFonts w:hint="eastAsia" w:ascii="仿宋" w:hAnsi="仿宋" w:eastAsia="仿宋" w:cs="宋体"/>
                <w:b w:val="0"/>
                <w:bCs w:val="0"/>
                <w:color w:val="0000FF"/>
                <w:kern w:val="0"/>
                <w:szCs w:val="21"/>
                <w:lang w:val="en-US" w:eastAsia="zh-CN"/>
              </w:rPr>
              <w:t>原州区</w:t>
            </w:r>
          </w:p>
        </w:tc>
        <w:tc>
          <w:tcPr>
            <w:tcW w:w="2004" w:type="dxa"/>
            <w:shd w:val="clear" w:color="000000" w:fill="auto"/>
            <w:vAlign w:val="center"/>
          </w:tcPr>
          <w:p>
            <w:pPr>
              <w:widowControl/>
              <w:jc w:val="right"/>
              <w:rPr>
                <w:rFonts w:hint="eastAsia" w:ascii="仿宋" w:hAnsi="仿宋" w:eastAsia="仿宋" w:cs="宋体"/>
                <w:b w:val="0"/>
                <w:bCs w:val="0"/>
                <w:color w:val="0000FF"/>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b w:val="0"/>
                <w:bCs w:val="0"/>
                <w:color w:val="000000"/>
                <w:kern w:val="0"/>
                <w:szCs w:val="21"/>
                <w:lang w:val="en-US" w:eastAsia="zh-CN"/>
              </w:rPr>
            </w:pPr>
            <w:r>
              <w:rPr>
                <w:rFonts w:hint="eastAsia" w:ascii="仿宋" w:hAnsi="仿宋" w:eastAsia="仿宋" w:cs="宋体"/>
                <w:b w:val="0"/>
                <w:bCs w:val="0"/>
                <w:color w:val="000000"/>
                <w:kern w:val="0"/>
                <w:szCs w:val="21"/>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rPr>
            </w:pPr>
          </w:p>
        </w:tc>
        <w:tc>
          <w:tcPr>
            <w:tcW w:w="2045" w:type="dxa"/>
            <w:shd w:val="clear" w:color="000000" w:fill="auto"/>
            <w:vAlign w:val="center"/>
          </w:tcPr>
          <w:p>
            <w:pPr>
              <w:widowControl/>
              <w:jc w:val="center"/>
              <w:rPr>
                <w:rFonts w:hint="default" w:ascii="仿宋" w:hAnsi="仿宋" w:eastAsia="仿宋" w:cs="宋体"/>
                <w:b w:val="0"/>
                <w:bCs w:val="0"/>
                <w:color w:val="0000FF"/>
                <w:kern w:val="0"/>
                <w:szCs w:val="21"/>
                <w:lang w:val="en-US" w:eastAsia="zh-CN"/>
              </w:rPr>
            </w:pPr>
            <w:r>
              <w:rPr>
                <w:rFonts w:hint="eastAsia" w:ascii="仿宋" w:hAnsi="仿宋" w:eastAsia="仿宋" w:cs="宋体"/>
                <w:b/>
                <w:bCs/>
                <w:color w:val="auto"/>
                <w:kern w:val="0"/>
                <w:szCs w:val="21"/>
                <w:lang w:val="en-US" w:eastAsia="zh-CN"/>
              </w:rPr>
              <w:t>合计</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86800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restart"/>
            <w:shd w:val="clear" w:color="auto" w:fill="auto"/>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19</w:t>
            </w:r>
          </w:p>
        </w:tc>
        <w:tc>
          <w:tcPr>
            <w:tcW w:w="1530" w:type="dxa"/>
            <w:vMerge w:val="restart"/>
            <w:shd w:val="clear" w:color="auto" w:fill="auto"/>
            <w:vAlign w:val="center"/>
          </w:tcPr>
          <w:p>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其他药材</w:t>
            </w: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隆德县</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4400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彭阳县</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2000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西吉县</w:t>
            </w:r>
          </w:p>
        </w:tc>
        <w:tc>
          <w:tcPr>
            <w:tcW w:w="2004" w:type="dxa"/>
            <w:shd w:val="clear" w:color="000000" w:fill="auto"/>
            <w:vAlign w:val="center"/>
          </w:tcPr>
          <w:p>
            <w:pPr>
              <w:widowControl/>
              <w:jc w:val="right"/>
              <w:rPr>
                <w:rFonts w:hint="eastAsia" w:ascii="仿宋" w:hAnsi="仿宋" w:eastAsia="仿宋" w:cs="宋体"/>
                <w:b/>
                <w:bCs/>
                <w:color w:val="auto"/>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泾源县</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11260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原州区</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8638</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海原县</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1200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同心县</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3160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红寺堡</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400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盐池县</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6000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陶乐县</w:t>
            </w:r>
          </w:p>
        </w:tc>
        <w:tc>
          <w:tcPr>
            <w:tcW w:w="2004" w:type="dxa"/>
            <w:shd w:val="clear" w:color="000000" w:fill="auto"/>
            <w:vAlign w:val="center"/>
          </w:tcPr>
          <w:p>
            <w:pPr>
              <w:widowControl/>
              <w:jc w:val="right"/>
              <w:rPr>
                <w:rFonts w:hint="eastAsia" w:ascii="仿宋" w:hAnsi="仿宋" w:eastAsia="仿宋" w:cs="宋体"/>
                <w:b/>
                <w:bCs/>
                <w:color w:val="auto"/>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平罗县</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6000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沙坡头区</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24000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兴庆区</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20000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利通区</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6000</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惠农区</w:t>
            </w:r>
          </w:p>
        </w:tc>
        <w:tc>
          <w:tcPr>
            <w:tcW w:w="2004" w:type="dxa"/>
            <w:shd w:val="clear" w:color="000000" w:fill="auto"/>
            <w:vAlign w:val="center"/>
          </w:tcPr>
          <w:p>
            <w:pPr>
              <w:widowControl/>
              <w:jc w:val="right"/>
              <w:rPr>
                <w:rFonts w:hint="eastAsia" w:ascii="仿宋" w:hAnsi="仿宋" w:eastAsia="仿宋" w:cs="宋体"/>
                <w:b/>
                <w:bCs/>
                <w:color w:val="auto"/>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大武口区</w:t>
            </w:r>
          </w:p>
        </w:tc>
        <w:tc>
          <w:tcPr>
            <w:tcW w:w="2004" w:type="dxa"/>
            <w:shd w:val="clear" w:color="000000" w:fill="auto"/>
            <w:vAlign w:val="center"/>
          </w:tcPr>
          <w:p>
            <w:pPr>
              <w:widowControl/>
              <w:jc w:val="right"/>
              <w:rPr>
                <w:rFonts w:hint="eastAsia" w:ascii="仿宋" w:hAnsi="仿宋" w:eastAsia="仿宋" w:cs="宋体"/>
                <w:b/>
                <w:bCs/>
                <w:color w:val="auto"/>
                <w:kern w:val="0"/>
                <w:szCs w:val="21"/>
                <w:lang w:val="en-US" w:eastAsia="zh-CN"/>
              </w:rPr>
            </w:pP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0" w:type="dxa"/>
            <w:vMerge w:val="continue"/>
            <w:shd w:val="clear" w:color="auto" w:fill="auto"/>
            <w:vAlign w:val="center"/>
          </w:tcPr>
          <w:p>
            <w:pPr>
              <w:widowControl/>
              <w:jc w:val="center"/>
              <w:rPr>
                <w:rFonts w:hint="eastAsia" w:ascii="仿宋" w:hAnsi="仿宋" w:eastAsia="仿宋" w:cs="宋体"/>
                <w:color w:val="000000"/>
                <w:kern w:val="0"/>
                <w:szCs w:val="21"/>
                <w:lang w:val="en-US" w:eastAsia="zh-CN"/>
              </w:rPr>
            </w:pPr>
          </w:p>
        </w:tc>
        <w:tc>
          <w:tcPr>
            <w:tcW w:w="1530" w:type="dxa"/>
            <w:vMerge w:val="continue"/>
            <w:shd w:val="clear" w:color="auto" w:fill="auto"/>
            <w:vAlign w:val="center"/>
          </w:tcPr>
          <w:p>
            <w:pPr>
              <w:widowControl/>
              <w:jc w:val="center"/>
              <w:rPr>
                <w:rFonts w:hint="eastAsia" w:ascii="仿宋" w:hAnsi="仿宋" w:eastAsia="仿宋" w:cs="宋体"/>
                <w:color w:val="000000"/>
                <w:kern w:val="0"/>
                <w:szCs w:val="21"/>
                <w:lang w:eastAsia="zh-CN"/>
              </w:rPr>
            </w:pPr>
          </w:p>
        </w:tc>
        <w:tc>
          <w:tcPr>
            <w:tcW w:w="2045" w:type="dxa"/>
            <w:shd w:val="clear" w:color="000000" w:fill="auto"/>
            <w:vAlign w:val="center"/>
          </w:tcPr>
          <w:p>
            <w:pPr>
              <w:widowControl/>
              <w:jc w:val="center"/>
              <w:rPr>
                <w:rFonts w:hint="eastAsia"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合计</w:t>
            </w:r>
          </w:p>
        </w:tc>
        <w:tc>
          <w:tcPr>
            <w:tcW w:w="2004"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93058</w:t>
            </w:r>
          </w:p>
        </w:tc>
        <w:tc>
          <w:tcPr>
            <w:tcW w:w="2003" w:type="dxa"/>
            <w:shd w:val="clear" w:color="000000" w:fill="auto"/>
            <w:vAlign w:val="center"/>
          </w:tcPr>
          <w:p>
            <w:pPr>
              <w:widowControl/>
              <w:jc w:val="right"/>
              <w:rPr>
                <w:rFonts w:hint="default" w:ascii="仿宋" w:hAnsi="仿宋" w:eastAsia="仿宋" w:cs="宋体"/>
                <w:b/>
                <w:bCs/>
                <w:color w:val="auto"/>
                <w:kern w:val="0"/>
                <w:szCs w:val="21"/>
                <w:lang w:val="en-US" w:eastAsia="zh-CN"/>
              </w:rPr>
            </w:pPr>
            <w:r>
              <w:rPr>
                <w:rFonts w:hint="eastAsia" w:ascii="仿宋" w:hAnsi="仿宋" w:eastAsia="仿宋" w:cs="宋体"/>
                <w:b/>
                <w:bCs/>
                <w:color w:val="auto"/>
                <w:kern w:val="0"/>
                <w:szCs w:val="21"/>
                <w:lang w:val="en-US" w:eastAsia="zh-CN"/>
              </w:rPr>
              <w:t>294000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15" w:type="dxa"/>
            <w:gridSpan w:val="3"/>
            <w:shd w:val="clear" w:color="000000"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  计</w:t>
            </w:r>
          </w:p>
        </w:tc>
        <w:tc>
          <w:tcPr>
            <w:tcW w:w="2004"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1688230</w:t>
            </w:r>
          </w:p>
        </w:tc>
        <w:tc>
          <w:tcPr>
            <w:tcW w:w="2003" w:type="dxa"/>
            <w:shd w:val="clear" w:color="000000" w:fill="auto"/>
            <w:vAlign w:val="center"/>
          </w:tcPr>
          <w:p>
            <w:pPr>
              <w:widowControl/>
              <w:jc w:val="right"/>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2000000</w:t>
            </w:r>
          </w:p>
        </w:tc>
      </w:tr>
    </w:tbl>
    <w:p>
      <w:pPr>
        <w:pStyle w:val="6"/>
        <w:keepNext/>
        <w:keepLines/>
        <w:pageBreakBefore w:val="0"/>
        <w:widowControl w:val="0"/>
        <w:kinsoku/>
        <w:wordWrap/>
        <w:overflowPunct/>
        <w:topLinePunct w:val="0"/>
        <w:autoSpaceDE/>
        <w:autoSpaceDN/>
        <w:bidi w:val="0"/>
        <w:adjustRightInd/>
        <w:snapToGrid/>
        <w:spacing w:line="360" w:lineRule="auto"/>
        <w:textAlignment w:val="auto"/>
        <w:outlineLvl w:val="2"/>
      </w:pPr>
    </w:p>
    <w:p>
      <w:pPr>
        <w:pStyle w:val="19"/>
        <w:spacing w:before="156" w:after="156"/>
        <w:ind w:firstLine="0" w:firstLineChars="0"/>
        <w:rPr>
          <w:rFonts w:eastAsia="楷体"/>
          <w:sz w:val="24"/>
        </w:rPr>
      </w:pPr>
    </w:p>
    <w:p>
      <w:pPr>
        <w:pStyle w:val="19"/>
        <w:spacing w:before="156" w:after="156"/>
        <w:ind w:firstLine="0" w:firstLineChars="0"/>
        <w:rPr>
          <w:rFonts w:eastAsia="楷体"/>
          <w:color w:val="auto"/>
          <w:sz w:val="24"/>
        </w:rPr>
      </w:pPr>
    </w:p>
    <w:p>
      <w:pPr>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B60EA1-B8A7-467B-873F-7267D1CABB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8081433-5F01-484F-B230-BF9D2C64CA0C}"/>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211695F8-A5AE-4E4C-84A3-B01F139BE549}"/>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DF59E61B-564B-4F73-9CED-F0C8C1556E0B}"/>
  </w:font>
  <w:font w:name="仿宋">
    <w:panose1 w:val="02010609060101010101"/>
    <w:charset w:val="86"/>
    <w:family w:val="modern"/>
    <w:pitch w:val="default"/>
    <w:sig w:usb0="800002BF" w:usb1="38CF7CFA" w:usb2="00000016" w:usb3="00000000" w:csb0="00040001" w:csb1="00000000"/>
    <w:embedRegular r:id="rId5" w:fontKey="{C9421CEB-B86E-49C2-BF64-19A4026982C2}"/>
  </w:font>
  <w:font w:name="微软雅黑">
    <w:panose1 w:val="020B0503020204020204"/>
    <w:charset w:val="86"/>
    <w:family w:val="swiss"/>
    <w:pitch w:val="default"/>
    <w:sig w:usb0="80000287" w:usb1="280F3C52" w:usb2="00000016" w:usb3="00000000" w:csb0="0004001F" w:csb1="00000000"/>
    <w:embedRegular r:id="rId6" w:fontKey="{8EAE6B3F-E832-4F05-B3EE-F9628E0F7F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4FA9A"/>
    <w:multiLevelType w:val="singleLevel"/>
    <w:tmpl w:val="61B4FA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368D7"/>
    <w:rsid w:val="01A46E81"/>
    <w:rsid w:val="01A623C8"/>
    <w:rsid w:val="01BF0D4F"/>
    <w:rsid w:val="01E8403E"/>
    <w:rsid w:val="02063A1B"/>
    <w:rsid w:val="02361C42"/>
    <w:rsid w:val="02D35CBE"/>
    <w:rsid w:val="02D77746"/>
    <w:rsid w:val="0392046B"/>
    <w:rsid w:val="040F28FB"/>
    <w:rsid w:val="041E0DA1"/>
    <w:rsid w:val="042867B7"/>
    <w:rsid w:val="04A31294"/>
    <w:rsid w:val="04F00A7E"/>
    <w:rsid w:val="05644D25"/>
    <w:rsid w:val="073150CB"/>
    <w:rsid w:val="07413D5F"/>
    <w:rsid w:val="07ED1362"/>
    <w:rsid w:val="08710B5C"/>
    <w:rsid w:val="08E765C7"/>
    <w:rsid w:val="09561DCD"/>
    <w:rsid w:val="0994337B"/>
    <w:rsid w:val="0A041D2E"/>
    <w:rsid w:val="0AA10FA7"/>
    <w:rsid w:val="0B542835"/>
    <w:rsid w:val="0B83439A"/>
    <w:rsid w:val="0CAB40D9"/>
    <w:rsid w:val="0CBA553B"/>
    <w:rsid w:val="0CF026BE"/>
    <w:rsid w:val="0D1A4925"/>
    <w:rsid w:val="0D563352"/>
    <w:rsid w:val="0D697848"/>
    <w:rsid w:val="0D6C4681"/>
    <w:rsid w:val="0D741596"/>
    <w:rsid w:val="0DA45B0A"/>
    <w:rsid w:val="0DEB00B1"/>
    <w:rsid w:val="0E2813A4"/>
    <w:rsid w:val="0EBF06C1"/>
    <w:rsid w:val="0EF313EF"/>
    <w:rsid w:val="0F4017E6"/>
    <w:rsid w:val="0F702C9C"/>
    <w:rsid w:val="10133F5C"/>
    <w:rsid w:val="103F1C12"/>
    <w:rsid w:val="10D7221E"/>
    <w:rsid w:val="11657463"/>
    <w:rsid w:val="119B72FA"/>
    <w:rsid w:val="11C9025A"/>
    <w:rsid w:val="11CA0265"/>
    <w:rsid w:val="11F80602"/>
    <w:rsid w:val="121B0636"/>
    <w:rsid w:val="122D594E"/>
    <w:rsid w:val="127B481B"/>
    <w:rsid w:val="12E11867"/>
    <w:rsid w:val="132419A2"/>
    <w:rsid w:val="1362338A"/>
    <w:rsid w:val="13767131"/>
    <w:rsid w:val="13A771A2"/>
    <w:rsid w:val="13AD6FDE"/>
    <w:rsid w:val="13EF7B19"/>
    <w:rsid w:val="147368D7"/>
    <w:rsid w:val="148E150D"/>
    <w:rsid w:val="14AA1336"/>
    <w:rsid w:val="14EC37D7"/>
    <w:rsid w:val="14FF125B"/>
    <w:rsid w:val="151171BB"/>
    <w:rsid w:val="15213503"/>
    <w:rsid w:val="15303B52"/>
    <w:rsid w:val="15900255"/>
    <w:rsid w:val="15DF52FD"/>
    <w:rsid w:val="15F246D9"/>
    <w:rsid w:val="160F41CE"/>
    <w:rsid w:val="16903766"/>
    <w:rsid w:val="17A446B2"/>
    <w:rsid w:val="17D368E6"/>
    <w:rsid w:val="181801FD"/>
    <w:rsid w:val="182A414F"/>
    <w:rsid w:val="19B747DD"/>
    <w:rsid w:val="19C3701E"/>
    <w:rsid w:val="19D52E6E"/>
    <w:rsid w:val="1A301D63"/>
    <w:rsid w:val="1AB4007A"/>
    <w:rsid w:val="1AD34AD6"/>
    <w:rsid w:val="1AEC18C2"/>
    <w:rsid w:val="1B466A70"/>
    <w:rsid w:val="1B4F1DD2"/>
    <w:rsid w:val="1BCC5D86"/>
    <w:rsid w:val="1C267D9C"/>
    <w:rsid w:val="1C5A52A2"/>
    <w:rsid w:val="1CB1135F"/>
    <w:rsid w:val="1D0F5C7B"/>
    <w:rsid w:val="1D3E4170"/>
    <w:rsid w:val="1D9A0BBD"/>
    <w:rsid w:val="1DC559BF"/>
    <w:rsid w:val="1DC67E67"/>
    <w:rsid w:val="1DEA3885"/>
    <w:rsid w:val="1E1B5EFE"/>
    <w:rsid w:val="1E375045"/>
    <w:rsid w:val="1ED72DBD"/>
    <w:rsid w:val="1F08644E"/>
    <w:rsid w:val="20B21AB4"/>
    <w:rsid w:val="20B340CF"/>
    <w:rsid w:val="20E57778"/>
    <w:rsid w:val="20FD5DD3"/>
    <w:rsid w:val="21181AD7"/>
    <w:rsid w:val="213B0F11"/>
    <w:rsid w:val="216368EE"/>
    <w:rsid w:val="21BB304A"/>
    <w:rsid w:val="21E77A3E"/>
    <w:rsid w:val="229A14ED"/>
    <w:rsid w:val="22D35BBD"/>
    <w:rsid w:val="23554439"/>
    <w:rsid w:val="237951D4"/>
    <w:rsid w:val="238C7949"/>
    <w:rsid w:val="23E97842"/>
    <w:rsid w:val="24754171"/>
    <w:rsid w:val="24E54860"/>
    <w:rsid w:val="25A509D3"/>
    <w:rsid w:val="262A094B"/>
    <w:rsid w:val="265B02D8"/>
    <w:rsid w:val="266C00DD"/>
    <w:rsid w:val="26736364"/>
    <w:rsid w:val="27176CAA"/>
    <w:rsid w:val="2739506D"/>
    <w:rsid w:val="275C1E14"/>
    <w:rsid w:val="27C64494"/>
    <w:rsid w:val="28425304"/>
    <w:rsid w:val="28963504"/>
    <w:rsid w:val="28B83B0B"/>
    <w:rsid w:val="28D73F75"/>
    <w:rsid w:val="28F323D9"/>
    <w:rsid w:val="29D9648F"/>
    <w:rsid w:val="2A390CB5"/>
    <w:rsid w:val="2AC82C7C"/>
    <w:rsid w:val="2ACF2321"/>
    <w:rsid w:val="2AEA1519"/>
    <w:rsid w:val="2AF66523"/>
    <w:rsid w:val="2B793D5A"/>
    <w:rsid w:val="2C076061"/>
    <w:rsid w:val="2C61251A"/>
    <w:rsid w:val="2CB35C4E"/>
    <w:rsid w:val="2D126C55"/>
    <w:rsid w:val="2D1E62B9"/>
    <w:rsid w:val="2D1F4C99"/>
    <w:rsid w:val="2D3E020E"/>
    <w:rsid w:val="2D476B73"/>
    <w:rsid w:val="2D5B01B2"/>
    <w:rsid w:val="2DF0374C"/>
    <w:rsid w:val="2E136911"/>
    <w:rsid w:val="2E782B69"/>
    <w:rsid w:val="2F2165CC"/>
    <w:rsid w:val="2F430F1C"/>
    <w:rsid w:val="2F462B7A"/>
    <w:rsid w:val="2F793438"/>
    <w:rsid w:val="2F7C550D"/>
    <w:rsid w:val="2FA61351"/>
    <w:rsid w:val="2FDB5564"/>
    <w:rsid w:val="2FDD403B"/>
    <w:rsid w:val="2FE3049D"/>
    <w:rsid w:val="30367AC0"/>
    <w:rsid w:val="30387C86"/>
    <w:rsid w:val="30C70DFF"/>
    <w:rsid w:val="319B6A14"/>
    <w:rsid w:val="31C02F7E"/>
    <w:rsid w:val="32133256"/>
    <w:rsid w:val="32E70C16"/>
    <w:rsid w:val="3343497F"/>
    <w:rsid w:val="341E23D0"/>
    <w:rsid w:val="34AF3090"/>
    <w:rsid w:val="354C2BD0"/>
    <w:rsid w:val="35854D06"/>
    <w:rsid w:val="35D2008D"/>
    <w:rsid w:val="362C1170"/>
    <w:rsid w:val="37332F87"/>
    <w:rsid w:val="3738326E"/>
    <w:rsid w:val="37A61061"/>
    <w:rsid w:val="38012E9B"/>
    <w:rsid w:val="388E799A"/>
    <w:rsid w:val="39176AE1"/>
    <w:rsid w:val="39603110"/>
    <w:rsid w:val="399F1518"/>
    <w:rsid w:val="3A201A28"/>
    <w:rsid w:val="3A2C7988"/>
    <w:rsid w:val="3A46220B"/>
    <w:rsid w:val="3C45187D"/>
    <w:rsid w:val="3CA02EC8"/>
    <w:rsid w:val="3CCD568B"/>
    <w:rsid w:val="3D195550"/>
    <w:rsid w:val="3D466BC4"/>
    <w:rsid w:val="3DB94986"/>
    <w:rsid w:val="3E2028AE"/>
    <w:rsid w:val="3E6503EF"/>
    <w:rsid w:val="3E6E455C"/>
    <w:rsid w:val="3EF76A0E"/>
    <w:rsid w:val="3F58141A"/>
    <w:rsid w:val="41274EFE"/>
    <w:rsid w:val="412E08AE"/>
    <w:rsid w:val="414A1EE8"/>
    <w:rsid w:val="4155207A"/>
    <w:rsid w:val="41590ECF"/>
    <w:rsid w:val="419C4E41"/>
    <w:rsid w:val="419F55ED"/>
    <w:rsid w:val="41EA583F"/>
    <w:rsid w:val="43B63EB2"/>
    <w:rsid w:val="44084EE3"/>
    <w:rsid w:val="44137AF7"/>
    <w:rsid w:val="44DC6339"/>
    <w:rsid w:val="44EE1405"/>
    <w:rsid w:val="44FD53AC"/>
    <w:rsid w:val="45264754"/>
    <w:rsid w:val="45692880"/>
    <w:rsid w:val="459511C8"/>
    <w:rsid w:val="45953C3D"/>
    <w:rsid w:val="45B838FA"/>
    <w:rsid w:val="45EC3440"/>
    <w:rsid w:val="465B66B3"/>
    <w:rsid w:val="46602322"/>
    <w:rsid w:val="4686022F"/>
    <w:rsid w:val="478B1008"/>
    <w:rsid w:val="47FE2499"/>
    <w:rsid w:val="481E4AB5"/>
    <w:rsid w:val="4884323F"/>
    <w:rsid w:val="490049B8"/>
    <w:rsid w:val="494E3017"/>
    <w:rsid w:val="49D900A1"/>
    <w:rsid w:val="4A0E716E"/>
    <w:rsid w:val="4A7B1B31"/>
    <w:rsid w:val="4A9B2A04"/>
    <w:rsid w:val="4AA40947"/>
    <w:rsid w:val="4ABB0479"/>
    <w:rsid w:val="4BB1763C"/>
    <w:rsid w:val="4C1A4AC1"/>
    <w:rsid w:val="4C340E65"/>
    <w:rsid w:val="4D1E19DE"/>
    <w:rsid w:val="4D366A0F"/>
    <w:rsid w:val="4DBC11C2"/>
    <w:rsid w:val="4DC161D5"/>
    <w:rsid w:val="4E9F4ADE"/>
    <w:rsid w:val="4F012311"/>
    <w:rsid w:val="4F0A5FA8"/>
    <w:rsid w:val="4F482C8B"/>
    <w:rsid w:val="4FA87546"/>
    <w:rsid w:val="508653C9"/>
    <w:rsid w:val="5167023D"/>
    <w:rsid w:val="51766728"/>
    <w:rsid w:val="51A75CE1"/>
    <w:rsid w:val="51B37C34"/>
    <w:rsid w:val="51E70169"/>
    <w:rsid w:val="52276570"/>
    <w:rsid w:val="532D3EA0"/>
    <w:rsid w:val="538C0D54"/>
    <w:rsid w:val="539305DE"/>
    <w:rsid w:val="54190342"/>
    <w:rsid w:val="54897F70"/>
    <w:rsid w:val="549F4920"/>
    <w:rsid w:val="54A30187"/>
    <w:rsid w:val="55335F45"/>
    <w:rsid w:val="55605DF8"/>
    <w:rsid w:val="56E44066"/>
    <w:rsid w:val="56FC0D4C"/>
    <w:rsid w:val="57013FB6"/>
    <w:rsid w:val="57076CD9"/>
    <w:rsid w:val="575E046E"/>
    <w:rsid w:val="578C4B9A"/>
    <w:rsid w:val="5796476A"/>
    <w:rsid w:val="585417C9"/>
    <w:rsid w:val="586C217E"/>
    <w:rsid w:val="58FD4CD1"/>
    <w:rsid w:val="591A7197"/>
    <w:rsid w:val="591F2080"/>
    <w:rsid w:val="59560A64"/>
    <w:rsid w:val="59633496"/>
    <w:rsid w:val="59661DA1"/>
    <w:rsid w:val="59707684"/>
    <w:rsid w:val="59B53FA5"/>
    <w:rsid w:val="59CD7DD9"/>
    <w:rsid w:val="59FF15C9"/>
    <w:rsid w:val="5ACE70B0"/>
    <w:rsid w:val="5AF24DDF"/>
    <w:rsid w:val="5B523C21"/>
    <w:rsid w:val="5B5304D8"/>
    <w:rsid w:val="5BC57125"/>
    <w:rsid w:val="5C4E0AC7"/>
    <w:rsid w:val="5C6F7F13"/>
    <w:rsid w:val="5C776531"/>
    <w:rsid w:val="5CEB1F4E"/>
    <w:rsid w:val="5DCE0A54"/>
    <w:rsid w:val="5E3560EE"/>
    <w:rsid w:val="5ED4207A"/>
    <w:rsid w:val="5EE7632A"/>
    <w:rsid w:val="5F050513"/>
    <w:rsid w:val="60010A57"/>
    <w:rsid w:val="60250AAD"/>
    <w:rsid w:val="60BD0027"/>
    <w:rsid w:val="61032B35"/>
    <w:rsid w:val="617F6FAF"/>
    <w:rsid w:val="61AC526D"/>
    <w:rsid w:val="61B157C0"/>
    <w:rsid w:val="61FC6BF2"/>
    <w:rsid w:val="62503A13"/>
    <w:rsid w:val="625F0849"/>
    <w:rsid w:val="62C536DA"/>
    <w:rsid w:val="62F65CE9"/>
    <w:rsid w:val="6303069D"/>
    <w:rsid w:val="6363141E"/>
    <w:rsid w:val="6387043B"/>
    <w:rsid w:val="63D44D06"/>
    <w:rsid w:val="641B6DF2"/>
    <w:rsid w:val="64B05B79"/>
    <w:rsid w:val="64D37193"/>
    <w:rsid w:val="64E87717"/>
    <w:rsid w:val="66033718"/>
    <w:rsid w:val="66046FF0"/>
    <w:rsid w:val="664C2633"/>
    <w:rsid w:val="668374B8"/>
    <w:rsid w:val="68D415AC"/>
    <w:rsid w:val="690F6128"/>
    <w:rsid w:val="695C2E6B"/>
    <w:rsid w:val="69A10DC8"/>
    <w:rsid w:val="6B1062AF"/>
    <w:rsid w:val="6B360633"/>
    <w:rsid w:val="6C362BCA"/>
    <w:rsid w:val="6C8A270F"/>
    <w:rsid w:val="6D041A37"/>
    <w:rsid w:val="6D215576"/>
    <w:rsid w:val="6D723FB8"/>
    <w:rsid w:val="6DD13A6A"/>
    <w:rsid w:val="6EA244FA"/>
    <w:rsid w:val="6EA44C4F"/>
    <w:rsid w:val="700F181F"/>
    <w:rsid w:val="708F5EF5"/>
    <w:rsid w:val="70974B1B"/>
    <w:rsid w:val="70BC1370"/>
    <w:rsid w:val="70D5239D"/>
    <w:rsid w:val="70E247DF"/>
    <w:rsid w:val="70E908CB"/>
    <w:rsid w:val="710C5557"/>
    <w:rsid w:val="711469B9"/>
    <w:rsid w:val="71252A2C"/>
    <w:rsid w:val="715E1569"/>
    <w:rsid w:val="7187322A"/>
    <w:rsid w:val="71A76A8D"/>
    <w:rsid w:val="71D475E7"/>
    <w:rsid w:val="71DE66E2"/>
    <w:rsid w:val="73BF1CDF"/>
    <w:rsid w:val="74675795"/>
    <w:rsid w:val="74AB547F"/>
    <w:rsid w:val="7516652B"/>
    <w:rsid w:val="75BD719D"/>
    <w:rsid w:val="768C369D"/>
    <w:rsid w:val="76C12004"/>
    <w:rsid w:val="76E60A48"/>
    <w:rsid w:val="77091C60"/>
    <w:rsid w:val="775207AF"/>
    <w:rsid w:val="77AA4547"/>
    <w:rsid w:val="77F67FA3"/>
    <w:rsid w:val="78C51A41"/>
    <w:rsid w:val="797D42EE"/>
    <w:rsid w:val="79DA00F3"/>
    <w:rsid w:val="79F92A90"/>
    <w:rsid w:val="7A465C9D"/>
    <w:rsid w:val="7A734717"/>
    <w:rsid w:val="7A9C4736"/>
    <w:rsid w:val="7B6816C6"/>
    <w:rsid w:val="7BE61C8F"/>
    <w:rsid w:val="7BF335FF"/>
    <w:rsid w:val="7C3C5867"/>
    <w:rsid w:val="7C4A1508"/>
    <w:rsid w:val="7CDF3ED5"/>
    <w:rsid w:val="7DBC688D"/>
    <w:rsid w:val="7DE349D2"/>
    <w:rsid w:val="7E640A63"/>
    <w:rsid w:val="7EC9568B"/>
    <w:rsid w:val="7ED1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6">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200" w:leftChars="200" w:firstLine="420"/>
    </w:pPr>
    <w:rPr>
      <w:rFonts w:ascii="Times New Roman"/>
    </w:rPr>
  </w:style>
  <w:style w:type="paragraph" w:customStyle="1" w:styleId="3">
    <w:name w:val="正文文本缩进1"/>
    <w:basedOn w:val="1"/>
    <w:qFormat/>
    <w:uiPriority w:val="0"/>
    <w:pPr>
      <w:ind w:firstLine="640" w:firstLineChars="200"/>
    </w:pPr>
    <w:rPr>
      <w:rFonts w:cs="Times New Roman"/>
      <w:kern w:val="0"/>
      <w:sz w:val="20"/>
    </w:rPr>
  </w:style>
  <w:style w:type="paragraph" w:styleId="7">
    <w:name w:val="annotation text"/>
    <w:basedOn w:val="1"/>
    <w:qFormat/>
    <w:uiPriority w:val="0"/>
    <w:pPr>
      <w:jc w:val="left"/>
    </w:pPr>
  </w:style>
  <w:style w:type="paragraph" w:styleId="8">
    <w:name w:val="Body Text"/>
    <w:basedOn w:val="1"/>
    <w:qFormat/>
    <w:uiPriority w:val="0"/>
    <w:pPr>
      <w:jc w:val="center"/>
    </w:pPr>
    <w:rPr>
      <w:rFonts w:eastAsia="黑体"/>
      <w:sz w:val="4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qFormat/>
    <w:uiPriority w:val="0"/>
    <w:pPr>
      <w:widowControl/>
      <w:spacing w:line="270" w:lineRule="atLeast"/>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u w:val="single"/>
    </w:rPr>
  </w:style>
  <w:style w:type="character" w:styleId="17">
    <w:name w:val="annotation reference"/>
    <w:basedOn w:val="15"/>
    <w:unhideWhenUsed/>
    <w:qFormat/>
    <w:uiPriority w:val="99"/>
    <w:rPr>
      <w:sz w:val="21"/>
      <w:szCs w:val="21"/>
    </w:rPr>
  </w:style>
  <w:style w:type="paragraph" w:customStyle="1" w:styleId="18">
    <w:name w:val="样式3"/>
    <w:basedOn w:val="1"/>
    <w:qFormat/>
    <w:uiPriority w:val="0"/>
    <w:pPr>
      <w:spacing w:beforeLines="50" w:afterLines="50" w:line="360" w:lineRule="auto"/>
      <w:ind w:firstLine="643" w:firstLineChars="200"/>
    </w:pPr>
    <w:rPr>
      <w:rFonts w:ascii="Times New Roman" w:hAnsi="Times New Roman" w:eastAsia="楷体"/>
      <w:b/>
      <w:sz w:val="24"/>
    </w:rPr>
  </w:style>
  <w:style w:type="paragraph" w:customStyle="1" w:styleId="19">
    <w:name w:val="样式4"/>
    <w:basedOn w:val="20"/>
    <w:qFormat/>
    <w:uiPriority w:val="0"/>
    <w:pPr>
      <w:spacing w:line="300" w:lineRule="auto"/>
    </w:pPr>
    <w:rPr>
      <w:rFonts w:eastAsia="黑体"/>
      <w:b w:val="0"/>
      <w:sz w:val="32"/>
    </w:rPr>
  </w:style>
  <w:style w:type="paragraph" w:customStyle="1" w:styleId="20">
    <w:name w:val="样式2"/>
    <w:basedOn w:val="12"/>
    <w:qFormat/>
    <w:uiPriority w:val="0"/>
    <w:pPr>
      <w:spacing w:beforeLines="50" w:afterLines="50" w:line="360" w:lineRule="auto"/>
      <w:ind w:firstLine="643" w:firstLineChars="200"/>
    </w:pPr>
    <w:rPr>
      <w:rFonts w:ascii="Times New Roman" w:hAnsi="Times New Roman" w:eastAsia="楷体" w:cs="Times New Roman"/>
      <w:b/>
      <w:sz w:val="28"/>
      <w:szCs w:val="20"/>
    </w:rPr>
  </w:style>
  <w:style w:type="character" w:customStyle="1" w:styleId="21">
    <w:name w:val="标题 2 Char"/>
    <w:link w:val="5"/>
    <w:qFormat/>
    <w:uiPriority w:val="0"/>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2020-11-24T09:45:00Z</dcterms:created>
  <dc:creator>张文霞</dc:creator>
  <cp:lastModifiedBy>天真</cp:lastModifiedBy>
  <dcterms:modified xsi:type="dcterms:W3CDTF">2021-12-27T02:20:42Z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2A518EA2D9514B97BAECBBD9E67383BA</vt:lpwstr>
  </property>
</Properties>
</file>