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2D0089">
      <w:pPr>
        <w:pStyle w:val="9"/>
        <w:outlineLvl w:val="9"/>
        <w:rPr>
          <w:rFonts w:hint="default" w:ascii="Times New Roman" w:hAnsi="Times New Roman" w:cs="Times New Roman"/>
          <w:color w:val="auto"/>
          <w:sz w:val="28"/>
          <w:szCs w:val="28"/>
          <w:highlight w:val="none"/>
        </w:rPr>
      </w:pPr>
    </w:p>
    <w:p w14:paraId="3A0A8093">
      <w:pPr>
        <w:spacing w:line="240" w:lineRule="auto"/>
        <w:ind w:firstLine="0" w:firstLineChars="0"/>
        <w:jc w:val="center"/>
        <w:outlineLvl w:val="9"/>
        <w:rPr>
          <w:rFonts w:hint="default" w:ascii="Times New Roman" w:hAnsi="Times New Roman" w:eastAsia="宋体" w:cs="Times New Roman"/>
          <w:b/>
          <w:snapToGrid w:val="0"/>
          <w:color w:val="auto"/>
          <w:sz w:val="44"/>
          <w:szCs w:val="44"/>
          <w:highlight w:val="none"/>
          <w:lang w:val="en-US" w:bidi="ar"/>
        </w:rPr>
      </w:pPr>
      <w:r>
        <w:rPr>
          <w:rFonts w:hint="default" w:ascii="Times New Roman" w:hAnsi="Times New Roman" w:cs="Times New Roman"/>
          <w:b/>
          <w:snapToGrid w:val="0"/>
          <w:color w:val="auto"/>
          <w:sz w:val="44"/>
          <w:szCs w:val="44"/>
          <w:highlight w:val="none"/>
          <w:lang w:val="en-US" w:eastAsia="zh-CN" w:bidi="ar"/>
        </w:rPr>
        <w:t>茹河支流河道生态综合治理项目（红茹河土地综合整治单元）—彭阳县茹河（小河段）河道治理工程</w:t>
      </w:r>
    </w:p>
    <w:p w14:paraId="3138D8AB">
      <w:pPr>
        <w:spacing w:line="240" w:lineRule="auto"/>
        <w:ind w:firstLine="0" w:firstLineChars="0"/>
        <w:jc w:val="center"/>
        <w:outlineLvl w:val="9"/>
        <w:rPr>
          <w:rFonts w:hint="default" w:ascii="Times New Roman" w:hAnsi="Times New Roman" w:eastAsia="宋体" w:cs="Times New Roman"/>
          <w:b/>
          <w:snapToGrid w:val="0"/>
          <w:color w:val="auto"/>
          <w:sz w:val="108"/>
          <w:szCs w:val="108"/>
          <w:highlight w:val="none"/>
          <w:lang w:val="en-US" w:bidi="ar"/>
        </w:rPr>
      </w:pPr>
      <w:bookmarkStart w:id="0" w:name="_Toc10651"/>
      <w:bookmarkStart w:id="1" w:name="_Toc10033"/>
      <w:r>
        <w:rPr>
          <w:rFonts w:hint="default" w:ascii="Times New Roman" w:hAnsi="Times New Roman" w:eastAsia="宋体" w:cs="Times New Roman"/>
          <w:b/>
          <w:snapToGrid w:val="0"/>
          <w:color w:val="auto"/>
          <w:sz w:val="108"/>
          <w:szCs w:val="108"/>
          <w:highlight w:val="none"/>
          <w:lang w:val="en-US" w:eastAsia="zh-CN" w:bidi="ar"/>
        </w:rPr>
        <w:t>环境影响报告书</w:t>
      </w:r>
      <w:bookmarkEnd w:id="0"/>
      <w:bookmarkEnd w:id="1"/>
    </w:p>
    <w:p w14:paraId="161FB7AC">
      <w:pPr>
        <w:keepNext w:val="0"/>
        <w:keepLines w:val="0"/>
        <w:widowControl w:val="0"/>
        <w:suppressLineNumbers w:val="0"/>
        <w:spacing w:before="0" w:beforeAutospacing="0" w:after="0" w:afterAutospacing="0"/>
        <w:ind w:left="0" w:right="0"/>
        <w:jc w:val="center"/>
        <w:outlineLvl w:val="9"/>
        <w:rPr>
          <w:rFonts w:hint="default" w:ascii="Times New Roman" w:hAnsi="Times New Roman" w:eastAsia="宋体" w:cs="Times New Roman"/>
          <w:b/>
          <w:bCs w:val="0"/>
          <w:snapToGrid w:val="0"/>
          <w:color w:val="auto"/>
          <w:spacing w:val="4"/>
          <w:sz w:val="28"/>
          <w:szCs w:val="28"/>
          <w:highlight w:val="none"/>
          <w:lang w:val="en-US" w:bidi="ar"/>
        </w:rPr>
      </w:pPr>
      <w:bookmarkStart w:id="2" w:name="_Toc10543"/>
      <w:bookmarkStart w:id="3" w:name="_Toc16006"/>
      <w:r>
        <w:rPr>
          <w:rFonts w:hint="default" w:ascii="Times New Roman" w:hAnsi="Times New Roman" w:eastAsia="宋体" w:cs="Times New Roman"/>
          <w:b/>
          <w:bCs w:val="0"/>
          <w:snapToGrid w:val="0"/>
          <w:color w:val="auto"/>
          <w:spacing w:val="4"/>
          <w:kern w:val="2"/>
          <w:sz w:val="28"/>
          <w:szCs w:val="28"/>
          <w:highlight w:val="none"/>
          <w:lang w:val="en-US" w:eastAsia="zh-CN" w:bidi="ar"/>
        </w:rPr>
        <w:t>（</w:t>
      </w:r>
      <w:r>
        <w:rPr>
          <w:rFonts w:hint="eastAsia" w:cs="Times New Roman"/>
          <w:b/>
          <w:bCs w:val="0"/>
          <w:snapToGrid w:val="0"/>
          <w:color w:val="auto"/>
          <w:spacing w:val="4"/>
          <w:kern w:val="2"/>
          <w:sz w:val="28"/>
          <w:szCs w:val="28"/>
          <w:highlight w:val="none"/>
          <w:lang w:val="en-US" w:eastAsia="zh-CN" w:bidi="ar"/>
        </w:rPr>
        <w:t>送审</w:t>
      </w:r>
      <w:r>
        <w:rPr>
          <w:rFonts w:hint="default" w:ascii="Times New Roman" w:hAnsi="Times New Roman" w:eastAsia="宋体" w:cs="Times New Roman"/>
          <w:b/>
          <w:bCs w:val="0"/>
          <w:snapToGrid w:val="0"/>
          <w:color w:val="auto"/>
          <w:spacing w:val="4"/>
          <w:kern w:val="2"/>
          <w:sz w:val="28"/>
          <w:szCs w:val="28"/>
          <w:highlight w:val="none"/>
          <w:lang w:val="en-US" w:eastAsia="zh-CN" w:bidi="ar"/>
        </w:rPr>
        <w:t>稿）</w:t>
      </w:r>
      <w:bookmarkEnd w:id="2"/>
      <w:bookmarkEnd w:id="3"/>
    </w:p>
    <w:p w14:paraId="1410C331">
      <w:pPr>
        <w:keepNext w:val="0"/>
        <w:keepLines w:val="0"/>
        <w:widowControl w:val="0"/>
        <w:suppressLineNumbers w:val="0"/>
        <w:spacing w:before="0" w:beforeAutospacing="0" w:after="0" w:afterAutospacing="0"/>
        <w:ind w:left="0" w:right="0"/>
        <w:jc w:val="both"/>
        <w:outlineLvl w:val="9"/>
        <w:rPr>
          <w:rFonts w:hint="default" w:ascii="Times New Roman" w:hAnsi="Times New Roman" w:eastAsia="宋体" w:cs="Times New Roman"/>
          <w:b/>
          <w:snapToGrid w:val="0"/>
          <w:color w:val="auto"/>
          <w:spacing w:val="4"/>
          <w:sz w:val="28"/>
          <w:szCs w:val="28"/>
          <w:highlight w:val="none"/>
          <w:lang w:val="en-US"/>
        </w:rPr>
      </w:pPr>
    </w:p>
    <w:p w14:paraId="0BEF4586">
      <w:pPr>
        <w:keepNext w:val="0"/>
        <w:keepLines w:val="0"/>
        <w:widowControl w:val="0"/>
        <w:suppressLineNumbers w:val="0"/>
        <w:spacing w:before="0" w:beforeAutospacing="0" w:after="0" w:afterAutospacing="0"/>
        <w:ind w:left="0" w:right="0"/>
        <w:jc w:val="both"/>
        <w:outlineLvl w:val="9"/>
        <w:rPr>
          <w:rFonts w:hint="default" w:ascii="Times New Roman" w:hAnsi="Times New Roman" w:eastAsia="宋体" w:cs="Times New Roman"/>
          <w:b/>
          <w:snapToGrid w:val="0"/>
          <w:color w:val="auto"/>
          <w:spacing w:val="4"/>
          <w:sz w:val="28"/>
          <w:szCs w:val="28"/>
          <w:highlight w:val="none"/>
          <w:lang w:val="en-US"/>
        </w:rPr>
      </w:pPr>
    </w:p>
    <w:p w14:paraId="1D56402D">
      <w:pPr>
        <w:keepNext w:val="0"/>
        <w:keepLines w:val="0"/>
        <w:widowControl w:val="0"/>
        <w:suppressLineNumbers w:val="0"/>
        <w:spacing w:before="0" w:beforeAutospacing="0" w:after="0" w:afterAutospacing="0"/>
        <w:ind w:left="0" w:right="0"/>
        <w:jc w:val="both"/>
        <w:outlineLvl w:val="9"/>
        <w:rPr>
          <w:rFonts w:hint="default" w:ascii="Times New Roman" w:hAnsi="Times New Roman" w:eastAsia="宋体" w:cs="Times New Roman"/>
          <w:b/>
          <w:snapToGrid w:val="0"/>
          <w:color w:val="auto"/>
          <w:spacing w:val="4"/>
          <w:sz w:val="28"/>
          <w:szCs w:val="28"/>
          <w:highlight w:val="none"/>
          <w:lang w:val="en-US"/>
        </w:rPr>
      </w:pPr>
    </w:p>
    <w:p w14:paraId="5C3EB3D8">
      <w:pPr>
        <w:keepNext w:val="0"/>
        <w:keepLines w:val="0"/>
        <w:widowControl w:val="0"/>
        <w:suppressLineNumbers w:val="0"/>
        <w:spacing w:before="0" w:beforeAutospacing="0" w:after="0" w:afterAutospacing="0"/>
        <w:ind w:left="0" w:right="0"/>
        <w:jc w:val="both"/>
        <w:outlineLvl w:val="9"/>
        <w:rPr>
          <w:rFonts w:hint="default" w:ascii="Times New Roman" w:hAnsi="Times New Roman" w:eastAsia="宋体" w:cs="Times New Roman"/>
          <w:b/>
          <w:snapToGrid w:val="0"/>
          <w:color w:val="auto"/>
          <w:spacing w:val="4"/>
          <w:sz w:val="28"/>
          <w:szCs w:val="28"/>
          <w:highlight w:val="none"/>
          <w:lang w:val="en-US"/>
        </w:rPr>
      </w:pPr>
    </w:p>
    <w:p w14:paraId="321506B1">
      <w:pPr>
        <w:keepNext w:val="0"/>
        <w:keepLines w:val="0"/>
        <w:widowControl w:val="0"/>
        <w:suppressLineNumbers w:val="0"/>
        <w:spacing w:before="0" w:beforeAutospacing="0" w:after="0" w:afterAutospacing="0"/>
        <w:ind w:left="0" w:right="0"/>
        <w:jc w:val="both"/>
        <w:outlineLvl w:val="9"/>
        <w:rPr>
          <w:rFonts w:hint="default" w:ascii="Times New Roman" w:hAnsi="Times New Roman" w:eastAsia="宋体" w:cs="Times New Roman"/>
          <w:b/>
          <w:snapToGrid w:val="0"/>
          <w:color w:val="auto"/>
          <w:spacing w:val="4"/>
          <w:sz w:val="28"/>
          <w:szCs w:val="28"/>
          <w:highlight w:val="none"/>
          <w:lang w:val="en-US"/>
        </w:rPr>
      </w:pPr>
    </w:p>
    <w:p w14:paraId="462D826D">
      <w:pPr>
        <w:keepNext w:val="0"/>
        <w:keepLines w:val="0"/>
        <w:widowControl w:val="0"/>
        <w:suppressLineNumbers w:val="0"/>
        <w:spacing w:before="0" w:beforeAutospacing="0" w:after="0" w:afterAutospacing="0"/>
        <w:ind w:left="0" w:right="0" w:firstLine="1728" w:firstLineChars="600"/>
        <w:jc w:val="both"/>
        <w:outlineLvl w:val="9"/>
        <w:rPr>
          <w:rFonts w:hint="default" w:ascii="Times New Roman" w:hAnsi="Times New Roman" w:eastAsia="宋体" w:cs="Times New Roman"/>
          <w:snapToGrid w:val="0"/>
          <w:color w:val="auto"/>
          <w:spacing w:val="4"/>
          <w:sz w:val="28"/>
          <w:szCs w:val="28"/>
          <w:highlight w:val="none"/>
          <w:lang w:val="en-US"/>
        </w:rPr>
      </w:pPr>
    </w:p>
    <w:p w14:paraId="3B5E6157">
      <w:pPr>
        <w:keepNext w:val="0"/>
        <w:keepLines w:val="0"/>
        <w:widowControl w:val="0"/>
        <w:suppressLineNumbers w:val="0"/>
        <w:spacing w:before="0" w:beforeAutospacing="0" w:after="0" w:afterAutospacing="0"/>
        <w:ind w:left="0" w:right="0" w:firstLine="1728" w:firstLineChars="600"/>
        <w:jc w:val="both"/>
        <w:outlineLvl w:val="9"/>
        <w:rPr>
          <w:rFonts w:hint="default" w:ascii="Times New Roman" w:hAnsi="Times New Roman" w:eastAsia="宋体" w:cs="Times New Roman"/>
          <w:snapToGrid w:val="0"/>
          <w:color w:val="auto"/>
          <w:spacing w:val="4"/>
          <w:sz w:val="28"/>
          <w:szCs w:val="28"/>
          <w:highlight w:val="none"/>
          <w:lang w:val="en-US"/>
        </w:rPr>
      </w:pPr>
    </w:p>
    <w:p w14:paraId="0479D3F6">
      <w:pPr>
        <w:keepNext w:val="0"/>
        <w:keepLines w:val="0"/>
        <w:widowControl w:val="0"/>
        <w:suppressLineNumbers w:val="0"/>
        <w:spacing w:before="0" w:beforeAutospacing="0" w:after="0" w:afterAutospacing="0"/>
        <w:ind w:left="0" w:right="0" w:firstLine="1728" w:firstLineChars="600"/>
        <w:jc w:val="both"/>
        <w:outlineLvl w:val="9"/>
        <w:rPr>
          <w:rFonts w:hint="default" w:ascii="Times New Roman" w:hAnsi="Times New Roman" w:eastAsia="宋体" w:cs="Times New Roman"/>
          <w:snapToGrid w:val="0"/>
          <w:color w:val="auto"/>
          <w:spacing w:val="4"/>
          <w:sz w:val="28"/>
          <w:szCs w:val="28"/>
          <w:highlight w:val="none"/>
          <w:lang w:val="en-US"/>
        </w:rPr>
      </w:pPr>
    </w:p>
    <w:p w14:paraId="65B6DFB4">
      <w:pPr>
        <w:keepNext w:val="0"/>
        <w:keepLines w:val="0"/>
        <w:widowControl w:val="0"/>
        <w:suppressLineNumbers w:val="0"/>
        <w:spacing w:before="0" w:beforeAutospacing="0" w:after="0" w:afterAutospacing="0"/>
        <w:ind w:left="0" w:right="0" w:firstLine="1728" w:firstLineChars="600"/>
        <w:jc w:val="both"/>
        <w:outlineLvl w:val="9"/>
        <w:rPr>
          <w:rFonts w:hint="default" w:ascii="Times New Roman" w:hAnsi="Times New Roman" w:eastAsia="宋体" w:cs="Times New Roman"/>
          <w:snapToGrid w:val="0"/>
          <w:color w:val="auto"/>
          <w:spacing w:val="4"/>
          <w:sz w:val="28"/>
          <w:szCs w:val="28"/>
          <w:highlight w:val="none"/>
          <w:lang w:val="en-US"/>
        </w:rPr>
      </w:pPr>
    </w:p>
    <w:p w14:paraId="45A24C27">
      <w:pPr>
        <w:pStyle w:val="27"/>
        <w:keepNext w:val="0"/>
        <w:keepLines w:val="0"/>
        <w:widowControl w:val="0"/>
        <w:suppressLineNumbers w:val="0"/>
        <w:spacing w:before="120" w:beforeAutospacing="0" w:after="0" w:afterAutospacing="0"/>
        <w:ind w:left="0" w:right="0" w:firstLine="420"/>
        <w:jc w:val="both"/>
        <w:outlineLvl w:val="9"/>
        <w:rPr>
          <w:rFonts w:hint="default" w:ascii="Times New Roman" w:hAnsi="Times New Roman" w:eastAsia="宋体" w:cs="Times New Roman"/>
          <w:color w:val="auto"/>
          <w:sz w:val="28"/>
          <w:szCs w:val="28"/>
          <w:highlight w:val="none"/>
          <w:lang w:val="en-US"/>
        </w:rPr>
      </w:pPr>
    </w:p>
    <w:p w14:paraId="67C1A14E">
      <w:pPr>
        <w:keepNext w:val="0"/>
        <w:keepLines w:val="0"/>
        <w:widowControl w:val="0"/>
        <w:suppressLineNumbers w:val="0"/>
        <w:spacing w:before="0" w:beforeAutospacing="0" w:after="0" w:afterAutospacing="0"/>
        <w:ind w:left="0" w:right="1473" w:rightChars="614" w:firstLine="1728" w:firstLineChars="600"/>
        <w:jc w:val="distribute"/>
        <w:outlineLvl w:val="9"/>
        <w:rPr>
          <w:rFonts w:hint="default" w:ascii="Times New Roman" w:hAnsi="Times New Roman" w:eastAsia="宋体" w:cs="Times New Roman"/>
          <w:b/>
          <w:bCs w:val="0"/>
          <w:snapToGrid w:val="0"/>
          <w:color w:val="auto"/>
          <w:spacing w:val="4"/>
          <w:sz w:val="28"/>
          <w:szCs w:val="28"/>
          <w:highlight w:val="none"/>
          <w:lang w:val="en-US" w:bidi="ar"/>
        </w:rPr>
      </w:pPr>
      <w:bookmarkStart w:id="4" w:name="_Toc336"/>
      <w:bookmarkStart w:id="5" w:name="_Toc1432"/>
      <w:r>
        <w:rPr>
          <w:rFonts w:hint="default" w:ascii="Times New Roman" w:hAnsi="Times New Roman" w:eastAsia="宋体" w:cs="Times New Roman"/>
          <w:b/>
          <w:bCs w:val="0"/>
          <w:snapToGrid w:val="0"/>
          <w:color w:val="auto"/>
          <w:spacing w:val="4"/>
          <w:kern w:val="2"/>
          <w:sz w:val="28"/>
          <w:szCs w:val="28"/>
          <w:highlight w:val="none"/>
          <w:lang w:val="en-US" w:eastAsia="zh-CN" w:bidi="ar"/>
        </w:rPr>
        <w:t>建设单位：彭阳县水务局</w:t>
      </w:r>
      <w:bookmarkEnd w:id="4"/>
      <w:bookmarkEnd w:id="5"/>
    </w:p>
    <w:p w14:paraId="6670F65B">
      <w:pPr>
        <w:keepNext w:val="0"/>
        <w:keepLines w:val="0"/>
        <w:widowControl w:val="0"/>
        <w:suppressLineNumbers w:val="0"/>
        <w:spacing w:before="0" w:beforeAutospacing="0" w:after="0" w:afterAutospacing="0"/>
        <w:ind w:left="0" w:right="1245" w:rightChars="519" w:firstLine="1728" w:firstLineChars="600"/>
        <w:jc w:val="distribute"/>
        <w:outlineLvl w:val="9"/>
        <w:rPr>
          <w:rFonts w:hint="default" w:ascii="Times New Roman" w:hAnsi="Times New Roman" w:eastAsia="宋体" w:cs="Times New Roman"/>
          <w:b/>
          <w:bCs w:val="0"/>
          <w:snapToGrid w:val="0"/>
          <w:color w:val="auto"/>
          <w:spacing w:val="4"/>
          <w:sz w:val="28"/>
          <w:szCs w:val="28"/>
          <w:highlight w:val="none"/>
          <w:lang w:val="en-US" w:bidi="ar"/>
        </w:rPr>
      </w:pPr>
      <w:bookmarkStart w:id="6" w:name="_Toc24323"/>
      <w:bookmarkStart w:id="7" w:name="_Toc14817"/>
      <w:r>
        <w:rPr>
          <w:rFonts w:hint="default" w:ascii="Times New Roman" w:hAnsi="Times New Roman" w:eastAsia="宋体" w:cs="Times New Roman"/>
          <w:b/>
          <w:bCs w:val="0"/>
          <w:snapToGrid w:val="0"/>
          <w:color w:val="auto"/>
          <w:spacing w:val="4"/>
          <w:kern w:val="2"/>
          <w:sz w:val="28"/>
          <w:szCs w:val="28"/>
          <w:highlight w:val="none"/>
          <w:lang w:val="en-US" w:eastAsia="zh-CN" w:bidi="ar"/>
        </w:rPr>
        <w:t>评价单位：宁夏绿博环保科技有限公司</w:t>
      </w:r>
      <w:bookmarkEnd w:id="6"/>
      <w:bookmarkEnd w:id="7"/>
    </w:p>
    <w:p w14:paraId="1AE9C5EC">
      <w:pPr>
        <w:keepNext w:val="0"/>
        <w:keepLines w:val="0"/>
        <w:widowControl w:val="0"/>
        <w:suppressLineNumbers w:val="0"/>
        <w:spacing w:before="0" w:beforeAutospacing="0" w:after="0" w:afterAutospacing="0"/>
        <w:ind w:left="0" w:right="0"/>
        <w:jc w:val="center"/>
        <w:outlineLvl w:val="9"/>
        <w:rPr>
          <w:rFonts w:hint="default" w:ascii="Times New Roman" w:hAnsi="Times New Roman" w:eastAsia="宋体" w:cs="Times New Roman"/>
          <w:b/>
          <w:snapToGrid w:val="0"/>
          <w:color w:val="auto"/>
          <w:sz w:val="28"/>
          <w:szCs w:val="28"/>
          <w:highlight w:val="none"/>
          <w:lang w:val="en-US"/>
        </w:rPr>
      </w:pPr>
      <w:r>
        <w:rPr>
          <w:rFonts w:hint="default" w:ascii="Times New Roman" w:hAnsi="Times New Roman" w:eastAsia="宋体" w:cs="Times New Roman"/>
          <w:b/>
          <w:snapToGrid w:val="0"/>
          <w:color w:val="auto"/>
          <w:spacing w:val="4"/>
          <w:kern w:val="2"/>
          <w:sz w:val="28"/>
          <w:szCs w:val="28"/>
          <w:highlight w:val="none"/>
          <w:lang w:val="en-US" w:eastAsia="zh-CN" w:bidi="ar"/>
        </w:rPr>
        <w:t>二О二</w:t>
      </w:r>
      <w:r>
        <w:rPr>
          <w:rFonts w:hint="eastAsia" w:cs="Times New Roman"/>
          <w:b/>
          <w:snapToGrid w:val="0"/>
          <w:color w:val="auto"/>
          <w:spacing w:val="4"/>
          <w:kern w:val="2"/>
          <w:sz w:val="28"/>
          <w:szCs w:val="28"/>
          <w:highlight w:val="none"/>
          <w:lang w:val="en-US" w:eastAsia="zh-CN" w:bidi="ar"/>
        </w:rPr>
        <w:t>六</w:t>
      </w:r>
      <w:r>
        <w:rPr>
          <w:rFonts w:hint="default" w:ascii="Times New Roman" w:hAnsi="Times New Roman" w:eastAsia="宋体" w:cs="Times New Roman"/>
          <w:b/>
          <w:snapToGrid w:val="0"/>
          <w:color w:val="auto"/>
          <w:spacing w:val="4"/>
          <w:kern w:val="2"/>
          <w:sz w:val="28"/>
          <w:szCs w:val="28"/>
          <w:highlight w:val="none"/>
          <w:lang w:val="en-US" w:eastAsia="zh-CN" w:bidi="ar"/>
        </w:rPr>
        <w:t>年</w:t>
      </w:r>
      <w:r>
        <w:rPr>
          <w:rFonts w:hint="eastAsia" w:cs="Times New Roman"/>
          <w:b/>
          <w:snapToGrid w:val="0"/>
          <w:color w:val="auto"/>
          <w:spacing w:val="4"/>
          <w:kern w:val="2"/>
          <w:sz w:val="28"/>
          <w:szCs w:val="28"/>
          <w:highlight w:val="none"/>
          <w:lang w:val="en-US" w:eastAsia="zh-CN" w:bidi="ar"/>
        </w:rPr>
        <w:t>二</w:t>
      </w:r>
      <w:r>
        <w:rPr>
          <w:rFonts w:hint="default" w:ascii="Times New Roman" w:hAnsi="Times New Roman" w:eastAsia="宋体" w:cs="Times New Roman"/>
          <w:b/>
          <w:snapToGrid w:val="0"/>
          <w:color w:val="auto"/>
          <w:spacing w:val="4"/>
          <w:kern w:val="2"/>
          <w:sz w:val="28"/>
          <w:szCs w:val="28"/>
          <w:highlight w:val="none"/>
          <w:lang w:val="en-US" w:eastAsia="zh-CN" w:bidi="ar"/>
        </w:rPr>
        <w:t>月</w:t>
      </w:r>
    </w:p>
    <w:p w14:paraId="2A9E07CA">
      <w:pPr>
        <w:outlineLvl w:val="9"/>
        <w:rPr>
          <w:rFonts w:hint="default" w:ascii="Times New Roman" w:hAnsi="Times New Roman" w:eastAsia="宋体" w:cs="Times New Roman"/>
          <w:snapToGrid w:val="0"/>
          <w:color w:val="auto"/>
          <w:kern w:val="2"/>
          <w:sz w:val="28"/>
          <w:szCs w:val="28"/>
          <w:highlight w:val="none"/>
          <w:lang w:val="en-US" w:eastAsia="zh-CN" w:bidi="ar"/>
        </w:rPr>
        <w:sectPr>
          <w:footerReference r:id="rId6" w:type="first"/>
          <w:footerReference r:id="rId5" w:type="default"/>
          <w:pgSz w:w="11906" w:h="16838"/>
          <w:pgMar w:top="1418" w:right="1418" w:bottom="1418" w:left="1418" w:header="851" w:footer="964" w:gutter="0"/>
          <w:pgBorders>
            <w:top w:val="none" w:sz="0" w:space="0"/>
            <w:left w:val="none" w:sz="0" w:space="0"/>
            <w:bottom w:val="none" w:sz="0" w:space="0"/>
            <w:right w:val="none" w:sz="0" w:space="0"/>
          </w:pgBorders>
          <w:cols w:space="425" w:num="1"/>
          <w:titlePg/>
          <w:docGrid w:type="linesAndChars" w:linePitch="312" w:charSpace="0"/>
        </w:sectPr>
      </w:pPr>
    </w:p>
    <w:p w14:paraId="6435AE1E">
      <w:pPr>
        <w:spacing w:line="240" w:lineRule="auto"/>
        <w:ind w:firstLine="0" w:firstLineChars="0"/>
        <w:jc w:val="center"/>
        <w:outlineLvl w:val="9"/>
        <w:rPr>
          <w:rFonts w:hint="default" w:ascii="Times New Roman" w:hAnsi="Times New Roman" w:eastAsia="宋体" w:cs="Times New Roman"/>
          <w:b/>
          <w:snapToGrid w:val="0"/>
          <w:color w:val="auto"/>
          <w:sz w:val="44"/>
          <w:szCs w:val="44"/>
          <w:highlight w:val="none"/>
          <w:lang w:val="en-US" w:eastAsia="zh-CN" w:bidi="ar"/>
        </w:rPr>
      </w:pPr>
      <w:r>
        <w:rPr>
          <w:rFonts w:hint="default" w:ascii="Times New Roman" w:hAnsi="Times New Roman" w:eastAsia="宋体" w:cs="Times New Roman"/>
          <w:b/>
          <w:snapToGrid w:val="0"/>
          <w:color w:val="auto"/>
          <w:sz w:val="44"/>
          <w:szCs w:val="44"/>
          <w:highlight w:val="none"/>
          <w:lang w:val="en-US" w:eastAsia="zh-CN" w:bidi="ar"/>
        </w:rPr>
        <w:t>目录</w:t>
      </w:r>
    </w:p>
    <w:sdt>
      <w:sdtPr>
        <w:rPr>
          <w:rFonts w:ascii="宋体" w:hAnsi="宋体" w:eastAsia="宋体" w:cs="Times New Roman"/>
          <w:color w:val="auto"/>
          <w:kern w:val="2"/>
          <w:sz w:val="21"/>
          <w:szCs w:val="28"/>
          <w:highlight w:val="none"/>
          <w:lang w:val="en-US" w:eastAsia="zh-CN" w:bidi="ar-SA"/>
        </w:rPr>
        <w:id w:val="147472496"/>
        <w15:color w:val="DBDBDB"/>
        <w:docPartObj>
          <w:docPartGallery w:val="Table of Contents"/>
          <w:docPartUnique/>
        </w:docPartObj>
      </w:sdtPr>
      <w:sdtEndPr>
        <w:rPr>
          <w:rFonts w:hint="default" w:ascii="Times New Roman" w:hAnsi="Times New Roman" w:eastAsia="宋体" w:cs="Times New Roman"/>
          <w:snapToGrid w:val="0"/>
          <w:color w:val="auto"/>
          <w:kern w:val="2"/>
          <w:sz w:val="24"/>
          <w:szCs w:val="44"/>
          <w:highlight w:val="none"/>
          <w:lang w:val="en-US" w:eastAsia="zh-CN" w:bidi="ar"/>
        </w:rPr>
      </w:sdtEndPr>
      <w:sdtContent>
        <w:p w14:paraId="30DD6928">
          <w:pPr>
            <w:spacing w:before="0" w:beforeLines="0" w:after="0" w:afterLines="0" w:line="240" w:lineRule="auto"/>
            <w:ind w:left="0" w:leftChars="0" w:right="0" w:rightChars="0" w:firstLine="0" w:firstLineChars="0"/>
            <w:jc w:val="center"/>
            <w:rPr>
              <w:color w:val="auto"/>
              <w:highlight w:val="none"/>
            </w:rPr>
          </w:pPr>
        </w:p>
        <w:p w14:paraId="28B6830E">
          <w:pPr>
            <w:pStyle w:val="21"/>
            <w:keepNext w:val="0"/>
            <w:keepLines w:val="0"/>
            <w:pageBreakBefore w:val="0"/>
            <w:widowControl w:val="0"/>
            <w:tabs>
              <w:tab w:val="right" w:leader="dot" w:pos="9070"/>
            </w:tabs>
            <w:kinsoku/>
            <w:wordWrap/>
            <w:overflowPunct/>
            <w:topLinePunct w:val="0"/>
            <w:autoSpaceDE/>
            <w:autoSpaceDN/>
            <w:bidi w:val="0"/>
            <w:adjustRightInd/>
            <w:snapToGrid/>
            <w:ind w:left="0" w:leftChars="0" w:firstLine="440" w:firstLineChars="100"/>
            <w:textAlignment w:val="auto"/>
            <w:rPr>
              <w:color w:val="auto"/>
              <w:highlight w:val="none"/>
            </w:rPr>
          </w:pPr>
          <w:r>
            <w:rPr>
              <w:rFonts w:hint="default" w:ascii="Times New Roman" w:hAnsi="Times New Roman" w:eastAsia="宋体" w:cs="Times New Roman"/>
              <w:b/>
              <w:snapToGrid w:val="0"/>
              <w:color w:val="auto"/>
              <w:sz w:val="44"/>
              <w:szCs w:val="44"/>
              <w:highlight w:val="none"/>
              <w:lang w:val="en-US" w:eastAsia="zh-CN" w:bidi="ar"/>
            </w:rPr>
            <w:fldChar w:fldCharType="begin"/>
          </w:r>
          <w:r>
            <w:rPr>
              <w:rFonts w:hint="default" w:ascii="Times New Roman" w:hAnsi="Times New Roman" w:eastAsia="宋体" w:cs="Times New Roman"/>
              <w:b/>
              <w:snapToGrid w:val="0"/>
              <w:color w:val="auto"/>
              <w:sz w:val="44"/>
              <w:szCs w:val="44"/>
              <w:highlight w:val="none"/>
              <w:lang w:val="en-US" w:eastAsia="zh-CN" w:bidi="ar"/>
            </w:rPr>
            <w:instrText xml:space="preserve">TOC \o "1-2" \h \u </w:instrText>
          </w:r>
          <w:r>
            <w:rPr>
              <w:rFonts w:hint="default" w:ascii="Times New Roman" w:hAnsi="Times New Roman" w:eastAsia="宋体" w:cs="Times New Roman"/>
              <w:b/>
              <w:snapToGrid w:val="0"/>
              <w:color w:val="auto"/>
              <w:sz w:val="44"/>
              <w:szCs w:val="44"/>
              <w:highlight w:val="none"/>
              <w:lang w:val="en-US" w:eastAsia="zh-CN" w:bidi="ar"/>
            </w:rPr>
            <w:fldChar w:fldCharType="separate"/>
          </w:r>
          <w:r>
            <w:rPr>
              <w:rFonts w:hint="default" w:ascii="Times New Roman" w:hAnsi="Times New Roman" w:eastAsia="宋体" w:cs="Times New Roman"/>
              <w:color w:val="auto"/>
              <w:szCs w:val="28"/>
              <w:highlight w:val="none"/>
              <w:lang w:val="en-US" w:eastAsia="zh-CN"/>
            </w:rPr>
            <w:fldChar w:fldCharType="begin"/>
          </w:r>
          <w:r>
            <w:rPr>
              <w:rFonts w:hint="default" w:ascii="Times New Roman" w:hAnsi="Times New Roman" w:eastAsia="宋体" w:cs="Times New Roman"/>
              <w:color w:val="auto"/>
              <w:szCs w:val="28"/>
              <w:highlight w:val="none"/>
              <w:lang w:val="en-US" w:eastAsia="zh-CN"/>
            </w:rPr>
            <w:instrText xml:space="preserve"> HYPERLINK \l _Toc32391 </w:instrText>
          </w:r>
          <w:r>
            <w:rPr>
              <w:rFonts w:hint="default" w:ascii="Times New Roman" w:hAnsi="Times New Roman" w:eastAsia="宋体" w:cs="Times New Roman"/>
              <w:color w:val="auto"/>
              <w:szCs w:val="28"/>
              <w:highlight w:val="none"/>
              <w:lang w:val="en-US" w:eastAsia="zh-CN"/>
            </w:rPr>
            <w:fldChar w:fldCharType="separate"/>
          </w:r>
          <w:r>
            <w:rPr>
              <w:rFonts w:hint="default" w:ascii="Times New Roman" w:hAnsi="Times New Roman" w:eastAsia="宋体" w:cs="Times New Roman"/>
              <w:color w:val="auto"/>
              <w:szCs w:val="28"/>
              <w:highlight w:val="none"/>
            </w:rPr>
            <w:t>前言</w:t>
          </w:r>
          <w:r>
            <w:rPr>
              <w:rFonts w:hint="default" w:ascii="Times New Roman" w:hAnsi="Times New Roman" w:eastAsia="宋体" w:cs="Times New Roman"/>
              <w:color w:val="auto"/>
              <w:szCs w:val="28"/>
              <w:highlight w:val="none"/>
            </w:rPr>
            <w:tab/>
          </w:r>
          <w:r>
            <w:rPr>
              <w:rFonts w:hint="default" w:ascii="Times New Roman" w:hAnsi="Times New Roman" w:eastAsia="宋体" w:cs="Times New Roman"/>
              <w:color w:val="auto"/>
              <w:szCs w:val="28"/>
              <w:highlight w:val="none"/>
            </w:rPr>
            <w:fldChar w:fldCharType="begin"/>
          </w:r>
          <w:r>
            <w:rPr>
              <w:rFonts w:hint="default" w:ascii="Times New Roman" w:hAnsi="Times New Roman" w:eastAsia="宋体" w:cs="Times New Roman"/>
              <w:color w:val="auto"/>
              <w:szCs w:val="28"/>
              <w:highlight w:val="none"/>
            </w:rPr>
            <w:instrText xml:space="preserve"> PAGEREF _Toc32391 \h </w:instrText>
          </w:r>
          <w:r>
            <w:rPr>
              <w:rFonts w:hint="default" w:ascii="Times New Roman" w:hAnsi="Times New Roman" w:eastAsia="宋体" w:cs="Times New Roman"/>
              <w:color w:val="auto"/>
              <w:szCs w:val="28"/>
              <w:highlight w:val="none"/>
            </w:rPr>
            <w:fldChar w:fldCharType="separate"/>
          </w:r>
          <w:r>
            <w:rPr>
              <w:rFonts w:hint="default" w:ascii="Times New Roman" w:hAnsi="Times New Roman" w:eastAsia="宋体" w:cs="Times New Roman"/>
              <w:color w:val="auto"/>
              <w:szCs w:val="28"/>
              <w:highlight w:val="none"/>
            </w:rPr>
            <w:t>4</w:t>
          </w:r>
          <w:r>
            <w:rPr>
              <w:rFonts w:hint="default" w:ascii="Times New Roman" w:hAnsi="Times New Roman" w:eastAsia="宋体" w:cs="Times New Roman"/>
              <w:color w:val="auto"/>
              <w:szCs w:val="28"/>
              <w:highlight w:val="none"/>
            </w:rPr>
            <w:fldChar w:fldCharType="end"/>
          </w:r>
          <w:r>
            <w:rPr>
              <w:rFonts w:hint="default" w:ascii="Times New Roman" w:hAnsi="Times New Roman" w:eastAsia="宋体" w:cs="Times New Roman"/>
              <w:color w:val="auto"/>
              <w:szCs w:val="28"/>
              <w:highlight w:val="none"/>
              <w:lang w:val="en-US" w:eastAsia="zh-CN"/>
            </w:rPr>
            <w:fldChar w:fldCharType="end"/>
          </w:r>
        </w:p>
        <w:p w14:paraId="7FB577D3">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_Toc17718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1.项目实施背景</w:t>
          </w:r>
          <w:r>
            <w:rPr>
              <w:color w:val="auto"/>
              <w:highlight w:val="none"/>
            </w:rPr>
            <w:tab/>
          </w:r>
          <w:r>
            <w:rPr>
              <w:color w:val="auto"/>
              <w:highlight w:val="none"/>
            </w:rPr>
            <w:fldChar w:fldCharType="begin"/>
          </w:r>
          <w:r>
            <w:rPr>
              <w:color w:val="auto"/>
              <w:highlight w:val="none"/>
            </w:rPr>
            <w:instrText xml:space="preserve"> PAGEREF _Toc17718 \h </w:instrText>
          </w:r>
          <w:r>
            <w:rPr>
              <w:color w:val="auto"/>
              <w:highlight w:val="none"/>
            </w:rPr>
            <w:fldChar w:fldCharType="separate"/>
          </w:r>
          <w:r>
            <w:rPr>
              <w:color w:val="auto"/>
              <w:highlight w:val="none"/>
            </w:rPr>
            <w:t>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86E1466">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_Toc27234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2.建设项目特点</w:t>
          </w:r>
          <w:r>
            <w:rPr>
              <w:color w:val="auto"/>
              <w:highlight w:val="none"/>
            </w:rPr>
            <w:tab/>
          </w:r>
          <w:r>
            <w:rPr>
              <w:color w:val="auto"/>
              <w:highlight w:val="none"/>
            </w:rPr>
            <w:fldChar w:fldCharType="begin"/>
          </w:r>
          <w:r>
            <w:rPr>
              <w:color w:val="auto"/>
              <w:highlight w:val="none"/>
            </w:rPr>
            <w:instrText xml:space="preserve"> PAGEREF _Toc27234 \h </w:instrText>
          </w:r>
          <w:r>
            <w:rPr>
              <w:color w:val="auto"/>
              <w:highlight w:val="none"/>
            </w:rPr>
            <w:fldChar w:fldCharType="separate"/>
          </w:r>
          <w:r>
            <w:rPr>
              <w:color w:val="auto"/>
              <w:highlight w:val="none"/>
            </w:rPr>
            <w:t>5</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15A05B2">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_Toc14348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3.评价工作过程</w:t>
          </w:r>
          <w:r>
            <w:rPr>
              <w:color w:val="auto"/>
              <w:highlight w:val="none"/>
            </w:rPr>
            <w:tab/>
          </w:r>
          <w:r>
            <w:rPr>
              <w:color w:val="auto"/>
              <w:highlight w:val="none"/>
            </w:rPr>
            <w:fldChar w:fldCharType="begin"/>
          </w:r>
          <w:r>
            <w:rPr>
              <w:color w:val="auto"/>
              <w:highlight w:val="none"/>
            </w:rPr>
            <w:instrText xml:space="preserve"> PAGEREF _Toc14348 \h </w:instrText>
          </w:r>
          <w:r>
            <w:rPr>
              <w:color w:val="auto"/>
              <w:highlight w:val="none"/>
            </w:rPr>
            <w:fldChar w:fldCharType="separate"/>
          </w:r>
          <w:r>
            <w:rPr>
              <w:color w:val="auto"/>
              <w:highlight w:val="none"/>
            </w:rPr>
            <w:t>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E6381E7">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_Toc30903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4. 分析判定相关情况</w:t>
          </w:r>
          <w:r>
            <w:rPr>
              <w:color w:val="auto"/>
              <w:highlight w:val="none"/>
            </w:rPr>
            <w:tab/>
          </w:r>
          <w:r>
            <w:rPr>
              <w:color w:val="auto"/>
              <w:highlight w:val="none"/>
            </w:rPr>
            <w:fldChar w:fldCharType="begin"/>
          </w:r>
          <w:r>
            <w:rPr>
              <w:color w:val="auto"/>
              <w:highlight w:val="none"/>
            </w:rPr>
            <w:instrText xml:space="preserve"> PAGEREF _Toc30903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2A5CFB6">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_Toc6833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5</w:t>
          </w:r>
          <w:r>
            <w:rPr>
              <w:rFonts w:hint="default" w:ascii="Times New Roman" w:hAnsi="Times New Roman" w:cs="Times New Roman"/>
              <w:color w:val="auto"/>
              <w:szCs w:val="28"/>
              <w:highlight w:val="none"/>
            </w:rPr>
            <w:t>.关注的主要环境问题</w:t>
          </w:r>
          <w:r>
            <w:rPr>
              <w:color w:val="auto"/>
              <w:highlight w:val="none"/>
            </w:rPr>
            <w:tab/>
          </w:r>
          <w:r>
            <w:rPr>
              <w:color w:val="auto"/>
              <w:highlight w:val="none"/>
            </w:rPr>
            <w:fldChar w:fldCharType="begin"/>
          </w:r>
          <w:r>
            <w:rPr>
              <w:color w:val="auto"/>
              <w:highlight w:val="none"/>
            </w:rPr>
            <w:instrText xml:space="preserve"> PAGEREF _Toc6833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50F642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_Toc19714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6.环境影响评价的主要结论</w:t>
          </w:r>
          <w:r>
            <w:rPr>
              <w:color w:val="auto"/>
              <w:highlight w:val="none"/>
            </w:rPr>
            <w:tab/>
          </w:r>
          <w:r>
            <w:rPr>
              <w:color w:val="auto"/>
              <w:highlight w:val="none"/>
            </w:rPr>
            <w:fldChar w:fldCharType="begin"/>
          </w:r>
          <w:r>
            <w:rPr>
              <w:color w:val="auto"/>
              <w:highlight w:val="none"/>
            </w:rPr>
            <w:instrText xml:space="preserve"> PAGEREF _Toc19714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3D4726F0">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_Toc30905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w:t>
          </w:r>
          <w:r>
            <w:rPr>
              <w:rFonts w:hint="eastAsia" w:cs="Times New Roman"/>
              <w:color w:val="auto"/>
              <w:szCs w:val="28"/>
              <w:highlight w:val="none"/>
              <w:lang w:val="en-US" w:eastAsia="zh-CN"/>
            </w:rPr>
            <w:t xml:space="preserve"> </w:t>
          </w:r>
          <w:r>
            <w:rPr>
              <w:rFonts w:hint="default" w:ascii="Times New Roman" w:hAnsi="Times New Roman" w:cs="Times New Roman"/>
              <w:color w:val="auto"/>
              <w:szCs w:val="28"/>
              <w:highlight w:val="none"/>
            </w:rPr>
            <w:t>总则</w:t>
          </w:r>
          <w:r>
            <w:rPr>
              <w:color w:val="auto"/>
              <w:highlight w:val="none"/>
            </w:rPr>
            <w:tab/>
          </w:r>
          <w:r>
            <w:rPr>
              <w:color w:val="auto"/>
              <w:highlight w:val="none"/>
            </w:rPr>
            <w:fldChar w:fldCharType="begin"/>
          </w:r>
          <w:r>
            <w:rPr>
              <w:color w:val="auto"/>
              <w:highlight w:val="none"/>
            </w:rPr>
            <w:instrText xml:space="preserve"> PAGEREF _Toc30905 \h </w:instrText>
          </w:r>
          <w:r>
            <w:rPr>
              <w:color w:val="auto"/>
              <w:highlight w:val="none"/>
            </w:rPr>
            <w:fldChar w:fldCharType="separate"/>
          </w:r>
          <w:r>
            <w:rPr>
              <w:color w:val="auto"/>
              <w:highlight w:val="none"/>
            </w:rPr>
            <w:t>10</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3753821">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_Toc24788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1.1评价依据</w:t>
          </w:r>
          <w:r>
            <w:rPr>
              <w:color w:val="auto"/>
              <w:highlight w:val="none"/>
            </w:rPr>
            <w:tab/>
          </w:r>
          <w:r>
            <w:rPr>
              <w:color w:val="auto"/>
              <w:highlight w:val="none"/>
            </w:rPr>
            <w:fldChar w:fldCharType="begin"/>
          </w:r>
          <w:r>
            <w:rPr>
              <w:color w:val="auto"/>
              <w:highlight w:val="none"/>
            </w:rPr>
            <w:instrText xml:space="preserve"> PAGEREF _Toc24788 \h </w:instrText>
          </w:r>
          <w:r>
            <w:rPr>
              <w:color w:val="auto"/>
              <w:highlight w:val="none"/>
            </w:rPr>
            <w:fldChar w:fldCharType="separate"/>
          </w:r>
          <w:r>
            <w:rPr>
              <w:color w:val="auto"/>
              <w:highlight w:val="none"/>
            </w:rPr>
            <w:t>10</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29127AE">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_Toc25649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1.2评价目的与原则</w:t>
          </w:r>
          <w:r>
            <w:rPr>
              <w:color w:val="auto"/>
              <w:highlight w:val="none"/>
            </w:rPr>
            <w:tab/>
          </w:r>
          <w:r>
            <w:rPr>
              <w:color w:val="auto"/>
              <w:highlight w:val="none"/>
            </w:rPr>
            <w:fldChar w:fldCharType="begin"/>
          </w:r>
          <w:r>
            <w:rPr>
              <w:color w:val="auto"/>
              <w:highlight w:val="none"/>
            </w:rPr>
            <w:instrText xml:space="preserve"> PAGEREF _Toc25649 \h </w:instrText>
          </w:r>
          <w:r>
            <w:rPr>
              <w:color w:val="auto"/>
              <w:highlight w:val="none"/>
            </w:rPr>
            <w:fldChar w:fldCharType="separate"/>
          </w:r>
          <w:r>
            <w:rPr>
              <w:color w:val="auto"/>
              <w:highlight w:val="none"/>
            </w:rPr>
            <w:t>13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F8D42AE">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_Toc28350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1.3环境影响因素识别与评价因子筛选</w:t>
          </w:r>
          <w:r>
            <w:rPr>
              <w:color w:val="auto"/>
              <w:highlight w:val="none"/>
            </w:rPr>
            <w:tab/>
          </w:r>
          <w:r>
            <w:rPr>
              <w:color w:val="auto"/>
              <w:highlight w:val="none"/>
            </w:rPr>
            <w:fldChar w:fldCharType="begin"/>
          </w:r>
          <w:r>
            <w:rPr>
              <w:color w:val="auto"/>
              <w:highlight w:val="none"/>
            </w:rPr>
            <w:instrText xml:space="preserve"> PAGEREF _Toc28350 \h </w:instrText>
          </w:r>
          <w:r>
            <w:rPr>
              <w:color w:val="auto"/>
              <w:highlight w:val="none"/>
            </w:rPr>
            <w:fldChar w:fldCharType="separate"/>
          </w:r>
          <w:r>
            <w:rPr>
              <w:color w:val="auto"/>
              <w:highlight w:val="none"/>
            </w:rPr>
            <w:t>15</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707321B">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_Toc147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1.4评价标准</w:t>
          </w:r>
          <w:r>
            <w:rPr>
              <w:color w:val="auto"/>
              <w:highlight w:val="none"/>
            </w:rPr>
            <w:tab/>
          </w:r>
          <w:r>
            <w:rPr>
              <w:color w:val="auto"/>
              <w:highlight w:val="none"/>
            </w:rPr>
            <w:fldChar w:fldCharType="begin"/>
          </w:r>
          <w:r>
            <w:rPr>
              <w:color w:val="auto"/>
              <w:highlight w:val="none"/>
            </w:rPr>
            <w:instrText xml:space="preserve"> PAGEREF _Toc147 \h </w:instrText>
          </w:r>
          <w:r>
            <w:rPr>
              <w:color w:val="auto"/>
              <w:highlight w:val="none"/>
            </w:rPr>
            <w:fldChar w:fldCharType="separate"/>
          </w:r>
          <w:r>
            <w:rPr>
              <w:color w:val="auto"/>
              <w:highlight w:val="none"/>
            </w:rPr>
            <w:t>17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45D85412">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_Toc25469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1.5评价等级与评价范围</w:t>
          </w:r>
          <w:r>
            <w:rPr>
              <w:color w:val="auto"/>
              <w:highlight w:val="none"/>
            </w:rPr>
            <w:tab/>
          </w:r>
          <w:r>
            <w:rPr>
              <w:color w:val="auto"/>
              <w:highlight w:val="none"/>
            </w:rPr>
            <w:fldChar w:fldCharType="begin"/>
          </w:r>
          <w:r>
            <w:rPr>
              <w:color w:val="auto"/>
              <w:highlight w:val="none"/>
            </w:rPr>
            <w:instrText xml:space="preserve"> PAGEREF _Toc25469 \h </w:instrText>
          </w:r>
          <w:r>
            <w:rPr>
              <w:color w:val="auto"/>
              <w:highlight w:val="none"/>
            </w:rPr>
            <w:fldChar w:fldCharType="separate"/>
          </w:r>
          <w:r>
            <w:rPr>
              <w:color w:val="auto"/>
              <w:highlight w:val="none"/>
            </w:rPr>
            <w:t>21</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DE6073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_Toc32133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1.6环境保护目标</w:t>
          </w:r>
          <w:r>
            <w:rPr>
              <w:color w:val="auto"/>
              <w:highlight w:val="none"/>
            </w:rPr>
            <w:tab/>
          </w:r>
          <w:r>
            <w:rPr>
              <w:color w:val="auto"/>
              <w:highlight w:val="none"/>
            </w:rPr>
            <w:fldChar w:fldCharType="begin"/>
          </w:r>
          <w:r>
            <w:rPr>
              <w:color w:val="auto"/>
              <w:highlight w:val="none"/>
            </w:rPr>
            <w:instrText xml:space="preserve"> PAGEREF _Toc32133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00179AC">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_Toc15376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 xml:space="preserve"> </w:t>
          </w:r>
          <w:r>
            <w:rPr>
              <w:rFonts w:hint="default" w:ascii="Times New Roman" w:hAnsi="Times New Roman" w:cs="Times New Roman"/>
              <w:color w:val="auto"/>
              <w:szCs w:val="28"/>
              <w:highlight w:val="none"/>
            </w:rPr>
            <w:t>工程概况</w:t>
          </w:r>
          <w:r>
            <w:rPr>
              <w:color w:val="auto"/>
              <w:highlight w:val="none"/>
            </w:rPr>
            <w:tab/>
          </w:r>
          <w:r>
            <w:rPr>
              <w:color w:val="auto"/>
              <w:highlight w:val="none"/>
            </w:rPr>
            <w:fldChar w:fldCharType="begin"/>
          </w:r>
          <w:r>
            <w:rPr>
              <w:color w:val="auto"/>
              <w:highlight w:val="none"/>
            </w:rPr>
            <w:instrText xml:space="preserve"> PAGEREF _Toc15376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020E89B">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_Toc27320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2.1</w:t>
          </w:r>
          <w:r>
            <w:rPr>
              <w:rFonts w:hint="eastAsia" w:cs="Times New Roman"/>
              <w:color w:val="auto"/>
              <w:szCs w:val="28"/>
              <w:highlight w:val="none"/>
              <w:lang w:eastAsia="zh-CN"/>
            </w:rPr>
            <w:t>河道现状及存在问题</w:t>
          </w:r>
          <w:r>
            <w:rPr>
              <w:color w:val="auto"/>
              <w:highlight w:val="none"/>
            </w:rPr>
            <w:tab/>
          </w:r>
          <w:r>
            <w:rPr>
              <w:color w:val="auto"/>
              <w:highlight w:val="none"/>
            </w:rPr>
            <w:fldChar w:fldCharType="begin"/>
          </w:r>
          <w:r>
            <w:rPr>
              <w:color w:val="auto"/>
              <w:highlight w:val="none"/>
            </w:rPr>
            <w:instrText xml:space="preserve"> PAGEREF _Toc27320 \h </w:instrText>
          </w:r>
          <w:r>
            <w:rPr>
              <w:color w:val="auto"/>
              <w:highlight w:val="none"/>
            </w:rPr>
            <w:fldChar w:fldCharType="separate"/>
          </w:r>
          <w:r>
            <w:rPr>
              <w:color w:val="auto"/>
              <w:highlight w:val="none"/>
            </w:rPr>
            <w:t>29</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FAEC2BD">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_Toc29369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eastAsia" w:cs="Times New Roman"/>
              <w:color w:val="auto"/>
              <w:szCs w:val="28"/>
              <w:highlight w:val="none"/>
              <w:lang w:val="en-US" w:eastAsia="zh-CN"/>
            </w:rPr>
            <w:t>2.2</w:t>
          </w:r>
          <w:r>
            <w:rPr>
              <w:rFonts w:hint="default" w:ascii="Times New Roman" w:hAnsi="Times New Roman" w:cs="Times New Roman"/>
              <w:color w:val="auto"/>
              <w:szCs w:val="28"/>
              <w:highlight w:val="none"/>
            </w:rPr>
            <w:t>工程基本情况</w:t>
          </w:r>
          <w:r>
            <w:rPr>
              <w:color w:val="auto"/>
              <w:highlight w:val="none"/>
            </w:rPr>
            <w:tab/>
          </w:r>
          <w:r>
            <w:rPr>
              <w:color w:val="auto"/>
              <w:highlight w:val="none"/>
            </w:rPr>
            <w:fldChar w:fldCharType="begin"/>
          </w:r>
          <w:r>
            <w:rPr>
              <w:color w:val="auto"/>
              <w:highlight w:val="none"/>
            </w:rPr>
            <w:instrText xml:space="preserve"> PAGEREF _Toc29369 \h </w:instrText>
          </w:r>
          <w:r>
            <w:rPr>
              <w:color w:val="auto"/>
              <w:highlight w:val="none"/>
            </w:rPr>
            <w:fldChar w:fldCharType="separate"/>
          </w:r>
          <w:r>
            <w:rPr>
              <w:color w:val="auto"/>
              <w:highlight w:val="none"/>
            </w:rPr>
            <w:t>32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8485801">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_Toc1721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3</w:t>
          </w:r>
          <w:r>
            <w:rPr>
              <w:rFonts w:hint="default" w:ascii="Times New Roman" w:hAnsi="Times New Roman" w:cs="Times New Roman"/>
              <w:color w:val="auto"/>
              <w:szCs w:val="28"/>
              <w:highlight w:val="none"/>
            </w:rPr>
            <w:t>工程任务与规模</w:t>
          </w:r>
          <w:r>
            <w:rPr>
              <w:color w:val="auto"/>
              <w:highlight w:val="none"/>
            </w:rPr>
            <w:tab/>
          </w:r>
          <w:r>
            <w:rPr>
              <w:color w:val="auto"/>
              <w:highlight w:val="none"/>
            </w:rPr>
            <w:fldChar w:fldCharType="begin"/>
          </w:r>
          <w:r>
            <w:rPr>
              <w:color w:val="auto"/>
              <w:highlight w:val="none"/>
            </w:rPr>
            <w:instrText xml:space="preserve"> PAGEREF _Toc1721 \h </w:instrText>
          </w:r>
          <w:r>
            <w:rPr>
              <w:color w:val="auto"/>
              <w:highlight w:val="none"/>
            </w:rPr>
            <w:fldChar w:fldCharType="separate"/>
          </w:r>
          <w:r>
            <w:rPr>
              <w:color w:val="auto"/>
              <w:highlight w:val="none"/>
            </w:rPr>
            <w:t>33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B7B324A">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_Toc17087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4</w:t>
          </w:r>
          <w:r>
            <w:rPr>
              <w:rFonts w:hint="default" w:ascii="Times New Roman" w:hAnsi="Times New Roman" w:cs="Times New Roman"/>
              <w:color w:val="auto"/>
              <w:szCs w:val="28"/>
              <w:highlight w:val="none"/>
            </w:rPr>
            <w:t>主要建设内容</w:t>
          </w:r>
          <w:r>
            <w:rPr>
              <w:color w:val="auto"/>
              <w:highlight w:val="none"/>
            </w:rPr>
            <w:tab/>
          </w:r>
          <w:r>
            <w:rPr>
              <w:color w:val="auto"/>
              <w:highlight w:val="none"/>
            </w:rPr>
            <w:fldChar w:fldCharType="begin"/>
          </w:r>
          <w:r>
            <w:rPr>
              <w:color w:val="auto"/>
              <w:highlight w:val="none"/>
            </w:rPr>
            <w:instrText xml:space="preserve"> PAGEREF _Toc17087 \h </w:instrText>
          </w:r>
          <w:r>
            <w:rPr>
              <w:color w:val="auto"/>
              <w:highlight w:val="none"/>
            </w:rPr>
            <w:fldChar w:fldCharType="separate"/>
          </w:r>
          <w:r>
            <w:rPr>
              <w:color w:val="auto"/>
              <w:highlight w:val="none"/>
            </w:rPr>
            <w:t>34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242C9C1">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_Toc22911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5</w:t>
          </w:r>
          <w:r>
            <w:rPr>
              <w:rFonts w:hint="default" w:ascii="Times New Roman" w:hAnsi="Times New Roman" w:cs="Times New Roman"/>
              <w:color w:val="auto"/>
              <w:szCs w:val="28"/>
              <w:highlight w:val="none"/>
            </w:rPr>
            <w:t>工程布局</w:t>
          </w:r>
          <w:r>
            <w:rPr>
              <w:color w:val="auto"/>
              <w:highlight w:val="none"/>
            </w:rPr>
            <w:tab/>
          </w:r>
          <w:r>
            <w:rPr>
              <w:color w:val="auto"/>
              <w:highlight w:val="none"/>
            </w:rPr>
            <w:fldChar w:fldCharType="begin"/>
          </w:r>
          <w:r>
            <w:rPr>
              <w:color w:val="auto"/>
              <w:highlight w:val="none"/>
            </w:rPr>
            <w:instrText xml:space="preserve"> PAGEREF _Toc22911 \h </w:instrText>
          </w:r>
          <w:r>
            <w:rPr>
              <w:color w:val="auto"/>
              <w:highlight w:val="none"/>
            </w:rPr>
            <w:fldChar w:fldCharType="separate"/>
          </w:r>
          <w:r>
            <w:rPr>
              <w:color w:val="auto"/>
              <w:highlight w:val="none"/>
            </w:rPr>
            <w:t>37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DE91F89">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_Toc17750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6</w:t>
          </w:r>
          <w:r>
            <w:rPr>
              <w:rFonts w:hint="default" w:ascii="Times New Roman" w:hAnsi="Times New Roman" w:cs="Times New Roman"/>
              <w:color w:val="auto"/>
              <w:szCs w:val="28"/>
              <w:highlight w:val="none"/>
            </w:rPr>
            <w:t>公用工程</w:t>
          </w:r>
          <w:r>
            <w:rPr>
              <w:color w:val="auto"/>
              <w:highlight w:val="none"/>
            </w:rPr>
            <w:tab/>
          </w:r>
          <w:r>
            <w:rPr>
              <w:color w:val="auto"/>
              <w:highlight w:val="none"/>
            </w:rPr>
            <w:fldChar w:fldCharType="begin"/>
          </w:r>
          <w:r>
            <w:rPr>
              <w:color w:val="auto"/>
              <w:highlight w:val="none"/>
            </w:rPr>
            <w:instrText xml:space="preserve"> PAGEREF _Toc17750 \h </w:instrText>
          </w:r>
          <w:r>
            <w:rPr>
              <w:color w:val="auto"/>
              <w:highlight w:val="none"/>
            </w:rPr>
            <w:fldChar w:fldCharType="separate"/>
          </w:r>
          <w:r>
            <w:rPr>
              <w:color w:val="auto"/>
              <w:highlight w:val="none"/>
            </w:rPr>
            <w:t>46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34DC014">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_Toc31244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7</w:t>
          </w:r>
          <w:r>
            <w:rPr>
              <w:rFonts w:hint="default" w:ascii="Times New Roman" w:hAnsi="Times New Roman" w:cs="Times New Roman"/>
              <w:color w:val="auto"/>
              <w:szCs w:val="28"/>
              <w:highlight w:val="none"/>
            </w:rPr>
            <w:t>施工组织设计</w:t>
          </w:r>
          <w:r>
            <w:rPr>
              <w:color w:val="auto"/>
              <w:highlight w:val="none"/>
            </w:rPr>
            <w:tab/>
          </w:r>
          <w:r>
            <w:rPr>
              <w:color w:val="auto"/>
              <w:highlight w:val="none"/>
            </w:rPr>
            <w:fldChar w:fldCharType="begin"/>
          </w:r>
          <w:r>
            <w:rPr>
              <w:color w:val="auto"/>
              <w:highlight w:val="none"/>
            </w:rPr>
            <w:instrText xml:space="preserve"> PAGEREF _Toc31244 \h </w:instrText>
          </w:r>
          <w:r>
            <w:rPr>
              <w:color w:val="auto"/>
              <w:highlight w:val="none"/>
            </w:rPr>
            <w:fldChar w:fldCharType="separate"/>
          </w:r>
          <w:r>
            <w:rPr>
              <w:color w:val="auto"/>
              <w:highlight w:val="none"/>
            </w:rPr>
            <w:t>47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6F58992">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_Toc23397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8</w:t>
          </w:r>
          <w:r>
            <w:rPr>
              <w:rFonts w:hint="default" w:ascii="Times New Roman" w:hAnsi="Times New Roman" w:cs="Times New Roman"/>
              <w:color w:val="auto"/>
              <w:szCs w:val="28"/>
              <w:highlight w:val="none"/>
            </w:rPr>
            <w:t>主体工程施工</w:t>
          </w:r>
          <w:r>
            <w:rPr>
              <w:color w:val="auto"/>
              <w:highlight w:val="none"/>
            </w:rPr>
            <w:tab/>
          </w:r>
          <w:r>
            <w:rPr>
              <w:color w:val="auto"/>
              <w:highlight w:val="none"/>
            </w:rPr>
            <w:fldChar w:fldCharType="begin"/>
          </w:r>
          <w:r>
            <w:rPr>
              <w:color w:val="auto"/>
              <w:highlight w:val="none"/>
            </w:rPr>
            <w:instrText xml:space="preserve"> PAGEREF _Toc23397 \h </w:instrText>
          </w:r>
          <w:r>
            <w:rPr>
              <w:color w:val="auto"/>
              <w:highlight w:val="none"/>
            </w:rPr>
            <w:fldChar w:fldCharType="separate"/>
          </w:r>
          <w:r>
            <w:rPr>
              <w:color w:val="auto"/>
              <w:highlight w:val="none"/>
            </w:rPr>
            <w:t>49</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79CC4DD">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_Toc16473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9</w:t>
          </w:r>
          <w:r>
            <w:rPr>
              <w:rFonts w:hint="default" w:ascii="Times New Roman" w:hAnsi="Times New Roman" w:cs="Times New Roman"/>
              <w:color w:val="auto"/>
              <w:szCs w:val="28"/>
              <w:highlight w:val="none"/>
            </w:rPr>
            <w:t>施工总布置</w:t>
          </w:r>
          <w:r>
            <w:rPr>
              <w:color w:val="auto"/>
              <w:highlight w:val="none"/>
            </w:rPr>
            <w:tab/>
          </w:r>
          <w:r>
            <w:rPr>
              <w:color w:val="auto"/>
              <w:highlight w:val="none"/>
            </w:rPr>
            <w:fldChar w:fldCharType="begin"/>
          </w:r>
          <w:r>
            <w:rPr>
              <w:color w:val="auto"/>
              <w:highlight w:val="none"/>
            </w:rPr>
            <w:instrText xml:space="preserve"> PAGEREF _Toc16473 \h </w:instrText>
          </w:r>
          <w:r>
            <w:rPr>
              <w:color w:val="auto"/>
              <w:highlight w:val="none"/>
            </w:rPr>
            <w:fldChar w:fldCharType="separate"/>
          </w:r>
          <w:r>
            <w:rPr>
              <w:color w:val="auto"/>
              <w:highlight w:val="none"/>
            </w:rPr>
            <w:t>52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C21C999">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_Toc8242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w:t>
          </w:r>
          <w:r>
            <w:rPr>
              <w:rFonts w:hint="eastAsia" w:cs="Times New Roman"/>
              <w:color w:val="auto"/>
              <w:szCs w:val="28"/>
              <w:highlight w:val="none"/>
              <w:lang w:val="en-US" w:eastAsia="zh-CN"/>
            </w:rPr>
            <w:t>10</w:t>
          </w:r>
          <w:r>
            <w:rPr>
              <w:rFonts w:hint="default" w:ascii="Times New Roman" w:hAnsi="Times New Roman" w:cs="Times New Roman"/>
              <w:color w:val="auto"/>
              <w:szCs w:val="28"/>
              <w:highlight w:val="none"/>
            </w:rPr>
            <w:t>施工总进度</w:t>
          </w:r>
          <w:r>
            <w:rPr>
              <w:color w:val="auto"/>
              <w:highlight w:val="none"/>
            </w:rPr>
            <w:tab/>
          </w:r>
          <w:r>
            <w:rPr>
              <w:color w:val="auto"/>
              <w:highlight w:val="none"/>
            </w:rPr>
            <w:fldChar w:fldCharType="begin"/>
          </w:r>
          <w:r>
            <w:rPr>
              <w:color w:val="auto"/>
              <w:highlight w:val="none"/>
            </w:rPr>
            <w:instrText xml:space="preserve"> PAGEREF _Toc8242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3BEB02E8">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_Toc6012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2.1</w:t>
          </w:r>
          <w:r>
            <w:rPr>
              <w:rFonts w:hint="eastAsia" w:cs="Times New Roman"/>
              <w:color w:val="auto"/>
              <w:szCs w:val="28"/>
              <w:highlight w:val="none"/>
              <w:lang w:val="en-US" w:eastAsia="zh-CN"/>
            </w:rPr>
            <w:t>1</w:t>
          </w:r>
          <w:r>
            <w:rPr>
              <w:rFonts w:hint="default" w:ascii="Times New Roman" w:hAnsi="Times New Roman" w:cs="Times New Roman"/>
              <w:color w:val="auto"/>
              <w:szCs w:val="28"/>
              <w:highlight w:val="none"/>
            </w:rPr>
            <w:t>工程占地</w:t>
          </w:r>
          <w:r>
            <w:rPr>
              <w:color w:val="auto"/>
              <w:highlight w:val="none"/>
            </w:rPr>
            <w:tab/>
          </w:r>
          <w:r>
            <w:rPr>
              <w:color w:val="auto"/>
              <w:highlight w:val="none"/>
            </w:rPr>
            <w:fldChar w:fldCharType="begin"/>
          </w:r>
          <w:r>
            <w:rPr>
              <w:color w:val="auto"/>
              <w:highlight w:val="none"/>
            </w:rPr>
            <w:instrText xml:space="preserve"> PAGEREF _Toc6012 \h </w:instrText>
          </w:r>
          <w:r>
            <w:rPr>
              <w:color w:val="auto"/>
              <w:highlight w:val="none"/>
            </w:rPr>
            <w:fldChar w:fldCharType="separate"/>
          </w:r>
          <w:r>
            <w:rPr>
              <w:color w:val="auto"/>
              <w:highlight w:val="none"/>
            </w:rPr>
            <w:t>53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F4D0AFA">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_Toc25682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eastAsia="宋体" w:cs="Times New Roman"/>
              <w:color w:val="auto"/>
              <w:szCs w:val="28"/>
              <w:highlight w:val="none"/>
              <w:lang w:val="en-US" w:eastAsia="zh-CN"/>
            </w:rPr>
            <w:t>2.1</w:t>
          </w:r>
          <w:r>
            <w:rPr>
              <w:rFonts w:hint="eastAsia" w:cs="Times New Roman"/>
              <w:color w:val="auto"/>
              <w:szCs w:val="28"/>
              <w:highlight w:val="none"/>
              <w:lang w:val="en-US" w:eastAsia="zh-CN"/>
            </w:rPr>
            <w:t>2</w:t>
          </w:r>
          <w:r>
            <w:rPr>
              <w:rFonts w:hint="default" w:ascii="Times New Roman" w:hAnsi="Times New Roman" w:eastAsia="宋体" w:cs="Times New Roman"/>
              <w:color w:val="auto"/>
              <w:szCs w:val="28"/>
              <w:highlight w:val="none"/>
            </w:rPr>
            <w:t>土石方情况</w:t>
          </w:r>
          <w:r>
            <w:rPr>
              <w:color w:val="auto"/>
              <w:highlight w:val="none"/>
            </w:rPr>
            <w:tab/>
          </w:r>
          <w:r>
            <w:rPr>
              <w:color w:val="auto"/>
              <w:highlight w:val="none"/>
            </w:rPr>
            <w:fldChar w:fldCharType="begin"/>
          </w:r>
          <w:r>
            <w:rPr>
              <w:color w:val="auto"/>
              <w:highlight w:val="none"/>
            </w:rPr>
            <w:instrText xml:space="preserve"> PAGEREF _Toc25682 \h </w:instrText>
          </w:r>
          <w:r>
            <w:rPr>
              <w:color w:val="auto"/>
              <w:highlight w:val="none"/>
            </w:rPr>
            <w:fldChar w:fldCharType="separate"/>
          </w:r>
          <w:r>
            <w:rPr>
              <w:color w:val="auto"/>
              <w:highlight w:val="none"/>
            </w:rPr>
            <w:t>54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3539477">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_Toc23748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snapToGrid w:val="0"/>
              <w:color w:val="auto"/>
              <w:szCs w:val="28"/>
              <w:highlight w:val="none"/>
            </w:rPr>
            <w:t>3</w:t>
          </w:r>
          <w:r>
            <w:rPr>
              <w:rFonts w:hint="eastAsia" w:cs="Times New Roman"/>
              <w:snapToGrid w:val="0"/>
              <w:color w:val="auto"/>
              <w:szCs w:val="28"/>
              <w:highlight w:val="none"/>
              <w:lang w:val="en-US" w:eastAsia="zh-CN"/>
            </w:rPr>
            <w:t xml:space="preserve"> </w:t>
          </w:r>
          <w:r>
            <w:rPr>
              <w:rFonts w:hint="default" w:ascii="Times New Roman" w:hAnsi="Times New Roman" w:cs="Times New Roman"/>
              <w:snapToGrid w:val="0"/>
              <w:color w:val="auto"/>
              <w:szCs w:val="28"/>
              <w:highlight w:val="none"/>
            </w:rPr>
            <w:t>工程分析</w:t>
          </w:r>
          <w:r>
            <w:rPr>
              <w:color w:val="auto"/>
              <w:highlight w:val="none"/>
            </w:rPr>
            <w:tab/>
          </w:r>
          <w:r>
            <w:rPr>
              <w:color w:val="auto"/>
              <w:highlight w:val="none"/>
            </w:rPr>
            <w:fldChar w:fldCharType="begin"/>
          </w:r>
          <w:r>
            <w:rPr>
              <w:color w:val="auto"/>
              <w:highlight w:val="none"/>
            </w:rPr>
            <w:instrText xml:space="preserve"> PAGEREF _Toc23748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27186D2">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_Toc22347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3.1工程方案环境合理性分析</w:t>
          </w:r>
          <w:r>
            <w:rPr>
              <w:color w:val="auto"/>
              <w:highlight w:val="none"/>
            </w:rPr>
            <w:tab/>
          </w:r>
          <w:r>
            <w:rPr>
              <w:color w:val="auto"/>
              <w:highlight w:val="none"/>
            </w:rPr>
            <w:fldChar w:fldCharType="begin"/>
          </w:r>
          <w:r>
            <w:rPr>
              <w:color w:val="auto"/>
              <w:highlight w:val="none"/>
            </w:rPr>
            <w:instrText xml:space="preserve"> PAGEREF _Toc22347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0DE68A7">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_Toc5460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3.2工程环境影响分析</w:t>
          </w:r>
          <w:r>
            <w:rPr>
              <w:color w:val="auto"/>
              <w:highlight w:val="none"/>
            </w:rPr>
            <w:tab/>
          </w:r>
          <w:r>
            <w:rPr>
              <w:color w:val="auto"/>
              <w:highlight w:val="none"/>
            </w:rPr>
            <w:fldChar w:fldCharType="begin"/>
          </w:r>
          <w:r>
            <w:rPr>
              <w:color w:val="auto"/>
              <w:highlight w:val="none"/>
            </w:rPr>
            <w:instrText xml:space="preserve"> PAGEREF _Toc5460 \h </w:instrText>
          </w:r>
          <w:r>
            <w:rPr>
              <w:color w:val="auto"/>
              <w:highlight w:val="none"/>
            </w:rPr>
            <w:fldChar w:fldCharType="separate"/>
          </w:r>
          <w:r>
            <w:rPr>
              <w:color w:val="auto"/>
              <w:highlight w:val="none"/>
            </w:rPr>
            <w:t>66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12922BE">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_Toc21883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snapToGrid w:val="0"/>
              <w:color w:val="auto"/>
              <w:szCs w:val="28"/>
              <w:highlight w:val="none"/>
            </w:rPr>
            <w:t>4</w:t>
          </w:r>
          <w:r>
            <w:rPr>
              <w:rFonts w:hint="eastAsia" w:cs="Times New Roman"/>
              <w:snapToGrid w:val="0"/>
              <w:color w:val="auto"/>
              <w:szCs w:val="28"/>
              <w:highlight w:val="none"/>
              <w:lang w:val="en-US" w:eastAsia="zh-CN"/>
            </w:rPr>
            <w:t xml:space="preserve"> </w:t>
          </w:r>
          <w:r>
            <w:rPr>
              <w:rFonts w:hint="default" w:ascii="Times New Roman" w:hAnsi="Times New Roman" w:cs="Times New Roman"/>
              <w:snapToGrid w:val="0"/>
              <w:color w:val="auto"/>
              <w:szCs w:val="28"/>
              <w:highlight w:val="none"/>
            </w:rPr>
            <w:t>区域环境概况</w:t>
          </w:r>
          <w:r>
            <w:rPr>
              <w:color w:val="auto"/>
              <w:highlight w:val="none"/>
            </w:rPr>
            <w:tab/>
          </w:r>
          <w:r>
            <w:rPr>
              <w:color w:val="auto"/>
              <w:highlight w:val="none"/>
            </w:rPr>
            <w:fldChar w:fldCharType="begin"/>
          </w:r>
          <w:r>
            <w:rPr>
              <w:color w:val="auto"/>
              <w:highlight w:val="none"/>
            </w:rPr>
            <w:instrText xml:space="preserve"> PAGEREF _Toc21883 \h </w:instrText>
          </w:r>
          <w:r>
            <w:rPr>
              <w:color w:val="auto"/>
              <w:highlight w:val="none"/>
            </w:rPr>
            <w:fldChar w:fldCharType="separate"/>
          </w:r>
          <w:r>
            <w:rPr>
              <w:color w:val="auto"/>
              <w:highlight w:val="none"/>
            </w:rPr>
            <w:t>74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2FC119C">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_Toc27500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4.1自然环境概况</w:t>
          </w:r>
          <w:r>
            <w:rPr>
              <w:color w:val="auto"/>
              <w:highlight w:val="none"/>
            </w:rPr>
            <w:tab/>
          </w:r>
          <w:r>
            <w:rPr>
              <w:color w:val="auto"/>
              <w:highlight w:val="none"/>
            </w:rPr>
            <w:fldChar w:fldCharType="begin"/>
          </w:r>
          <w:r>
            <w:rPr>
              <w:color w:val="auto"/>
              <w:highlight w:val="none"/>
            </w:rPr>
            <w:instrText xml:space="preserve"> PAGEREF _Toc27500 \h </w:instrText>
          </w:r>
          <w:r>
            <w:rPr>
              <w:color w:val="auto"/>
              <w:highlight w:val="none"/>
            </w:rPr>
            <w:fldChar w:fldCharType="separate"/>
          </w:r>
          <w:r>
            <w:rPr>
              <w:color w:val="auto"/>
              <w:highlight w:val="none"/>
            </w:rPr>
            <w:t>74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927EC24">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_Toc20588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snapToGrid w:val="0"/>
              <w:color w:val="auto"/>
              <w:szCs w:val="28"/>
              <w:highlight w:val="none"/>
            </w:rPr>
            <w:t>5 环境质量现状监测及评价</w:t>
          </w:r>
          <w:r>
            <w:rPr>
              <w:color w:val="auto"/>
              <w:highlight w:val="none"/>
            </w:rPr>
            <w:tab/>
          </w:r>
          <w:r>
            <w:rPr>
              <w:color w:val="auto"/>
              <w:highlight w:val="none"/>
            </w:rPr>
            <w:fldChar w:fldCharType="begin"/>
          </w:r>
          <w:r>
            <w:rPr>
              <w:color w:val="auto"/>
              <w:highlight w:val="none"/>
            </w:rPr>
            <w:instrText xml:space="preserve"> PAGEREF _Toc20588 \h </w:instrText>
          </w:r>
          <w:r>
            <w:rPr>
              <w:color w:val="auto"/>
              <w:highlight w:val="none"/>
            </w:rPr>
            <w:fldChar w:fldCharType="separate"/>
          </w:r>
          <w:r>
            <w:rPr>
              <w:color w:val="auto"/>
              <w:highlight w:val="none"/>
            </w:rPr>
            <w:t>82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3B0873F3">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_Toc726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5.1</w:t>
          </w:r>
          <w:r>
            <w:rPr>
              <w:rFonts w:hint="default" w:ascii="Times New Roman" w:hAnsi="Times New Roman" w:cs="Times New Roman"/>
              <w:color w:val="auto"/>
              <w:szCs w:val="28"/>
              <w:highlight w:val="none"/>
              <w:lang w:val="en-US" w:eastAsia="zh-CN"/>
            </w:rPr>
            <w:t>环境空气质量</w:t>
          </w:r>
          <w:r>
            <w:rPr>
              <w:rFonts w:hint="default" w:ascii="Times New Roman" w:hAnsi="Times New Roman" w:cs="Times New Roman"/>
              <w:color w:val="auto"/>
              <w:szCs w:val="28"/>
              <w:highlight w:val="none"/>
            </w:rPr>
            <w:t>现状评价</w:t>
          </w:r>
          <w:r>
            <w:rPr>
              <w:color w:val="auto"/>
              <w:highlight w:val="none"/>
            </w:rPr>
            <w:tab/>
          </w:r>
          <w:r>
            <w:rPr>
              <w:color w:val="auto"/>
              <w:highlight w:val="none"/>
            </w:rPr>
            <w:fldChar w:fldCharType="begin"/>
          </w:r>
          <w:r>
            <w:rPr>
              <w:color w:val="auto"/>
              <w:highlight w:val="none"/>
            </w:rPr>
            <w:instrText xml:space="preserve"> PAGEREF _Toc726 \h </w:instrText>
          </w:r>
          <w:r>
            <w:rPr>
              <w:color w:val="auto"/>
              <w:highlight w:val="none"/>
            </w:rPr>
            <w:fldChar w:fldCharType="separate"/>
          </w:r>
          <w:r>
            <w:rPr>
              <w:color w:val="auto"/>
              <w:highlight w:val="none"/>
            </w:rPr>
            <w:t>82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39350B29">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_Toc7321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5.2地表水质量现状评价</w:t>
          </w:r>
          <w:r>
            <w:rPr>
              <w:color w:val="auto"/>
              <w:highlight w:val="none"/>
            </w:rPr>
            <w:tab/>
          </w:r>
          <w:r>
            <w:rPr>
              <w:color w:val="auto"/>
              <w:highlight w:val="none"/>
            </w:rPr>
            <w:fldChar w:fldCharType="begin"/>
          </w:r>
          <w:r>
            <w:rPr>
              <w:color w:val="auto"/>
              <w:highlight w:val="none"/>
            </w:rPr>
            <w:instrText xml:space="preserve"> PAGEREF _Toc7321 \h </w:instrText>
          </w:r>
          <w:r>
            <w:rPr>
              <w:color w:val="auto"/>
              <w:highlight w:val="none"/>
            </w:rPr>
            <w:fldChar w:fldCharType="separate"/>
          </w:r>
          <w:r>
            <w:rPr>
              <w:color w:val="auto"/>
              <w:highlight w:val="none"/>
            </w:rPr>
            <w:t>82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7E60189">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_Toc7421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5.3地下水环境质量现状评价</w:t>
          </w:r>
          <w:r>
            <w:rPr>
              <w:color w:val="auto"/>
              <w:highlight w:val="none"/>
            </w:rPr>
            <w:tab/>
          </w:r>
          <w:r>
            <w:rPr>
              <w:color w:val="auto"/>
              <w:highlight w:val="none"/>
            </w:rPr>
            <w:fldChar w:fldCharType="begin"/>
          </w:r>
          <w:r>
            <w:rPr>
              <w:color w:val="auto"/>
              <w:highlight w:val="none"/>
            </w:rPr>
            <w:instrText xml:space="preserve"> PAGEREF _Toc7421 \h </w:instrText>
          </w:r>
          <w:r>
            <w:rPr>
              <w:color w:val="auto"/>
              <w:highlight w:val="none"/>
            </w:rPr>
            <w:fldChar w:fldCharType="separate"/>
          </w:r>
          <w:r>
            <w:rPr>
              <w:color w:val="auto"/>
              <w:highlight w:val="none"/>
            </w:rPr>
            <w:t>83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BE96F90">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_Toc20662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5.4土壤环境质量现状评价</w:t>
          </w:r>
          <w:r>
            <w:rPr>
              <w:color w:val="auto"/>
              <w:highlight w:val="none"/>
            </w:rPr>
            <w:tab/>
          </w:r>
          <w:r>
            <w:rPr>
              <w:color w:val="auto"/>
              <w:highlight w:val="none"/>
            </w:rPr>
            <w:fldChar w:fldCharType="begin"/>
          </w:r>
          <w:r>
            <w:rPr>
              <w:color w:val="auto"/>
              <w:highlight w:val="none"/>
            </w:rPr>
            <w:instrText xml:space="preserve"> PAGEREF _Toc20662 \h </w:instrText>
          </w:r>
          <w:r>
            <w:rPr>
              <w:color w:val="auto"/>
              <w:highlight w:val="none"/>
            </w:rPr>
            <w:fldChar w:fldCharType="separate"/>
          </w:r>
          <w:r>
            <w:rPr>
              <w:color w:val="auto"/>
              <w:highlight w:val="none"/>
            </w:rPr>
            <w:t>91</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87E052A">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_Toc32014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5.5声环境质量现状评价</w:t>
          </w:r>
          <w:r>
            <w:rPr>
              <w:color w:val="auto"/>
              <w:highlight w:val="none"/>
            </w:rPr>
            <w:tab/>
          </w:r>
          <w:r>
            <w:rPr>
              <w:color w:val="auto"/>
              <w:highlight w:val="none"/>
            </w:rPr>
            <w:fldChar w:fldCharType="begin"/>
          </w:r>
          <w:r>
            <w:rPr>
              <w:color w:val="auto"/>
              <w:highlight w:val="none"/>
            </w:rPr>
            <w:instrText xml:space="preserve"> PAGEREF _Toc32014 \h </w:instrText>
          </w:r>
          <w:r>
            <w:rPr>
              <w:color w:val="auto"/>
              <w:highlight w:val="none"/>
            </w:rPr>
            <w:fldChar w:fldCharType="separate"/>
          </w:r>
          <w:r>
            <w:rPr>
              <w:color w:val="auto"/>
              <w:highlight w:val="none"/>
            </w:rPr>
            <w:t>94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bookmarkStart w:id="7645" w:name="_GoBack"/>
          <w:bookmarkEnd w:id="7645"/>
        </w:p>
        <w:p w14:paraId="5FA62205">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_Toc27802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5.6</w:t>
          </w:r>
          <w:r>
            <w:rPr>
              <w:rFonts w:hint="default" w:ascii="Times New Roman" w:hAnsi="Times New Roman" w:cs="Times New Roman"/>
              <w:color w:val="auto"/>
              <w:szCs w:val="28"/>
              <w:highlight w:val="none"/>
            </w:rPr>
            <w:t>生态现状调查与评价</w:t>
          </w:r>
          <w:r>
            <w:rPr>
              <w:color w:val="auto"/>
              <w:highlight w:val="none"/>
            </w:rPr>
            <w:tab/>
          </w:r>
          <w:r>
            <w:rPr>
              <w:color w:val="auto"/>
              <w:highlight w:val="none"/>
            </w:rPr>
            <w:fldChar w:fldCharType="begin"/>
          </w:r>
          <w:r>
            <w:rPr>
              <w:color w:val="auto"/>
              <w:highlight w:val="none"/>
            </w:rPr>
            <w:instrText xml:space="preserve"> PAGEREF _Toc27802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297FBD8">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_Toc26165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snapToGrid w:val="0"/>
              <w:color w:val="auto"/>
              <w:szCs w:val="28"/>
              <w:highlight w:val="none"/>
            </w:rPr>
            <w:t>6 环境影响预测与评价</w:t>
          </w:r>
          <w:r>
            <w:rPr>
              <w:color w:val="auto"/>
              <w:highlight w:val="none"/>
            </w:rPr>
            <w:tab/>
          </w:r>
          <w:r>
            <w:rPr>
              <w:color w:val="auto"/>
              <w:highlight w:val="none"/>
            </w:rPr>
            <w:fldChar w:fldCharType="begin"/>
          </w:r>
          <w:r>
            <w:rPr>
              <w:color w:val="auto"/>
              <w:highlight w:val="none"/>
            </w:rPr>
            <w:instrText xml:space="preserve"> PAGEREF _Toc26165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22A2BD3">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_Toc12033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6.1大气环境影响分析</w:t>
          </w:r>
          <w:r>
            <w:rPr>
              <w:color w:val="auto"/>
              <w:highlight w:val="none"/>
            </w:rPr>
            <w:tab/>
          </w:r>
          <w:r>
            <w:rPr>
              <w:color w:val="auto"/>
              <w:highlight w:val="none"/>
            </w:rPr>
            <w:fldChar w:fldCharType="begin"/>
          </w:r>
          <w:r>
            <w:rPr>
              <w:color w:val="auto"/>
              <w:highlight w:val="none"/>
            </w:rPr>
            <w:instrText xml:space="preserve"> PAGEREF _Toc12033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54B585A">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_Toc29735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6.2水环境影响分析</w:t>
          </w:r>
          <w:r>
            <w:rPr>
              <w:color w:val="auto"/>
              <w:highlight w:val="none"/>
            </w:rPr>
            <w:tab/>
          </w:r>
          <w:r>
            <w:rPr>
              <w:color w:val="auto"/>
              <w:highlight w:val="none"/>
            </w:rPr>
            <w:fldChar w:fldCharType="begin"/>
          </w:r>
          <w:r>
            <w:rPr>
              <w:color w:val="auto"/>
              <w:highlight w:val="none"/>
            </w:rPr>
            <w:instrText xml:space="preserve"> PAGEREF _Toc29735 \h </w:instrText>
          </w:r>
          <w:r>
            <w:rPr>
              <w:color w:val="auto"/>
              <w:highlight w:val="none"/>
            </w:rPr>
            <w:fldChar w:fldCharType="separate"/>
          </w:r>
          <w:r>
            <w:rPr>
              <w:color w:val="auto"/>
              <w:highlight w:val="none"/>
            </w:rPr>
            <w:t>126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6A53CD8">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_Toc6228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color w:val="auto"/>
              <w:highlight w:val="none"/>
              <w:lang w:val="en-US" w:eastAsia="zh-CN"/>
            </w:rPr>
            <w:t>6.3声环境影响评价</w:t>
          </w:r>
          <w:r>
            <w:rPr>
              <w:color w:val="auto"/>
              <w:highlight w:val="none"/>
            </w:rPr>
            <w:tab/>
          </w:r>
          <w:r>
            <w:rPr>
              <w:color w:val="auto"/>
              <w:highlight w:val="none"/>
            </w:rPr>
            <w:fldChar w:fldCharType="begin"/>
          </w:r>
          <w:r>
            <w:rPr>
              <w:color w:val="auto"/>
              <w:highlight w:val="none"/>
            </w:rPr>
            <w:instrText xml:space="preserve"> PAGEREF _Toc6228 \h </w:instrText>
          </w:r>
          <w:r>
            <w:rPr>
              <w:color w:val="auto"/>
              <w:highlight w:val="none"/>
            </w:rPr>
            <w:fldChar w:fldCharType="separate"/>
          </w:r>
          <w:r>
            <w:rPr>
              <w:color w:val="auto"/>
              <w:highlight w:val="none"/>
            </w:rPr>
            <w:t>133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C3B4D22">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_Toc25843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6.4地下水环境影响评价</w:t>
          </w:r>
          <w:r>
            <w:rPr>
              <w:color w:val="auto"/>
              <w:highlight w:val="none"/>
            </w:rPr>
            <w:tab/>
          </w:r>
          <w:r>
            <w:rPr>
              <w:color w:val="auto"/>
              <w:highlight w:val="none"/>
            </w:rPr>
            <w:fldChar w:fldCharType="begin"/>
          </w:r>
          <w:r>
            <w:rPr>
              <w:color w:val="auto"/>
              <w:highlight w:val="none"/>
            </w:rPr>
            <w:instrText xml:space="preserve"> PAGEREF _Toc25843 \h </w:instrText>
          </w:r>
          <w:r>
            <w:rPr>
              <w:color w:val="auto"/>
              <w:highlight w:val="none"/>
            </w:rPr>
            <w:fldChar w:fldCharType="separate"/>
          </w:r>
          <w:r>
            <w:rPr>
              <w:color w:val="auto"/>
              <w:highlight w:val="none"/>
            </w:rPr>
            <w:t>136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A507179">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_Toc6923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6.5</w:t>
          </w:r>
          <w:r>
            <w:rPr>
              <w:rFonts w:hint="default" w:ascii="Times New Roman" w:hAnsi="Times New Roman" w:cs="Times New Roman"/>
              <w:color w:val="auto"/>
              <w:szCs w:val="28"/>
              <w:highlight w:val="none"/>
              <w:lang w:eastAsia="zh-CN"/>
            </w:rPr>
            <w:t>土壤环境影响评价</w:t>
          </w:r>
          <w:r>
            <w:rPr>
              <w:color w:val="auto"/>
              <w:highlight w:val="none"/>
            </w:rPr>
            <w:tab/>
          </w:r>
          <w:r>
            <w:rPr>
              <w:color w:val="auto"/>
              <w:highlight w:val="none"/>
            </w:rPr>
            <w:fldChar w:fldCharType="begin"/>
          </w:r>
          <w:r>
            <w:rPr>
              <w:color w:val="auto"/>
              <w:highlight w:val="none"/>
            </w:rPr>
            <w:instrText xml:space="preserve"> PAGEREF _Toc6923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11D0FE3">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_Toc11969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6.6生态环境影响评价</w:t>
          </w:r>
          <w:r>
            <w:rPr>
              <w:color w:val="auto"/>
              <w:highlight w:val="none"/>
            </w:rPr>
            <w:tab/>
          </w:r>
          <w:r>
            <w:rPr>
              <w:color w:val="auto"/>
              <w:highlight w:val="none"/>
            </w:rPr>
            <w:fldChar w:fldCharType="begin"/>
          </w:r>
          <w:r>
            <w:rPr>
              <w:color w:val="auto"/>
              <w:highlight w:val="none"/>
            </w:rPr>
            <w:instrText xml:space="preserve"> PAGEREF _Toc11969 \h </w:instrText>
          </w:r>
          <w:r>
            <w:rPr>
              <w:color w:val="auto"/>
              <w:highlight w:val="none"/>
            </w:rPr>
            <w:fldChar w:fldCharType="separate"/>
          </w:r>
          <w:r>
            <w:rPr>
              <w:color w:val="auto"/>
              <w:highlight w:val="none"/>
            </w:rPr>
            <w:t>142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ED9C927">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_Toc16851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6.7固体废物环境影响分析</w:t>
          </w:r>
          <w:r>
            <w:rPr>
              <w:color w:val="auto"/>
              <w:highlight w:val="none"/>
            </w:rPr>
            <w:tab/>
          </w:r>
          <w:r>
            <w:rPr>
              <w:color w:val="auto"/>
              <w:highlight w:val="none"/>
            </w:rPr>
            <w:fldChar w:fldCharType="begin"/>
          </w:r>
          <w:r>
            <w:rPr>
              <w:color w:val="auto"/>
              <w:highlight w:val="none"/>
            </w:rPr>
            <w:instrText xml:space="preserve"> PAGEREF _Toc16851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90B18EE">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_Toc3438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6.8</w:t>
          </w:r>
          <w:r>
            <w:rPr>
              <w:rFonts w:hint="default" w:ascii="Times New Roman" w:hAnsi="Times New Roman" w:cs="Times New Roman"/>
              <w:color w:val="auto"/>
              <w:szCs w:val="28"/>
              <w:highlight w:val="none"/>
              <w:lang w:eastAsia="zh-CN"/>
            </w:rPr>
            <w:t>环境风险分析</w:t>
          </w:r>
          <w:r>
            <w:rPr>
              <w:color w:val="auto"/>
              <w:highlight w:val="none"/>
            </w:rPr>
            <w:tab/>
          </w:r>
          <w:r>
            <w:rPr>
              <w:color w:val="auto"/>
              <w:highlight w:val="none"/>
            </w:rPr>
            <w:fldChar w:fldCharType="begin"/>
          </w:r>
          <w:r>
            <w:rPr>
              <w:color w:val="auto"/>
              <w:highlight w:val="none"/>
            </w:rPr>
            <w:instrText xml:space="preserve"> PAGEREF _Toc3438 \h </w:instrText>
          </w:r>
          <w:r>
            <w:rPr>
              <w:color w:val="auto"/>
              <w:highlight w:val="none"/>
            </w:rPr>
            <w:fldChar w:fldCharType="separate"/>
          </w:r>
          <w:r>
            <w:rPr>
              <w:color w:val="auto"/>
              <w:highlight w:val="none"/>
            </w:rPr>
            <w:t>154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9EAC381">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_Toc3546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7 环境保护措施及其可行性分析</w:t>
          </w:r>
          <w:r>
            <w:rPr>
              <w:color w:val="auto"/>
              <w:highlight w:val="none"/>
            </w:rPr>
            <w:tab/>
          </w:r>
          <w:r>
            <w:rPr>
              <w:color w:val="auto"/>
              <w:highlight w:val="none"/>
            </w:rPr>
            <w:fldChar w:fldCharType="begin"/>
          </w:r>
          <w:r>
            <w:rPr>
              <w:color w:val="auto"/>
              <w:highlight w:val="none"/>
            </w:rPr>
            <w:instrText xml:space="preserve"> PAGEREF _Toc3546 \h </w:instrText>
          </w:r>
          <w:r>
            <w:rPr>
              <w:color w:val="auto"/>
              <w:highlight w:val="none"/>
            </w:rPr>
            <w:fldChar w:fldCharType="separate"/>
          </w:r>
          <w:r>
            <w:rPr>
              <w:color w:val="auto"/>
              <w:highlight w:val="none"/>
            </w:rPr>
            <w:t>157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0AB025A">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_Toc19916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7.1生态环境保护措施</w:t>
          </w:r>
          <w:r>
            <w:rPr>
              <w:color w:val="auto"/>
              <w:highlight w:val="none"/>
            </w:rPr>
            <w:tab/>
          </w:r>
          <w:r>
            <w:rPr>
              <w:color w:val="auto"/>
              <w:highlight w:val="none"/>
            </w:rPr>
            <w:fldChar w:fldCharType="begin"/>
          </w:r>
          <w:r>
            <w:rPr>
              <w:color w:val="auto"/>
              <w:highlight w:val="none"/>
            </w:rPr>
            <w:instrText xml:space="preserve"> PAGEREF _Toc19916 \h </w:instrText>
          </w:r>
          <w:r>
            <w:rPr>
              <w:color w:val="auto"/>
              <w:highlight w:val="none"/>
            </w:rPr>
            <w:fldChar w:fldCharType="separate"/>
          </w:r>
          <w:r>
            <w:rPr>
              <w:color w:val="auto"/>
              <w:highlight w:val="none"/>
            </w:rPr>
            <w:t>157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08200FB">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_Toc7893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7.2地表水环境污染防治措施</w:t>
          </w:r>
          <w:r>
            <w:rPr>
              <w:color w:val="auto"/>
              <w:highlight w:val="none"/>
            </w:rPr>
            <w:tab/>
          </w:r>
          <w:r>
            <w:rPr>
              <w:color w:val="auto"/>
              <w:highlight w:val="none"/>
            </w:rPr>
            <w:fldChar w:fldCharType="begin"/>
          </w:r>
          <w:r>
            <w:rPr>
              <w:color w:val="auto"/>
              <w:highlight w:val="none"/>
            </w:rPr>
            <w:instrText xml:space="preserve"> PAGEREF _Toc7893 \h </w:instrText>
          </w:r>
          <w:r>
            <w:rPr>
              <w:color w:val="auto"/>
              <w:highlight w:val="none"/>
            </w:rPr>
            <w:fldChar w:fldCharType="separate"/>
          </w:r>
          <w:r>
            <w:rPr>
              <w:color w:val="auto"/>
              <w:highlight w:val="none"/>
            </w:rPr>
            <w:t>159</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09C655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_Toc27481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7.3噪声污染防治措施</w:t>
          </w:r>
          <w:r>
            <w:rPr>
              <w:color w:val="auto"/>
              <w:highlight w:val="none"/>
            </w:rPr>
            <w:tab/>
          </w:r>
          <w:r>
            <w:rPr>
              <w:color w:val="auto"/>
              <w:highlight w:val="none"/>
            </w:rPr>
            <w:fldChar w:fldCharType="begin"/>
          </w:r>
          <w:r>
            <w:rPr>
              <w:color w:val="auto"/>
              <w:highlight w:val="none"/>
            </w:rPr>
            <w:instrText xml:space="preserve"> PAGEREF _Toc27481 \h </w:instrText>
          </w:r>
          <w:r>
            <w:rPr>
              <w:color w:val="auto"/>
              <w:highlight w:val="none"/>
            </w:rPr>
            <w:fldChar w:fldCharType="separate"/>
          </w:r>
          <w:r>
            <w:rPr>
              <w:color w:val="auto"/>
              <w:highlight w:val="none"/>
            </w:rPr>
            <w:t>160</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34525AC">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_Toc15752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7.4地下水环境污染防治措施</w:t>
          </w:r>
          <w:r>
            <w:rPr>
              <w:color w:val="auto"/>
              <w:highlight w:val="none"/>
            </w:rPr>
            <w:tab/>
          </w:r>
          <w:r>
            <w:rPr>
              <w:color w:val="auto"/>
              <w:highlight w:val="none"/>
            </w:rPr>
            <w:fldChar w:fldCharType="begin"/>
          </w:r>
          <w:r>
            <w:rPr>
              <w:color w:val="auto"/>
              <w:highlight w:val="none"/>
            </w:rPr>
            <w:instrText xml:space="preserve"> PAGEREF _Toc15752 \h </w:instrText>
          </w:r>
          <w:r>
            <w:rPr>
              <w:color w:val="auto"/>
              <w:highlight w:val="none"/>
            </w:rPr>
            <w:fldChar w:fldCharType="separate"/>
          </w:r>
          <w:r>
            <w:rPr>
              <w:color w:val="auto"/>
              <w:highlight w:val="none"/>
            </w:rPr>
            <w:t>161</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DC26D6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_Toc26740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7.5土壤环境污染防治措施</w:t>
          </w:r>
          <w:r>
            <w:rPr>
              <w:color w:val="auto"/>
              <w:highlight w:val="none"/>
            </w:rPr>
            <w:tab/>
          </w:r>
          <w:r>
            <w:rPr>
              <w:color w:val="auto"/>
              <w:highlight w:val="none"/>
            </w:rPr>
            <w:fldChar w:fldCharType="begin"/>
          </w:r>
          <w:r>
            <w:rPr>
              <w:color w:val="auto"/>
              <w:highlight w:val="none"/>
            </w:rPr>
            <w:instrText xml:space="preserve"> PAGEREF _Toc26740 \h </w:instrText>
          </w:r>
          <w:r>
            <w:rPr>
              <w:color w:val="auto"/>
              <w:highlight w:val="none"/>
            </w:rPr>
            <w:fldChar w:fldCharType="separate"/>
          </w:r>
          <w:r>
            <w:rPr>
              <w:color w:val="auto"/>
              <w:highlight w:val="none"/>
            </w:rPr>
            <w:t>161</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13C4568">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_Toc20403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7.6环境空气污染防治措施</w:t>
          </w:r>
          <w:r>
            <w:rPr>
              <w:color w:val="auto"/>
              <w:highlight w:val="none"/>
            </w:rPr>
            <w:tab/>
          </w:r>
          <w:r>
            <w:rPr>
              <w:color w:val="auto"/>
              <w:highlight w:val="none"/>
            </w:rPr>
            <w:fldChar w:fldCharType="begin"/>
          </w:r>
          <w:r>
            <w:rPr>
              <w:color w:val="auto"/>
              <w:highlight w:val="none"/>
            </w:rPr>
            <w:instrText xml:space="preserve"> PAGEREF _Toc20403 \h </w:instrText>
          </w:r>
          <w:r>
            <w:rPr>
              <w:color w:val="auto"/>
              <w:highlight w:val="none"/>
            </w:rPr>
            <w:fldChar w:fldCharType="separate"/>
          </w:r>
          <w:r>
            <w:rPr>
              <w:color w:val="auto"/>
              <w:highlight w:val="none"/>
            </w:rPr>
            <w:t>161</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4C0DEBBD">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_Toc5520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7.7固体废物污染防治措施</w:t>
          </w:r>
          <w:r>
            <w:rPr>
              <w:color w:val="auto"/>
              <w:highlight w:val="none"/>
            </w:rPr>
            <w:tab/>
          </w:r>
          <w:r>
            <w:rPr>
              <w:color w:val="auto"/>
              <w:highlight w:val="none"/>
            </w:rPr>
            <w:fldChar w:fldCharType="begin"/>
          </w:r>
          <w:r>
            <w:rPr>
              <w:color w:val="auto"/>
              <w:highlight w:val="none"/>
            </w:rPr>
            <w:instrText xml:space="preserve"> PAGEREF _Toc5520 \h </w:instrText>
          </w:r>
          <w:r>
            <w:rPr>
              <w:color w:val="auto"/>
              <w:highlight w:val="none"/>
            </w:rPr>
            <w:fldChar w:fldCharType="separate"/>
          </w:r>
          <w:r>
            <w:rPr>
              <w:color w:val="auto"/>
              <w:highlight w:val="none"/>
            </w:rPr>
            <w:t>163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9915DA3">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_Toc18952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7.</w:t>
          </w:r>
          <w:r>
            <w:rPr>
              <w:rFonts w:hint="eastAsia" w:cs="Times New Roman"/>
              <w:color w:val="auto"/>
              <w:szCs w:val="28"/>
              <w:highlight w:val="none"/>
              <w:lang w:val="en-US" w:eastAsia="zh-CN"/>
            </w:rPr>
            <w:t>8</w:t>
          </w:r>
          <w:r>
            <w:rPr>
              <w:rFonts w:hint="default" w:ascii="Times New Roman" w:hAnsi="Times New Roman" w:cs="Times New Roman"/>
              <w:color w:val="auto"/>
              <w:szCs w:val="28"/>
              <w:highlight w:val="none"/>
            </w:rPr>
            <w:t>环境敏感区保护措施</w:t>
          </w:r>
          <w:r>
            <w:rPr>
              <w:color w:val="auto"/>
              <w:highlight w:val="none"/>
            </w:rPr>
            <w:tab/>
          </w:r>
          <w:r>
            <w:rPr>
              <w:color w:val="auto"/>
              <w:highlight w:val="none"/>
            </w:rPr>
            <w:fldChar w:fldCharType="begin"/>
          </w:r>
          <w:r>
            <w:rPr>
              <w:color w:val="auto"/>
              <w:highlight w:val="none"/>
            </w:rPr>
            <w:instrText xml:space="preserve"> PAGEREF _Toc18952 \h </w:instrText>
          </w:r>
          <w:r>
            <w:rPr>
              <w:color w:val="auto"/>
              <w:highlight w:val="none"/>
            </w:rPr>
            <w:fldChar w:fldCharType="separate"/>
          </w:r>
          <w:r>
            <w:rPr>
              <w:color w:val="auto"/>
              <w:highlight w:val="none"/>
            </w:rPr>
            <w:t>164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339A06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_Toc28128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7.</w:t>
          </w:r>
          <w:r>
            <w:rPr>
              <w:rFonts w:hint="default" w:ascii="Times New Roman" w:hAnsi="Times New Roman" w:cs="Times New Roman"/>
              <w:color w:val="auto"/>
              <w:szCs w:val="28"/>
              <w:highlight w:val="none"/>
            </w:rPr>
            <w:t>10环境风险防范措施</w:t>
          </w:r>
          <w:r>
            <w:rPr>
              <w:color w:val="auto"/>
              <w:highlight w:val="none"/>
            </w:rPr>
            <w:tab/>
          </w:r>
          <w:r>
            <w:rPr>
              <w:color w:val="auto"/>
              <w:highlight w:val="none"/>
            </w:rPr>
            <w:fldChar w:fldCharType="begin"/>
          </w:r>
          <w:r>
            <w:rPr>
              <w:color w:val="auto"/>
              <w:highlight w:val="none"/>
            </w:rPr>
            <w:instrText xml:space="preserve"> PAGEREF _Toc28128 \h </w:instrText>
          </w:r>
          <w:r>
            <w:rPr>
              <w:color w:val="auto"/>
              <w:highlight w:val="none"/>
            </w:rPr>
            <w:fldChar w:fldCharType="separate"/>
          </w:r>
          <w:r>
            <w:rPr>
              <w:color w:val="auto"/>
              <w:highlight w:val="none"/>
            </w:rPr>
            <w:t>165</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11DAE39">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_Toc20095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eastAsia="宋体" w:cs="Times New Roman"/>
              <w:color w:val="auto"/>
              <w:szCs w:val="28"/>
              <w:highlight w:val="none"/>
              <w:lang w:eastAsia="zh-CN"/>
            </w:rPr>
            <w:t>8</w:t>
          </w:r>
          <w:r>
            <w:rPr>
              <w:rFonts w:hint="default" w:ascii="Times New Roman" w:hAnsi="Times New Roman" w:eastAsia="宋体" w:cs="Times New Roman"/>
              <w:bCs w:val="0"/>
              <w:color w:val="auto"/>
              <w:szCs w:val="28"/>
              <w:highlight w:val="none"/>
              <w:lang w:eastAsia="zh-CN"/>
            </w:rPr>
            <w:t>产业政策及规划的符合性分析</w:t>
          </w:r>
          <w:r>
            <w:rPr>
              <w:color w:val="auto"/>
              <w:highlight w:val="none"/>
            </w:rPr>
            <w:tab/>
          </w:r>
          <w:r>
            <w:rPr>
              <w:color w:val="auto"/>
              <w:highlight w:val="none"/>
            </w:rPr>
            <w:fldChar w:fldCharType="begin"/>
          </w:r>
          <w:r>
            <w:rPr>
              <w:color w:val="auto"/>
              <w:highlight w:val="none"/>
            </w:rPr>
            <w:instrText xml:space="preserve"> PAGEREF _Toc20095 \h </w:instrText>
          </w:r>
          <w:r>
            <w:rPr>
              <w:color w:val="auto"/>
              <w:highlight w:val="none"/>
            </w:rPr>
            <w:fldChar w:fldCharType="separate"/>
          </w:r>
          <w:r>
            <w:rPr>
              <w:color w:val="auto"/>
              <w:highlight w:val="none"/>
            </w:rPr>
            <w:t>167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71F279F3">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_Toc15964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8.1与相关政策、法律法规的符合性分析</w:t>
          </w:r>
          <w:r>
            <w:rPr>
              <w:color w:val="auto"/>
              <w:highlight w:val="none"/>
            </w:rPr>
            <w:tab/>
          </w:r>
          <w:r>
            <w:rPr>
              <w:color w:val="auto"/>
              <w:highlight w:val="none"/>
            </w:rPr>
            <w:fldChar w:fldCharType="begin"/>
          </w:r>
          <w:r>
            <w:rPr>
              <w:color w:val="auto"/>
              <w:highlight w:val="none"/>
            </w:rPr>
            <w:instrText xml:space="preserve"> PAGEREF _Toc15964 \h </w:instrText>
          </w:r>
          <w:r>
            <w:rPr>
              <w:color w:val="auto"/>
              <w:highlight w:val="none"/>
            </w:rPr>
            <w:fldChar w:fldCharType="separate"/>
          </w:r>
          <w:r>
            <w:rPr>
              <w:color w:val="auto"/>
              <w:highlight w:val="none"/>
            </w:rPr>
            <w:t>167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3CE3FFA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_Toc2496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8.2与相关功能区划符合性分析</w:t>
          </w:r>
          <w:r>
            <w:rPr>
              <w:color w:val="auto"/>
              <w:highlight w:val="none"/>
            </w:rPr>
            <w:tab/>
          </w:r>
          <w:r>
            <w:rPr>
              <w:color w:val="auto"/>
              <w:highlight w:val="none"/>
            </w:rPr>
            <w:fldChar w:fldCharType="begin"/>
          </w:r>
          <w:r>
            <w:rPr>
              <w:color w:val="auto"/>
              <w:highlight w:val="none"/>
            </w:rPr>
            <w:instrText xml:space="preserve"> PAGEREF _Toc2496 \h </w:instrText>
          </w:r>
          <w:r>
            <w:rPr>
              <w:color w:val="auto"/>
              <w:highlight w:val="none"/>
            </w:rPr>
            <w:fldChar w:fldCharType="separate"/>
          </w:r>
          <w:r>
            <w:rPr>
              <w:color w:val="auto"/>
              <w:highlight w:val="none"/>
            </w:rPr>
            <w:t>169</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3308F7D">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_Toc18903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eastAsia" w:cs="Times New Roman"/>
              <w:color w:val="auto"/>
              <w:szCs w:val="28"/>
              <w:highlight w:val="none"/>
              <w:lang w:val="en-US" w:eastAsia="zh-CN"/>
            </w:rPr>
            <w:t>8.3</w:t>
          </w:r>
          <w:r>
            <w:rPr>
              <w:rFonts w:hint="default" w:ascii="Times New Roman" w:hAnsi="Times New Roman" w:cs="Times New Roman"/>
              <w:color w:val="auto"/>
              <w:szCs w:val="28"/>
              <w:highlight w:val="none"/>
              <w:lang w:val="en-US" w:eastAsia="zh-CN"/>
            </w:rPr>
            <w:t>与“三线一单”的符合性</w:t>
          </w:r>
          <w:r>
            <w:rPr>
              <w:color w:val="auto"/>
              <w:highlight w:val="none"/>
            </w:rPr>
            <w:tab/>
          </w:r>
          <w:r>
            <w:rPr>
              <w:color w:val="auto"/>
              <w:highlight w:val="none"/>
            </w:rPr>
            <w:fldChar w:fldCharType="begin"/>
          </w:r>
          <w:r>
            <w:rPr>
              <w:color w:val="auto"/>
              <w:highlight w:val="none"/>
            </w:rPr>
            <w:instrText xml:space="preserve"> PAGEREF _Toc18903 \h </w:instrText>
          </w:r>
          <w:r>
            <w:rPr>
              <w:color w:val="auto"/>
              <w:highlight w:val="none"/>
            </w:rPr>
            <w:fldChar w:fldCharType="separate"/>
          </w:r>
          <w:r>
            <w:rPr>
              <w:color w:val="auto"/>
              <w:highlight w:val="none"/>
            </w:rPr>
            <w:t>177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D0962BD">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_Toc17389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9</w:t>
          </w:r>
          <w:r>
            <w:rPr>
              <w:rFonts w:hint="default" w:ascii="Times New Roman" w:hAnsi="Times New Roman" w:cs="Times New Roman"/>
              <w:color w:val="auto"/>
              <w:szCs w:val="28"/>
              <w:highlight w:val="none"/>
            </w:rPr>
            <w:t xml:space="preserve"> 环境影响经济损益分析</w:t>
          </w:r>
          <w:r>
            <w:rPr>
              <w:color w:val="auto"/>
              <w:highlight w:val="none"/>
            </w:rPr>
            <w:tab/>
          </w:r>
          <w:r>
            <w:rPr>
              <w:color w:val="auto"/>
              <w:highlight w:val="none"/>
            </w:rPr>
            <w:fldChar w:fldCharType="begin"/>
          </w:r>
          <w:r>
            <w:rPr>
              <w:color w:val="auto"/>
              <w:highlight w:val="none"/>
            </w:rPr>
            <w:instrText xml:space="preserve"> PAGEREF _Toc17389 \h </w:instrText>
          </w:r>
          <w:r>
            <w:rPr>
              <w:color w:val="auto"/>
              <w:highlight w:val="none"/>
            </w:rPr>
            <w:fldChar w:fldCharType="separate"/>
          </w:r>
          <w:r>
            <w:rPr>
              <w:color w:val="auto"/>
              <w:highlight w:val="none"/>
            </w:rPr>
            <w:t>183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FC34320">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_Toc23622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9.1环保投资估算</w:t>
          </w:r>
          <w:r>
            <w:rPr>
              <w:color w:val="auto"/>
              <w:highlight w:val="none"/>
            </w:rPr>
            <w:tab/>
          </w:r>
          <w:r>
            <w:rPr>
              <w:color w:val="auto"/>
              <w:highlight w:val="none"/>
            </w:rPr>
            <w:fldChar w:fldCharType="begin"/>
          </w:r>
          <w:r>
            <w:rPr>
              <w:color w:val="auto"/>
              <w:highlight w:val="none"/>
            </w:rPr>
            <w:instrText xml:space="preserve"> PAGEREF _Toc23622 \h </w:instrText>
          </w:r>
          <w:r>
            <w:rPr>
              <w:color w:val="auto"/>
              <w:highlight w:val="none"/>
            </w:rPr>
            <w:fldChar w:fldCharType="separate"/>
          </w:r>
          <w:r>
            <w:rPr>
              <w:color w:val="auto"/>
              <w:highlight w:val="none"/>
            </w:rPr>
            <w:t>183</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275222D">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_Toc4188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9.2经济效益</w:t>
          </w:r>
          <w:r>
            <w:rPr>
              <w:color w:val="auto"/>
              <w:highlight w:val="none"/>
            </w:rPr>
            <w:tab/>
          </w:r>
          <w:r>
            <w:rPr>
              <w:color w:val="auto"/>
              <w:highlight w:val="none"/>
            </w:rPr>
            <w:fldChar w:fldCharType="begin"/>
          </w:r>
          <w:r>
            <w:rPr>
              <w:color w:val="auto"/>
              <w:highlight w:val="none"/>
            </w:rPr>
            <w:instrText xml:space="preserve"> PAGEREF _Toc4188 \h </w:instrText>
          </w:r>
          <w:r>
            <w:rPr>
              <w:color w:val="auto"/>
              <w:highlight w:val="none"/>
            </w:rPr>
            <w:fldChar w:fldCharType="separate"/>
          </w:r>
          <w:r>
            <w:rPr>
              <w:color w:val="auto"/>
              <w:highlight w:val="none"/>
            </w:rPr>
            <w:t>184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C7F7CA9">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_Toc24128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9.3</w:t>
          </w:r>
          <w:r>
            <w:rPr>
              <w:rFonts w:hint="default" w:ascii="Times New Roman" w:hAnsi="Times New Roman" w:cs="Times New Roman"/>
              <w:color w:val="auto"/>
              <w:szCs w:val="28"/>
              <w:highlight w:val="none"/>
            </w:rPr>
            <w:t>社会效益分析</w:t>
          </w:r>
          <w:r>
            <w:rPr>
              <w:color w:val="auto"/>
              <w:highlight w:val="none"/>
            </w:rPr>
            <w:tab/>
          </w:r>
          <w:r>
            <w:rPr>
              <w:color w:val="auto"/>
              <w:highlight w:val="none"/>
            </w:rPr>
            <w:fldChar w:fldCharType="begin"/>
          </w:r>
          <w:r>
            <w:rPr>
              <w:color w:val="auto"/>
              <w:highlight w:val="none"/>
            </w:rPr>
            <w:instrText xml:space="preserve"> PAGEREF _Toc24128 \h </w:instrText>
          </w:r>
          <w:r>
            <w:rPr>
              <w:color w:val="auto"/>
              <w:highlight w:val="none"/>
            </w:rPr>
            <w:fldChar w:fldCharType="separate"/>
          </w:r>
          <w:r>
            <w:rPr>
              <w:color w:val="auto"/>
              <w:highlight w:val="none"/>
            </w:rPr>
            <w:t>184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587D698">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_Toc4063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9.4</w:t>
          </w:r>
          <w:r>
            <w:rPr>
              <w:rFonts w:hint="default" w:ascii="Times New Roman" w:hAnsi="Times New Roman" w:cs="Times New Roman"/>
              <w:color w:val="auto"/>
              <w:szCs w:val="28"/>
              <w:highlight w:val="none"/>
            </w:rPr>
            <w:t>生态效益分析</w:t>
          </w:r>
          <w:r>
            <w:rPr>
              <w:color w:val="auto"/>
              <w:highlight w:val="none"/>
            </w:rPr>
            <w:tab/>
          </w:r>
          <w:r>
            <w:rPr>
              <w:color w:val="auto"/>
              <w:highlight w:val="none"/>
            </w:rPr>
            <w:fldChar w:fldCharType="begin"/>
          </w:r>
          <w:r>
            <w:rPr>
              <w:color w:val="auto"/>
              <w:highlight w:val="none"/>
            </w:rPr>
            <w:instrText xml:space="preserve"> PAGEREF _Toc4063 \h </w:instrText>
          </w:r>
          <w:r>
            <w:rPr>
              <w:color w:val="auto"/>
              <w:highlight w:val="none"/>
            </w:rPr>
            <w:fldChar w:fldCharType="separate"/>
          </w:r>
          <w:r>
            <w:rPr>
              <w:color w:val="auto"/>
              <w:highlight w:val="none"/>
            </w:rPr>
            <w:t>184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313A148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_Toc23099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9.5小结</w:t>
          </w:r>
          <w:r>
            <w:rPr>
              <w:color w:val="auto"/>
              <w:highlight w:val="none"/>
            </w:rPr>
            <w:tab/>
          </w:r>
          <w:r>
            <w:rPr>
              <w:color w:val="auto"/>
              <w:highlight w:val="none"/>
            </w:rPr>
            <w:fldChar w:fldCharType="begin"/>
          </w:r>
          <w:r>
            <w:rPr>
              <w:color w:val="auto"/>
              <w:highlight w:val="none"/>
            </w:rPr>
            <w:instrText xml:space="preserve"> PAGEREF _Toc23099 \h </w:instrText>
          </w:r>
          <w:r>
            <w:rPr>
              <w:color w:val="auto"/>
              <w:highlight w:val="none"/>
            </w:rPr>
            <w:fldChar w:fldCharType="separate"/>
          </w:r>
          <w:r>
            <w:rPr>
              <w:color w:val="auto"/>
              <w:highlight w:val="none"/>
            </w:rPr>
            <w:t>185</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F103B52">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_Toc23053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val="en-US" w:eastAsia="zh-CN"/>
            </w:rPr>
            <w:t>10</w:t>
          </w:r>
          <w:r>
            <w:rPr>
              <w:rFonts w:hint="default" w:ascii="Times New Roman" w:hAnsi="Times New Roman" w:cs="Times New Roman"/>
              <w:color w:val="auto"/>
              <w:szCs w:val="28"/>
              <w:highlight w:val="none"/>
            </w:rPr>
            <w:t>环境管理与监测计划</w:t>
          </w:r>
          <w:r>
            <w:rPr>
              <w:color w:val="auto"/>
              <w:highlight w:val="none"/>
            </w:rPr>
            <w:tab/>
          </w:r>
          <w:r>
            <w:rPr>
              <w:color w:val="auto"/>
              <w:highlight w:val="none"/>
            </w:rPr>
            <w:fldChar w:fldCharType="begin"/>
          </w:r>
          <w:r>
            <w:rPr>
              <w:color w:val="auto"/>
              <w:highlight w:val="none"/>
            </w:rPr>
            <w:instrText xml:space="preserve"> PAGEREF _Toc23053 \h </w:instrText>
          </w:r>
          <w:r>
            <w:rPr>
              <w:color w:val="auto"/>
              <w:highlight w:val="none"/>
            </w:rPr>
            <w:fldChar w:fldCharType="separate"/>
          </w:r>
          <w:r>
            <w:rPr>
              <w:color w:val="auto"/>
              <w:highlight w:val="none"/>
            </w:rPr>
            <w:t>186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1F236AB">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_Toc32116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10</w:t>
          </w:r>
          <w:r>
            <w:rPr>
              <w:rFonts w:hint="default" w:ascii="Times New Roman" w:hAnsi="Times New Roman" w:cs="Times New Roman"/>
              <w:color w:val="auto"/>
              <w:szCs w:val="28"/>
              <w:highlight w:val="none"/>
            </w:rPr>
            <w:t>.1环境管理</w:t>
          </w:r>
          <w:r>
            <w:rPr>
              <w:color w:val="auto"/>
              <w:highlight w:val="none"/>
            </w:rPr>
            <w:tab/>
          </w:r>
          <w:r>
            <w:rPr>
              <w:color w:val="auto"/>
              <w:highlight w:val="none"/>
            </w:rPr>
            <w:fldChar w:fldCharType="begin"/>
          </w:r>
          <w:r>
            <w:rPr>
              <w:color w:val="auto"/>
              <w:highlight w:val="none"/>
            </w:rPr>
            <w:instrText xml:space="preserve"> PAGEREF _Toc32116 \h </w:instrText>
          </w:r>
          <w:r>
            <w:rPr>
              <w:color w:val="auto"/>
              <w:highlight w:val="none"/>
            </w:rPr>
            <w:fldChar w:fldCharType="separate"/>
          </w:r>
          <w:r>
            <w:rPr>
              <w:color w:val="auto"/>
              <w:highlight w:val="none"/>
            </w:rPr>
            <w:t>186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F673CC3">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_Toc7979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10</w:t>
          </w:r>
          <w:r>
            <w:rPr>
              <w:rFonts w:hint="default" w:ascii="Times New Roman" w:hAnsi="Times New Roman" w:cs="Times New Roman"/>
              <w:color w:val="auto"/>
              <w:szCs w:val="28"/>
              <w:highlight w:val="none"/>
              <w:lang w:val="zh-CN"/>
            </w:rPr>
            <w:t>.2环境监测计划</w:t>
          </w:r>
          <w:r>
            <w:rPr>
              <w:color w:val="auto"/>
              <w:highlight w:val="none"/>
            </w:rPr>
            <w:tab/>
          </w:r>
          <w:r>
            <w:rPr>
              <w:color w:val="auto"/>
              <w:highlight w:val="none"/>
            </w:rPr>
            <w:fldChar w:fldCharType="begin"/>
          </w:r>
          <w:r>
            <w:rPr>
              <w:color w:val="auto"/>
              <w:highlight w:val="none"/>
            </w:rPr>
            <w:instrText xml:space="preserve"> PAGEREF _Toc7979 \h </w:instrText>
          </w:r>
          <w:r>
            <w:rPr>
              <w:color w:val="auto"/>
              <w:highlight w:val="none"/>
            </w:rPr>
            <w:fldChar w:fldCharType="separate"/>
          </w:r>
          <w:r>
            <w:rPr>
              <w:color w:val="auto"/>
              <w:highlight w:val="none"/>
            </w:rPr>
            <w:t>190</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0C2C8D0">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_Toc23605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10</w:t>
          </w:r>
          <w:r>
            <w:rPr>
              <w:rFonts w:hint="default" w:ascii="Times New Roman" w:hAnsi="Times New Roman" w:cs="Times New Roman"/>
              <w:color w:val="auto"/>
              <w:szCs w:val="28"/>
              <w:highlight w:val="none"/>
              <w:lang w:val="zh-CN"/>
            </w:rPr>
            <w:t>.3环境信息公开</w:t>
          </w:r>
          <w:r>
            <w:rPr>
              <w:color w:val="auto"/>
              <w:highlight w:val="none"/>
            </w:rPr>
            <w:tab/>
          </w:r>
          <w:r>
            <w:rPr>
              <w:color w:val="auto"/>
              <w:highlight w:val="none"/>
            </w:rPr>
            <w:fldChar w:fldCharType="begin"/>
          </w:r>
          <w:r>
            <w:rPr>
              <w:color w:val="auto"/>
              <w:highlight w:val="none"/>
            </w:rPr>
            <w:instrText xml:space="preserve"> PAGEREF _Toc23605 \h </w:instrText>
          </w:r>
          <w:r>
            <w:rPr>
              <w:color w:val="auto"/>
              <w:highlight w:val="none"/>
            </w:rPr>
            <w:fldChar w:fldCharType="separate"/>
          </w:r>
          <w:r>
            <w:rPr>
              <w:color w:val="auto"/>
              <w:highlight w:val="none"/>
            </w:rPr>
            <w:t>191</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04BDCEA">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_Toc20889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10</w:t>
          </w:r>
          <w:r>
            <w:rPr>
              <w:rFonts w:hint="default" w:ascii="Times New Roman" w:hAnsi="Times New Roman" w:cs="Times New Roman"/>
              <w:color w:val="auto"/>
              <w:szCs w:val="28"/>
              <w:highlight w:val="none"/>
              <w:lang w:val="zh-CN"/>
            </w:rPr>
            <w:t>.4环境污染防治设施竣工验收管理</w:t>
          </w:r>
          <w:r>
            <w:rPr>
              <w:color w:val="auto"/>
              <w:highlight w:val="none"/>
            </w:rPr>
            <w:tab/>
          </w:r>
          <w:r>
            <w:rPr>
              <w:color w:val="auto"/>
              <w:highlight w:val="none"/>
            </w:rPr>
            <w:fldChar w:fldCharType="begin"/>
          </w:r>
          <w:r>
            <w:rPr>
              <w:color w:val="auto"/>
              <w:highlight w:val="none"/>
            </w:rPr>
            <w:instrText xml:space="preserve"> PAGEREF _Toc20889 \h </w:instrText>
          </w:r>
          <w:r>
            <w:rPr>
              <w:color w:val="auto"/>
              <w:highlight w:val="none"/>
            </w:rPr>
            <w:fldChar w:fldCharType="separate"/>
          </w:r>
          <w:r>
            <w:rPr>
              <w:color w:val="auto"/>
              <w:highlight w:val="none"/>
            </w:rPr>
            <w:t>192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A393AFF">
          <w:pPr>
            <w:pStyle w:val="21"/>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_Toc25446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11</w:t>
          </w:r>
          <w:r>
            <w:rPr>
              <w:rFonts w:hint="default" w:ascii="Times New Roman" w:hAnsi="Times New Roman" w:cs="Times New Roman"/>
              <w:color w:val="auto"/>
              <w:szCs w:val="28"/>
              <w:highlight w:val="none"/>
              <w:lang w:val="zh-CN"/>
            </w:rPr>
            <w:t>结论及建议</w:t>
          </w:r>
          <w:r>
            <w:rPr>
              <w:color w:val="auto"/>
              <w:highlight w:val="none"/>
            </w:rPr>
            <w:tab/>
          </w:r>
          <w:r>
            <w:rPr>
              <w:color w:val="auto"/>
              <w:highlight w:val="none"/>
            </w:rPr>
            <w:fldChar w:fldCharType="begin"/>
          </w:r>
          <w:r>
            <w:rPr>
              <w:color w:val="auto"/>
              <w:highlight w:val="none"/>
            </w:rPr>
            <w:instrText xml:space="preserve"> PAGEREF _Toc25446 \h </w:instrText>
          </w:r>
          <w:r>
            <w:rPr>
              <w:color w:val="auto"/>
              <w:highlight w:val="none"/>
            </w:rPr>
            <w:fldChar w:fldCharType="separate"/>
          </w:r>
          <w:r>
            <w:rPr>
              <w:color w:val="auto"/>
              <w:highlight w:val="none"/>
            </w:rPr>
            <w:t>196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458F4ACC">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_Toc9001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11</w:t>
          </w:r>
          <w:r>
            <w:rPr>
              <w:rFonts w:hint="default" w:ascii="Times New Roman" w:hAnsi="Times New Roman" w:cs="Times New Roman"/>
              <w:color w:val="auto"/>
              <w:szCs w:val="28"/>
              <w:highlight w:val="none"/>
              <w:lang w:val="zh-CN"/>
            </w:rPr>
            <w:t>.1项目概况</w:t>
          </w:r>
          <w:r>
            <w:rPr>
              <w:color w:val="auto"/>
              <w:highlight w:val="none"/>
            </w:rPr>
            <w:tab/>
          </w:r>
          <w:r>
            <w:rPr>
              <w:color w:val="auto"/>
              <w:highlight w:val="none"/>
            </w:rPr>
            <w:fldChar w:fldCharType="begin"/>
          </w:r>
          <w:r>
            <w:rPr>
              <w:color w:val="auto"/>
              <w:highlight w:val="none"/>
            </w:rPr>
            <w:instrText xml:space="preserve"> PAGEREF _Toc9001 \h </w:instrText>
          </w:r>
          <w:r>
            <w:rPr>
              <w:color w:val="auto"/>
              <w:highlight w:val="none"/>
            </w:rPr>
            <w:fldChar w:fldCharType="separate"/>
          </w:r>
          <w:r>
            <w:rPr>
              <w:color w:val="auto"/>
              <w:highlight w:val="none"/>
            </w:rPr>
            <w:t>196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0252C027">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_Toc16286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11</w:t>
          </w:r>
          <w:r>
            <w:rPr>
              <w:rFonts w:hint="default" w:ascii="Times New Roman" w:hAnsi="Times New Roman" w:cs="Times New Roman"/>
              <w:color w:val="auto"/>
              <w:szCs w:val="28"/>
              <w:highlight w:val="none"/>
              <w:lang w:val="zh-CN"/>
            </w:rPr>
            <w:t>.2环境质量现状</w:t>
          </w:r>
          <w:r>
            <w:rPr>
              <w:color w:val="auto"/>
              <w:highlight w:val="none"/>
            </w:rPr>
            <w:tab/>
          </w:r>
          <w:r>
            <w:rPr>
              <w:color w:val="auto"/>
              <w:highlight w:val="none"/>
            </w:rPr>
            <w:fldChar w:fldCharType="begin"/>
          </w:r>
          <w:r>
            <w:rPr>
              <w:color w:val="auto"/>
              <w:highlight w:val="none"/>
            </w:rPr>
            <w:instrText xml:space="preserve"> PAGEREF _Toc16286 \h </w:instrText>
          </w:r>
          <w:r>
            <w:rPr>
              <w:color w:val="auto"/>
              <w:highlight w:val="none"/>
            </w:rPr>
            <w:fldChar w:fldCharType="separate"/>
          </w:r>
          <w:r>
            <w:rPr>
              <w:color w:val="auto"/>
              <w:highlight w:val="none"/>
            </w:rPr>
            <w:t>197</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404964FB">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_Toc4352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lang w:eastAsia="zh-CN"/>
            </w:rPr>
            <w:t>11</w:t>
          </w:r>
          <w:r>
            <w:rPr>
              <w:rFonts w:hint="default" w:ascii="Times New Roman" w:hAnsi="Times New Roman" w:cs="Times New Roman"/>
              <w:color w:val="auto"/>
              <w:szCs w:val="28"/>
              <w:highlight w:val="none"/>
              <w:lang w:val="zh-CN"/>
            </w:rPr>
            <w:t>.3环境影响分析</w:t>
          </w:r>
          <w:r>
            <w:rPr>
              <w:color w:val="auto"/>
              <w:highlight w:val="none"/>
            </w:rPr>
            <w:tab/>
          </w:r>
          <w:r>
            <w:rPr>
              <w:color w:val="auto"/>
              <w:highlight w:val="none"/>
            </w:rPr>
            <w:fldChar w:fldCharType="begin"/>
          </w:r>
          <w:r>
            <w:rPr>
              <w:color w:val="auto"/>
              <w:highlight w:val="none"/>
            </w:rPr>
            <w:instrText xml:space="preserve"> PAGEREF _Toc4352 \h </w:instrText>
          </w:r>
          <w:r>
            <w:rPr>
              <w:color w:val="auto"/>
              <w:highlight w:val="none"/>
            </w:rPr>
            <w:fldChar w:fldCharType="separate"/>
          </w:r>
          <w:r>
            <w:rPr>
              <w:color w:val="auto"/>
              <w:highlight w:val="none"/>
            </w:rPr>
            <w:t>198</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25B8B042">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_Toc9519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w:t>
          </w:r>
          <w:r>
            <w:rPr>
              <w:rFonts w:hint="default" w:ascii="Times New Roman" w:hAnsi="Times New Roman" w:cs="Times New Roman"/>
              <w:color w:val="auto"/>
              <w:szCs w:val="28"/>
              <w:highlight w:val="none"/>
              <w:lang w:val="en-US" w:eastAsia="zh-CN"/>
            </w:rPr>
            <w:t>1</w:t>
          </w:r>
          <w:r>
            <w:rPr>
              <w:rFonts w:hint="default" w:ascii="Times New Roman" w:hAnsi="Times New Roman" w:cs="Times New Roman"/>
              <w:color w:val="auto"/>
              <w:szCs w:val="28"/>
              <w:highlight w:val="none"/>
            </w:rPr>
            <w:t>.4环境保护及减缓措施</w:t>
          </w:r>
          <w:r>
            <w:rPr>
              <w:color w:val="auto"/>
              <w:highlight w:val="none"/>
            </w:rPr>
            <w:tab/>
          </w:r>
          <w:r>
            <w:rPr>
              <w:color w:val="auto"/>
              <w:highlight w:val="none"/>
            </w:rPr>
            <w:fldChar w:fldCharType="begin"/>
          </w:r>
          <w:r>
            <w:rPr>
              <w:color w:val="auto"/>
              <w:highlight w:val="none"/>
            </w:rPr>
            <w:instrText xml:space="preserve"> PAGEREF _Toc9519 \h </w:instrText>
          </w:r>
          <w:r>
            <w:rPr>
              <w:color w:val="auto"/>
              <w:highlight w:val="none"/>
            </w:rPr>
            <w:fldChar w:fldCharType="separate"/>
          </w:r>
          <w:r>
            <w:rPr>
              <w:color w:val="auto"/>
              <w:highlight w:val="none"/>
            </w:rPr>
            <w:t>202</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140AEEF">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_Toc8189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w:t>
          </w:r>
          <w:r>
            <w:rPr>
              <w:rFonts w:hint="default" w:ascii="Times New Roman" w:hAnsi="Times New Roman" w:cs="Times New Roman"/>
              <w:color w:val="auto"/>
              <w:szCs w:val="28"/>
              <w:highlight w:val="none"/>
              <w:lang w:val="en-US" w:eastAsia="zh-CN"/>
            </w:rPr>
            <w:t>1</w:t>
          </w:r>
          <w:r>
            <w:rPr>
              <w:rFonts w:hint="default" w:ascii="Times New Roman" w:hAnsi="Times New Roman" w:cs="Times New Roman"/>
              <w:color w:val="auto"/>
              <w:szCs w:val="28"/>
              <w:highlight w:val="none"/>
            </w:rPr>
            <w:t>.6公众参与</w:t>
          </w:r>
          <w:r>
            <w:rPr>
              <w:color w:val="auto"/>
              <w:highlight w:val="none"/>
            </w:rPr>
            <w:tab/>
          </w:r>
          <w:r>
            <w:rPr>
              <w:color w:val="auto"/>
              <w:highlight w:val="none"/>
            </w:rPr>
            <w:fldChar w:fldCharType="begin"/>
          </w:r>
          <w:r>
            <w:rPr>
              <w:color w:val="auto"/>
              <w:highlight w:val="none"/>
            </w:rPr>
            <w:instrText xml:space="preserve"> PAGEREF _Toc8189 \h </w:instrText>
          </w:r>
          <w:r>
            <w:rPr>
              <w:color w:val="auto"/>
              <w:highlight w:val="none"/>
            </w:rPr>
            <w:fldChar w:fldCharType="separate"/>
          </w:r>
          <w:r>
            <w:rPr>
              <w:color w:val="auto"/>
              <w:highlight w:val="none"/>
            </w:rPr>
            <w:t>204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58532FFD">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_Toc20344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w:t>
          </w:r>
          <w:r>
            <w:rPr>
              <w:rFonts w:hint="default" w:ascii="Times New Roman" w:hAnsi="Times New Roman" w:cs="Times New Roman"/>
              <w:color w:val="auto"/>
              <w:szCs w:val="28"/>
              <w:highlight w:val="none"/>
              <w:lang w:val="en-US" w:eastAsia="zh-CN"/>
            </w:rPr>
            <w:t>1</w:t>
          </w:r>
          <w:r>
            <w:rPr>
              <w:rFonts w:hint="default" w:ascii="Times New Roman" w:hAnsi="Times New Roman" w:cs="Times New Roman"/>
              <w:color w:val="auto"/>
              <w:szCs w:val="28"/>
              <w:highlight w:val="none"/>
            </w:rPr>
            <w:t>.7评价总结论</w:t>
          </w:r>
          <w:r>
            <w:rPr>
              <w:color w:val="auto"/>
              <w:highlight w:val="none"/>
            </w:rPr>
            <w:tab/>
          </w:r>
          <w:r>
            <w:rPr>
              <w:color w:val="auto"/>
              <w:highlight w:val="none"/>
            </w:rPr>
            <w:fldChar w:fldCharType="begin"/>
          </w:r>
          <w:r>
            <w:rPr>
              <w:color w:val="auto"/>
              <w:highlight w:val="none"/>
            </w:rPr>
            <w:instrText xml:space="preserve"> PAGEREF _Toc20344 \h </w:instrText>
          </w:r>
          <w:r>
            <w:rPr>
              <w:color w:val="auto"/>
              <w:highlight w:val="none"/>
            </w:rPr>
            <w:fldChar w:fldCharType="separate"/>
          </w:r>
          <w:r>
            <w:rPr>
              <w:color w:val="auto"/>
              <w:highlight w:val="none"/>
            </w:rPr>
            <w:t>204</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14C3F07B">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_Toc20357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color w:val="auto"/>
              <w:szCs w:val="28"/>
              <w:highlight w:val="none"/>
            </w:rPr>
            <w:t>1</w:t>
          </w:r>
          <w:r>
            <w:rPr>
              <w:rFonts w:hint="default" w:ascii="Times New Roman" w:hAnsi="Times New Roman" w:cs="Times New Roman"/>
              <w:color w:val="auto"/>
              <w:szCs w:val="28"/>
              <w:highlight w:val="none"/>
              <w:lang w:val="en-US" w:eastAsia="zh-CN"/>
            </w:rPr>
            <w:t>1</w:t>
          </w:r>
          <w:r>
            <w:rPr>
              <w:rFonts w:hint="default" w:ascii="Times New Roman" w:hAnsi="Times New Roman" w:cs="Times New Roman"/>
              <w:color w:val="auto"/>
              <w:szCs w:val="28"/>
              <w:highlight w:val="none"/>
            </w:rPr>
            <w:t>.8建议</w:t>
          </w:r>
          <w:r>
            <w:rPr>
              <w:color w:val="auto"/>
              <w:highlight w:val="none"/>
            </w:rPr>
            <w:tab/>
          </w:r>
          <w:r>
            <w:rPr>
              <w:color w:val="auto"/>
              <w:highlight w:val="none"/>
            </w:rPr>
            <w:fldChar w:fldCharType="begin"/>
          </w:r>
          <w:r>
            <w:rPr>
              <w:color w:val="auto"/>
              <w:highlight w:val="none"/>
            </w:rPr>
            <w:instrText xml:space="preserve"> PAGEREF _Toc20357 \h </w:instrText>
          </w:r>
          <w:r>
            <w:rPr>
              <w:color w:val="auto"/>
              <w:highlight w:val="none"/>
            </w:rPr>
            <w:fldChar w:fldCharType="separate"/>
          </w:r>
          <w:r>
            <w:rPr>
              <w:color w:val="auto"/>
              <w:highlight w:val="none"/>
            </w:rPr>
            <w:t>205</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6A7ED3ED">
          <w:pPr>
            <w:pStyle w:val="25"/>
            <w:tabs>
              <w:tab w:val="right" w:leader="dot" w:pos="9070"/>
            </w:tabs>
            <w:rPr>
              <w:color w:val="auto"/>
              <w:highlight w:val="none"/>
            </w:rPr>
          </w:pPr>
          <w:r>
            <w:rPr>
              <w:rFonts w:hint="default" w:ascii="Times New Roman" w:hAnsi="Times New Roman" w:eastAsia="宋体" w:cs="Times New Roman"/>
              <w:snapToGrid w:val="0"/>
              <w:color w:val="auto"/>
              <w:szCs w:val="44"/>
              <w:highlight w:val="none"/>
              <w:lang w:val="en-US" w:eastAsia="zh-CN" w:bidi="ar"/>
            </w:rPr>
            <w:fldChar w:fldCharType="begin"/>
          </w:r>
          <w:r>
            <w:rPr>
              <w:rFonts w:hint="default" w:ascii="Times New Roman" w:hAnsi="Times New Roman" w:eastAsia="宋体" w:cs="Times New Roman"/>
              <w:snapToGrid w:val="0"/>
              <w:color w:val="auto"/>
              <w:szCs w:val="44"/>
              <w:highlight w:val="none"/>
              <w:lang w:val="en-US" w:eastAsia="zh-CN" w:bidi="ar"/>
            </w:rPr>
            <w:instrText xml:space="preserve"> HYPERLINK \l _Toc6481 </w:instrText>
          </w:r>
          <w:r>
            <w:rPr>
              <w:rFonts w:hint="default" w:ascii="Times New Roman" w:hAnsi="Times New Roman" w:eastAsia="宋体" w:cs="Times New Roman"/>
              <w:snapToGrid w:val="0"/>
              <w:color w:val="auto"/>
              <w:szCs w:val="44"/>
              <w:highlight w:val="none"/>
              <w:lang w:val="en-US" w:eastAsia="zh-CN" w:bidi="ar"/>
            </w:rPr>
            <w:fldChar w:fldCharType="separate"/>
          </w:r>
          <w:r>
            <w:rPr>
              <w:rFonts w:hint="default" w:ascii="Times New Roman" w:hAnsi="Times New Roman" w:cs="Times New Roman"/>
              <w:bCs/>
              <w:color w:val="auto"/>
              <w:szCs w:val="24"/>
              <w:highlight w:val="none"/>
              <w:lang w:val="en-US" w:eastAsia="zh-CN"/>
            </w:rPr>
            <w:t>生态影响评价自查表</w:t>
          </w:r>
          <w:r>
            <w:rPr>
              <w:color w:val="auto"/>
              <w:highlight w:val="none"/>
            </w:rPr>
            <w:tab/>
          </w:r>
          <w:r>
            <w:rPr>
              <w:color w:val="auto"/>
              <w:highlight w:val="none"/>
            </w:rPr>
            <w:fldChar w:fldCharType="begin"/>
          </w:r>
          <w:r>
            <w:rPr>
              <w:color w:val="auto"/>
              <w:highlight w:val="none"/>
            </w:rPr>
            <w:instrText xml:space="preserve"> PAGEREF _Toc6481 \h </w:instrText>
          </w:r>
          <w:r>
            <w:rPr>
              <w:color w:val="auto"/>
              <w:highlight w:val="none"/>
            </w:rPr>
            <w:fldChar w:fldCharType="separate"/>
          </w:r>
          <w:r>
            <w:rPr>
              <w:color w:val="auto"/>
              <w:highlight w:val="none"/>
            </w:rPr>
            <w:t>206</w:t>
          </w:r>
          <w:r>
            <w:rPr>
              <w:color w:val="auto"/>
              <w:highlight w:val="none"/>
            </w:rPr>
            <w:fldChar w:fldCharType="end"/>
          </w:r>
          <w:r>
            <w:rPr>
              <w:rFonts w:hint="default" w:ascii="Times New Roman" w:hAnsi="Times New Roman" w:eastAsia="宋体" w:cs="Times New Roman"/>
              <w:snapToGrid w:val="0"/>
              <w:color w:val="auto"/>
              <w:szCs w:val="44"/>
              <w:highlight w:val="none"/>
              <w:lang w:val="en-US" w:eastAsia="zh-CN" w:bidi="ar"/>
            </w:rPr>
            <w:fldChar w:fldCharType="end"/>
          </w:r>
        </w:p>
        <w:p w14:paraId="31331043">
          <w:pPr>
            <w:spacing w:line="240" w:lineRule="auto"/>
            <w:ind w:firstLine="0" w:firstLineChars="0"/>
            <w:jc w:val="center"/>
            <w:outlineLvl w:val="9"/>
            <w:rPr>
              <w:rFonts w:hint="default" w:ascii="Times New Roman" w:hAnsi="Times New Roman" w:eastAsia="宋体" w:cs="Times New Roman"/>
              <w:snapToGrid w:val="0"/>
              <w:color w:val="auto"/>
              <w:kern w:val="2"/>
              <w:sz w:val="24"/>
              <w:szCs w:val="44"/>
              <w:highlight w:val="none"/>
              <w:lang w:val="en-US" w:eastAsia="zh-CN" w:bidi="ar"/>
            </w:rPr>
          </w:pPr>
          <w:r>
            <w:rPr>
              <w:rFonts w:hint="default" w:ascii="Times New Roman" w:hAnsi="Times New Roman" w:eastAsia="宋体" w:cs="Times New Roman"/>
              <w:snapToGrid w:val="0"/>
              <w:color w:val="auto"/>
              <w:szCs w:val="44"/>
              <w:highlight w:val="none"/>
              <w:lang w:val="en-US" w:eastAsia="zh-CN" w:bidi="ar"/>
            </w:rPr>
            <w:fldChar w:fldCharType="end"/>
          </w:r>
        </w:p>
      </w:sdtContent>
    </w:sdt>
    <w:p w14:paraId="4DE970BB">
      <w:pPr>
        <w:spacing w:line="240" w:lineRule="auto"/>
        <w:ind w:firstLine="0" w:firstLineChars="0"/>
        <w:jc w:val="center"/>
        <w:outlineLvl w:val="9"/>
        <w:rPr>
          <w:rFonts w:hint="default" w:ascii="Times New Roman" w:hAnsi="Times New Roman" w:eastAsia="宋体" w:cs="Times New Roman"/>
          <w:snapToGrid w:val="0"/>
          <w:color w:val="auto"/>
          <w:kern w:val="2"/>
          <w:sz w:val="24"/>
          <w:szCs w:val="44"/>
          <w:highlight w:val="none"/>
          <w:lang w:val="en-US" w:eastAsia="zh-CN" w:bidi="ar"/>
        </w:rPr>
        <w:sectPr>
          <w:footerReference r:id="rId8" w:type="first"/>
          <w:footerReference r:id="rId7" w:type="default"/>
          <w:pgSz w:w="11906" w:h="16838"/>
          <w:pgMar w:top="1418" w:right="1418" w:bottom="1418" w:left="1418" w:header="851" w:footer="964" w:gutter="0"/>
          <w:pgBorders>
            <w:top w:val="none" w:sz="0" w:space="0"/>
            <w:left w:val="none" w:sz="0" w:space="0"/>
            <w:bottom w:val="none" w:sz="0" w:space="0"/>
            <w:right w:val="none" w:sz="0" w:space="0"/>
          </w:pgBorders>
          <w:pgNumType w:fmt="upperRoman" w:start="1"/>
          <w:cols w:space="425" w:num="1"/>
          <w:titlePg/>
          <w:docGrid w:type="linesAndChars" w:linePitch="312" w:charSpace="0"/>
        </w:sectPr>
      </w:pPr>
    </w:p>
    <w:p w14:paraId="0B9B2129">
      <w:pPr>
        <w:pStyle w:val="3"/>
        <w:rPr>
          <w:rFonts w:hint="default" w:ascii="Times New Roman" w:hAnsi="Times New Roman" w:cs="Times New Roman"/>
          <w:color w:val="auto"/>
          <w:sz w:val="28"/>
          <w:szCs w:val="28"/>
          <w:highlight w:val="none"/>
        </w:rPr>
      </w:pPr>
      <w:bookmarkStart w:id="8" w:name="_Toc4798"/>
      <w:bookmarkStart w:id="9" w:name="_Toc6626"/>
      <w:bookmarkStart w:id="10" w:name="_Toc144"/>
      <w:bookmarkStart w:id="11" w:name="_Toc32391"/>
      <w:bookmarkStart w:id="12" w:name="_Toc16213"/>
      <w:r>
        <w:rPr>
          <w:rFonts w:hint="default" w:ascii="Times New Roman" w:hAnsi="Times New Roman" w:cs="Times New Roman"/>
          <w:color w:val="auto"/>
          <w:sz w:val="28"/>
          <w:szCs w:val="28"/>
          <w:highlight w:val="none"/>
        </w:rPr>
        <w:t>前言</w:t>
      </w:r>
      <w:bookmarkEnd w:id="8"/>
      <w:bookmarkEnd w:id="9"/>
      <w:bookmarkEnd w:id="10"/>
      <w:bookmarkEnd w:id="11"/>
    </w:p>
    <w:p w14:paraId="434A8FBC">
      <w:pPr>
        <w:pStyle w:val="4"/>
        <w:outlineLvl w:val="1"/>
        <w:rPr>
          <w:rFonts w:hint="default" w:ascii="Times New Roman" w:hAnsi="Times New Roman" w:cs="Times New Roman"/>
          <w:color w:val="auto"/>
          <w:sz w:val="28"/>
          <w:szCs w:val="28"/>
          <w:highlight w:val="none"/>
        </w:rPr>
      </w:pPr>
      <w:bookmarkStart w:id="13" w:name="_Toc20197"/>
      <w:bookmarkStart w:id="14" w:name="_Toc17718"/>
      <w:bookmarkStart w:id="15" w:name="_Toc11879"/>
      <w:bookmarkStart w:id="16" w:name="_Toc32084"/>
      <w:r>
        <w:rPr>
          <w:rFonts w:hint="default" w:ascii="Times New Roman" w:hAnsi="Times New Roman" w:cs="Times New Roman"/>
          <w:color w:val="auto"/>
          <w:sz w:val="28"/>
          <w:szCs w:val="28"/>
          <w:highlight w:val="none"/>
        </w:rPr>
        <w:t>1.项目实施背景</w:t>
      </w:r>
      <w:bookmarkEnd w:id="13"/>
      <w:bookmarkEnd w:id="14"/>
      <w:bookmarkEnd w:id="15"/>
      <w:bookmarkEnd w:id="16"/>
    </w:p>
    <w:p w14:paraId="4DC40F04">
      <w:pPr>
        <w:pStyle w:val="30"/>
        <w:spacing w:after="0" w:line="360" w:lineRule="auto"/>
        <w:ind w:firstLine="360" w:firstLineChars="15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近年来，彭阳县已对全县重点中小河流进行了治理，投入了大量人力、物力及资金</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自2017年全面推行河长制工作以来，彭阳县认真贯彻落实党中央、国务院关于全面推行河长制重大决策部署和自治区、水利部相关部署要求，按照区、市</w:t>
      </w:r>
      <w:r>
        <w:rPr>
          <w:rFonts w:hint="eastAsia" w:cs="Times New Roman"/>
          <w:color w:val="auto"/>
          <w:sz w:val="24"/>
          <w:highlight w:val="none"/>
          <w:lang w:eastAsia="zh-CN"/>
        </w:rPr>
        <w:t>党委、政府</w:t>
      </w:r>
      <w:r>
        <w:rPr>
          <w:rFonts w:hint="default" w:ascii="Times New Roman" w:hAnsi="Times New Roman" w:cs="Times New Roman"/>
          <w:color w:val="auto"/>
          <w:sz w:val="24"/>
          <w:highlight w:val="none"/>
        </w:rPr>
        <w:t>和水务部门有关安排部署要求，以保护水资源、防治水污染、改善水环境、修复水生态为主要任务，狠抓任务落实，强化综合施策，加大水资源、水生态、水环境、水灾害系统治理，坚持岸上岸下齐抓、治标治本并举，乡镇部门联动管理，全县河库面貌及水环境质量持续改善，各河流平均水质稳定达标，彭阳县河道治理效果明显。</w:t>
      </w:r>
    </w:p>
    <w:p w14:paraId="44215E9D">
      <w:pPr>
        <w:pStyle w:val="30"/>
        <w:spacing w:after="0" w:line="360" w:lineRule="auto"/>
        <w:ind w:firstLine="360" w:firstLineChars="15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2021年，水利部办公厅</w:t>
      </w:r>
      <w:r>
        <w:rPr>
          <w:rFonts w:hint="eastAsia" w:cs="Times New Roman"/>
          <w:color w:val="auto"/>
          <w:sz w:val="24"/>
          <w:highlight w:val="none"/>
          <w:lang w:eastAsia="zh-CN"/>
        </w:rPr>
        <w:t>印发了《关于</w:t>
      </w:r>
      <w:r>
        <w:rPr>
          <w:rFonts w:hint="default" w:ascii="Times New Roman" w:hAnsi="Times New Roman" w:cs="Times New Roman"/>
          <w:color w:val="auto"/>
          <w:sz w:val="24"/>
          <w:highlight w:val="none"/>
        </w:rPr>
        <w:t>全国中小河流治理总体方案编制技术大纲的通知》</w:t>
      </w:r>
      <w:r>
        <w:rPr>
          <w:rFonts w:hint="eastAsia" w:cs="Times New Roman"/>
          <w:color w:val="auto"/>
          <w:sz w:val="24"/>
          <w:highlight w:val="none"/>
          <w:lang w:eastAsia="zh-CN"/>
        </w:rPr>
        <w:t>（办</w:t>
      </w:r>
      <w:r>
        <w:rPr>
          <w:rFonts w:hint="default" w:ascii="Times New Roman" w:hAnsi="Times New Roman" w:cs="Times New Roman"/>
          <w:color w:val="auto"/>
          <w:sz w:val="24"/>
          <w:highlight w:val="none"/>
        </w:rPr>
        <w:t>建设</w:t>
      </w:r>
      <w:r>
        <w:rPr>
          <w:rFonts w:hint="eastAsia" w:cs="Times New Roman"/>
          <w:color w:val="auto"/>
          <w:sz w:val="24"/>
          <w:highlight w:val="none"/>
          <w:lang w:eastAsia="zh-CN"/>
        </w:rPr>
        <w:t>〔2022〕230号），</w:t>
      </w:r>
      <w:r>
        <w:rPr>
          <w:rFonts w:hint="default" w:ascii="Times New Roman" w:hAnsi="Times New Roman" w:cs="Times New Roman"/>
          <w:color w:val="auto"/>
          <w:sz w:val="24"/>
          <w:highlight w:val="none"/>
        </w:rPr>
        <w:t>文件中提出</w:t>
      </w:r>
      <w:r>
        <w:rPr>
          <w:rFonts w:hint="eastAsia" w:cs="Times New Roman"/>
          <w:color w:val="auto"/>
          <w:sz w:val="24"/>
          <w:highlight w:val="none"/>
          <w:lang w:eastAsia="zh-CN"/>
        </w:rPr>
        <w:t>截至</w:t>
      </w:r>
      <w:r>
        <w:rPr>
          <w:rFonts w:hint="default" w:ascii="Times New Roman" w:hAnsi="Times New Roman" w:cs="Times New Roman"/>
          <w:color w:val="auto"/>
          <w:sz w:val="24"/>
          <w:highlight w:val="none"/>
        </w:rPr>
        <w:t>2021年底，重点中小河流重要河段防洪能力得到明显提升，中小河流治理取得了明显成效和阶段性成果，但还存在治理不系统、不平衡、不充分等问题。中小河流防洪保护对象发生了较大变化，对防洪标准和防洪布局提出了新的更高要求。近年来，受气候变化和人类活动影响，水旱灾害的突发性、异常性、不确定性更为突出，极端天气事件明显增多，给中小河流防洪带来新挑战。针对中小河流防洪面临的新形势、新挑战，水利部李国英部长批示要切实改革治理模式，坚持以流域为单元，逐流域规划、逐流域治理、逐流域验收、逐流域建档立卡，一条河一条河治理，实现</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治理一条、见效一条</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。根据文件要求，彭阳县积极响应，认真梳理，</w:t>
      </w:r>
      <w:r>
        <w:rPr>
          <w:rFonts w:hint="eastAsia"/>
          <w:color w:val="auto"/>
          <w:highlight w:val="none"/>
          <w:lang w:val="en-US" w:eastAsia="zh-CN"/>
        </w:rPr>
        <w:t>决定建设</w:t>
      </w:r>
      <w:r>
        <w:rPr>
          <w:rFonts w:hint="default" w:ascii="Times New Roman" w:hAnsi="Times New Roman" w:cs="Times New Roman"/>
          <w:color w:val="auto"/>
          <w:sz w:val="24"/>
          <w:highlight w:val="none"/>
        </w:rPr>
        <w:t>彭阳县茹河（小河段）河道治理工程。</w:t>
      </w:r>
    </w:p>
    <w:p w14:paraId="6CF715DF">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分两期实施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一</w:t>
      </w:r>
      <w:r>
        <w:rPr>
          <w:rFonts w:hint="default" w:ascii="Times New Roman" w:hAnsi="Times New Roman" w:cs="Times New Roman"/>
          <w:color w:val="auto"/>
          <w:sz w:val="24"/>
          <w:szCs w:val="24"/>
          <w:highlight w:val="none"/>
          <w:lang w:val="en-US" w:eastAsia="zh-CN"/>
        </w:rPr>
        <w:t>期为</w:t>
      </w:r>
      <w:r>
        <w:rPr>
          <w:rFonts w:hint="default" w:ascii="Times New Roman" w:hAnsi="Times New Roman" w:cs="Times New Roman"/>
          <w:color w:val="auto"/>
          <w:sz w:val="24"/>
          <w:szCs w:val="24"/>
          <w:highlight w:val="none"/>
        </w:rPr>
        <w:t>河道综合治理工程，</w:t>
      </w:r>
      <w:r>
        <w:rPr>
          <w:rFonts w:hint="default" w:ascii="Times New Roman" w:hAnsi="Times New Roman" w:cs="Times New Roman"/>
          <w:color w:val="auto"/>
          <w:sz w:val="24"/>
          <w:highlight w:val="none"/>
        </w:rPr>
        <w:t>涵盖川口河段与小河段两大区域</w:t>
      </w:r>
      <w:r>
        <w:rPr>
          <w:rFonts w:hint="eastAsia" w:cs="Times New Roman"/>
          <w:color w:val="auto"/>
          <w:sz w:val="24"/>
          <w:highlight w:val="none"/>
          <w:lang w:eastAsia="zh-CN"/>
        </w:rPr>
        <w:t>，</w:t>
      </w:r>
      <w:r>
        <w:rPr>
          <w:rFonts w:hint="eastAsia" w:cs="Times New Roman"/>
          <w:color w:val="auto"/>
          <w:sz w:val="24"/>
          <w:highlight w:val="none"/>
          <w:lang w:val="en-US" w:eastAsia="zh-CN"/>
        </w:rPr>
        <w:t>共</w:t>
      </w:r>
      <w:r>
        <w:rPr>
          <w:rFonts w:hint="default" w:ascii="Times New Roman" w:hAnsi="Times New Roman" w:cs="Times New Roman"/>
          <w:color w:val="auto"/>
          <w:sz w:val="24"/>
          <w:szCs w:val="24"/>
          <w:highlight w:val="none"/>
        </w:rPr>
        <w:t>新建护岸12.76公里、巡检道路9.37公里，疏浚河道9.43公里，并配套建设过水路面、警示牌等附属设施；二</w:t>
      </w:r>
      <w:r>
        <w:rPr>
          <w:rFonts w:hint="default" w:ascii="Times New Roman" w:hAnsi="Times New Roman" w:cs="Times New Roman"/>
          <w:color w:val="auto"/>
          <w:sz w:val="24"/>
          <w:szCs w:val="24"/>
          <w:highlight w:val="none"/>
          <w:lang w:val="en-US" w:eastAsia="zh-CN"/>
        </w:rPr>
        <w:t>期为</w:t>
      </w:r>
      <w:r>
        <w:rPr>
          <w:rFonts w:hint="default" w:ascii="Times New Roman" w:hAnsi="Times New Roman" w:cs="Times New Roman"/>
          <w:color w:val="auto"/>
          <w:sz w:val="24"/>
          <w:szCs w:val="24"/>
          <w:highlight w:val="none"/>
        </w:rPr>
        <w:t>水库清淤及堆场工程，计划</w:t>
      </w:r>
      <w:r>
        <w:rPr>
          <w:rFonts w:hint="eastAsia" w:cs="Times New Roman"/>
          <w:color w:val="auto"/>
          <w:sz w:val="24"/>
          <w:szCs w:val="24"/>
          <w:highlight w:val="none"/>
          <w:lang w:eastAsia="zh-CN"/>
        </w:rPr>
        <w:t>水库</w:t>
      </w:r>
      <w:r>
        <w:rPr>
          <w:rFonts w:hint="default" w:ascii="Times New Roman" w:hAnsi="Times New Roman" w:cs="Times New Roman"/>
          <w:color w:val="auto"/>
          <w:sz w:val="24"/>
          <w:szCs w:val="24"/>
          <w:highlight w:val="none"/>
        </w:rPr>
        <w:t>清淤120万立方米，</w:t>
      </w:r>
      <w:r>
        <w:rPr>
          <w:rFonts w:hint="eastAsia" w:cs="Times New Roman"/>
          <w:color w:val="auto"/>
          <w:sz w:val="24"/>
          <w:szCs w:val="24"/>
          <w:highlight w:val="none"/>
          <w:lang w:eastAsia="zh-CN"/>
        </w:rPr>
        <w:t>清淤临时道路土方</w:t>
      </w:r>
      <w:r>
        <w:rPr>
          <w:rFonts w:hint="eastAsia"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万立方米</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设置堆场7处，总容积136万立方米。</w:t>
      </w:r>
      <w:r>
        <w:rPr>
          <w:rFonts w:hint="default" w:ascii="Times New Roman" w:hAnsi="Times New Roman" w:cs="Times New Roman"/>
          <w:color w:val="auto"/>
          <w:sz w:val="24"/>
          <w:highlight w:val="none"/>
        </w:rPr>
        <w:t>通过对茹河（小河段）综合治理，提高河道防洪减灾能力，改善河道水生态，保护河道岸线，提高河道防洪能力，为建设美丽茹河、生态宜居乡村，改善区域生态环境创造条件。</w:t>
      </w:r>
    </w:p>
    <w:p w14:paraId="0A063139">
      <w:pPr>
        <w:spacing w:line="360" w:lineRule="auto"/>
        <w:ind w:firstLine="480" w:firstLineChars="200"/>
        <w:jc w:val="both"/>
        <w:rPr>
          <w:rFonts w:hint="default" w:ascii="Times New Roman" w:hAnsi="Times New Roman" w:eastAsia="宋体" w:cs="Times New Roman"/>
          <w:snapToGrid w:val="0"/>
          <w:color w:val="auto"/>
          <w:sz w:val="24"/>
          <w:szCs w:val="24"/>
          <w:highlight w:val="none"/>
        </w:rPr>
      </w:pPr>
      <w:bookmarkStart w:id="17" w:name="_Toc7855"/>
      <w:r>
        <w:rPr>
          <w:rFonts w:hint="default" w:ascii="Times New Roman" w:hAnsi="Times New Roman" w:eastAsia="宋体" w:cs="Times New Roman"/>
          <w:snapToGrid w:val="0"/>
          <w:color w:val="auto"/>
          <w:sz w:val="24"/>
          <w:szCs w:val="24"/>
          <w:highlight w:val="none"/>
        </w:rPr>
        <w:t>根据《中华人民共和国环境影响评价法》《建设项目环境保护管理条例》等国家有关建设项目环境管理规定，</w:t>
      </w:r>
      <w:r>
        <w:rPr>
          <w:rFonts w:hint="default" w:ascii="Times New Roman" w:hAnsi="Times New Roman" w:eastAsia="宋体" w:cs="Times New Roman"/>
          <w:snapToGrid w:val="0"/>
          <w:color w:val="auto"/>
          <w:sz w:val="24"/>
          <w:szCs w:val="24"/>
          <w:highlight w:val="none"/>
          <w:lang w:val="en-US" w:eastAsia="zh-CN"/>
        </w:rPr>
        <w:t>彭阳县水</w:t>
      </w:r>
      <w:r>
        <w:rPr>
          <w:rFonts w:hint="default" w:ascii="Times New Roman" w:hAnsi="Times New Roman" w:eastAsia="宋体" w:cs="Times New Roman"/>
          <w:snapToGrid w:val="0"/>
          <w:color w:val="auto"/>
          <w:sz w:val="24"/>
          <w:szCs w:val="24"/>
          <w:highlight w:val="none"/>
        </w:rPr>
        <w:t>务局委托宁夏绿博环保科技有限公司承担</w:t>
      </w:r>
      <w:r>
        <w:rPr>
          <w:rFonts w:hint="eastAsia"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茹河支流河道生态综合治理项目（红茹河土地综合整治单元）—彭阳县茹河（小河段）河道治理工程</w:t>
      </w:r>
      <w:r>
        <w:rPr>
          <w:rFonts w:hint="eastAsia"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的环境影响评价工作。根据《建设项目环境影响评价分类管理名录》（2021年版），该</w:t>
      </w:r>
      <w:r>
        <w:rPr>
          <w:rFonts w:hint="eastAsia" w:cs="Times New Roman"/>
          <w:snapToGrid w:val="0"/>
          <w:color w:val="auto"/>
          <w:sz w:val="24"/>
          <w:szCs w:val="24"/>
          <w:highlight w:val="none"/>
          <w:lang w:eastAsia="zh-CN"/>
        </w:rPr>
        <w:t>工程</w:t>
      </w:r>
      <w:r>
        <w:rPr>
          <w:rFonts w:hint="default" w:ascii="Times New Roman" w:hAnsi="Times New Roman" w:eastAsia="宋体" w:cs="Times New Roman"/>
          <w:snapToGrid w:val="0"/>
          <w:color w:val="auto"/>
          <w:sz w:val="24"/>
          <w:szCs w:val="24"/>
          <w:highlight w:val="none"/>
        </w:rPr>
        <w:t>属于</w:t>
      </w:r>
      <w:r>
        <w:rPr>
          <w:rFonts w:hint="eastAsia"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五十一、水利—12</w:t>
      </w:r>
      <w:r>
        <w:rPr>
          <w:rFonts w:hint="eastAsia" w:cs="Times New Roman"/>
          <w:snapToGrid w:val="0"/>
          <w:color w:val="auto"/>
          <w:sz w:val="24"/>
          <w:szCs w:val="24"/>
          <w:highlight w:val="none"/>
          <w:lang w:val="en-US" w:eastAsia="zh-CN"/>
        </w:rPr>
        <w:t>8</w:t>
      </w:r>
      <w:r>
        <w:rPr>
          <w:rFonts w:ascii="宋体" w:hAnsi="宋体" w:eastAsia="宋体" w:cs="宋体"/>
          <w:color w:val="auto"/>
          <w:sz w:val="24"/>
          <w:szCs w:val="24"/>
          <w:highlight w:val="none"/>
        </w:rPr>
        <w:t>河湖整治（不含农村塘堰、水渠）</w:t>
      </w:r>
      <w:r>
        <w:rPr>
          <w:rFonts w:hint="eastAsia"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中</w:t>
      </w:r>
      <w:r>
        <w:rPr>
          <w:rFonts w:hint="default" w:ascii="Times New Roman" w:hAnsi="Times New Roman" w:eastAsia="宋体" w:cs="Times New Roman"/>
          <w:color w:val="auto"/>
          <w:sz w:val="24"/>
          <w:szCs w:val="24"/>
          <w:highlight w:val="none"/>
        </w:rPr>
        <w:t>涉及环境敏感区的</w:t>
      </w:r>
      <w:r>
        <w:rPr>
          <w:rFonts w:hint="default" w:ascii="Times New Roman" w:hAnsi="Times New Roman" w:eastAsia="宋体" w:cs="Times New Roman"/>
          <w:snapToGrid w:val="0"/>
          <w:color w:val="auto"/>
          <w:sz w:val="24"/>
          <w:szCs w:val="24"/>
          <w:highlight w:val="none"/>
        </w:rPr>
        <w:t>，应编制环境影响报告书。按照国家相关环保</w:t>
      </w:r>
      <w:r>
        <w:rPr>
          <w:rFonts w:hint="eastAsia" w:cs="Times New Roman"/>
          <w:snapToGrid w:val="0"/>
          <w:color w:val="auto"/>
          <w:sz w:val="24"/>
          <w:szCs w:val="24"/>
          <w:highlight w:val="none"/>
          <w:lang w:eastAsia="zh-CN"/>
        </w:rPr>
        <w:t>法律法规</w:t>
      </w:r>
      <w:r>
        <w:rPr>
          <w:rFonts w:hint="default" w:ascii="Times New Roman" w:hAnsi="Times New Roman" w:eastAsia="宋体" w:cs="Times New Roman"/>
          <w:snapToGrid w:val="0"/>
          <w:color w:val="auto"/>
          <w:sz w:val="24"/>
          <w:szCs w:val="24"/>
          <w:highlight w:val="none"/>
        </w:rPr>
        <w:t>及技术规范，我</w:t>
      </w:r>
      <w:r>
        <w:rPr>
          <w:rFonts w:hint="eastAsia" w:cs="Times New Roman"/>
          <w:snapToGrid w:val="0"/>
          <w:color w:val="auto"/>
          <w:sz w:val="24"/>
          <w:szCs w:val="24"/>
          <w:highlight w:val="none"/>
          <w:lang w:eastAsia="zh-CN"/>
        </w:rPr>
        <w:t>公司</w:t>
      </w:r>
      <w:r>
        <w:rPr>
          <w:rFonts w:hint="default" w:ascii="Times New Roman" w:hAnsi="Times New Roman" w:eastAsia="宋体" w:cs="Times New Roman"/>
          <w:snapToGrid w:val="0"/>
          <w:color w:val="auto"/>
          <w:sz w:val="24"/>
          <w:szCs w:val="24"/>
          <w:highlight w:val="none"/>
        </w:rPr>
        <w:t>编制完成了《</w:t>
      </w:r>
      <w:r>
        <w:rPr>
          <w:rFonts w:hint="default" w:ascii="Times New Roman" w:hAnsi="Times New Roman" w:cs="Times New Roman"/>
          <w:snapToGrid w:val="0"/>
          <w:color w:val="auto"/>
          <w:sz w:val="24"/>
          <w:szCs w:val="24"/>
          <w:highlight w:val="none"/>
          <w:lang w:eastAsia="zh-CN"/>
        </w:rPr>
        <w:t>茹河支流河道生态综合治理项目（红茹河土地综合整治单元）—彭阳县茹河（小河段）河道治理工程</w:t>
      </w:r>
      <w:r>
        <w:rPr>
          <w:rFonts w:hint="default" w:ascii="Times New Roman" w:hAnsi="Times New Roman" w:eastAsia="宋体" w:cs="Times New Roman"/>
          <w:snapToGrid w:val="0"/>
          <w:color w:val="auto"/>
          <w:sz w:val="24"/>
          <w:szCs w:val="24"/>
          <w:highlight w:val="none"/>
        </w:rPr>
        <w:t>环境影响报告书》。</w:t>
      </w:r>
    </w:p>
    <w:p w14:paraId="5400FA2E">
      <w:pPr>
        <w:pStyle w:val="4"/>
        <w:outlineLvl w:val="1"/>
        <w:rPr>
          <w:rFonts w:hint="default" w:ascii="Times New Roman" w:hAnsi="Times New Roman" w:cs="Times New Roman"/>
          <w:color w:val="auto"/>
          <w:sz w:val="28"/>
          <w:szCs w:val="28"/>
          <w:highlight w:val="none"/>
        </w:rPr>
      </w:pPr>
      <w:bookmarkStart w:id="18" w:name="_Toc15821"/>
      <w:bookmarkStart w:id="19" w:name="_Toc27234"/>
      <w:bookmarkStart w:id="20" w:name="_Toc16025"/>
      <w:r>
        <w:rPr>
          <w:rFonts w:hint="default" w:ascii="Times New Roman" w:hAnsi="Times New Roman" w:cs="Times New Roman"/>
          <w:color w:val="auto"/>
          <w:sz w:val="28"/>
          <w:szCs w:val="28"/>
          <w:highlight w:val="none"/>
        </w:rPr>
        <w:t>2.建设项目特点</w:t>
      </w:r>
      <w:bookmarkEnd w:id="17"/>
      <w:bookmarkEnd w:id="18"/>
      <w:bookmarkEnd w:id="19"/>
      <w:bookmarkEnd w:id="20"/>
    </w:p>
    <w:p w14:paraId="63D45320">
      <w:pPr>
        <w:rPr>
          <w:rFonts w:ascii="Segoe UI" w:hAnsi="Segoe UI" w:eastAsia="Segoe UI" w:cs="Segoe UI"/>
          <w:i w:val="0"/>
          <w:iCs w:val="0"/>
          <w:caps w:val="0"/>
          <w:color w:val="auto"/>
          <w:spacing w:val="0"/>
          <w:sz w:val="24"/>
          <w:szCs w:val="24"/>
          <w:highlight w:val="none"/>
          <w:shd w:val="clear" w:fill="FFFFFF"/>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工程</w:t>
      </w:r>
      <w:r>
        <w:rPr>
          <w:rFonts w:ascii="Segoe UI" w:hAnsi="Segoe UI" w:eastAsia="Segoe UI" w:cs="Segoe UI"/>
          <w:i w:val="0"/>
          <w:iCs w:val="0"/>
          <w:caps w:val="0"/>
          <w:color w:val="auto"/>
          <w:spacing w:val="0"/>
          <w:sz w:val="24"/>
          <w:szCs w:val="24"/>
          <w:highlight w:val="none"/>
          <w:shd w:val="clear" w:fill="FFFFFF"/>
        </w:rPr>
        <w:t>自身建设特点：工程分两期实施，建设范围覆盖川口河段、小河段河道及水库区域，涉及护岸、巡检道路、河道疏浚、水库清淤、堆场建设等多种工程类型；线性工程特征明显，河道护岸、巡检道路、临时运输道路等呈线性分布，施工战线长、涉及区域广；工程材料与工艺多样，护岸包含四种砌护形式，构筑物采用砼、浆砌石等多种规范材料，施工技术要求较高。</w:t>
      </w:r>
    </w:p>
    <w:p w14:paraId="34EADB26">
      <w:pPr>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建设内容与布局方面：工程兼具线状（护岸、巡检道路、疏浚河道）、点状（过水路面、警示牌）及面状（水库清淤、堆场）工程，布局分散、线路较长。施工活动将对河道及库区形成线性切割和局部面状扰动，对区域水文情势与生态系统产生复合影响。</w:t>
      </w:r>
    </w:p>
    <w:p w14:paraId="543480F5">
      <w:pPr>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lang w:eastAsia="zh-CN"/>
        </w:rPr>
        <w:t>施工期</w:t>
      </w:r>
      <w:r>
        <w:rPr>
          <w:rFonts w:hint="default" w:ascii="Times New Roman" w:hAnsi="Times New Roman" w:cs="Times New Roman"/>
          <w:color w:val="auto"/>
          <w:sz w:val="24"/>
          <w:szCs w:val="24"/>
          <w:highlight w:val="none"/>
          <w:lang w:val="en-US" w:eastAsia="zh-CN"/>
        </w:rPr>
        <w:t>污染影响方面：施工期</w:t>
      </w:r>
      <w:r>
        <w:rPr>
          <w:rFonts w:hint="default" w:ascii="Times New Roman" w:hAnsi="Times New Roman" w:cs="Times New Roman"/>
          <w:color w:val="auto"/>
          <w:sz w:val="24"/>
          <w:szCs w:val="24"/>
          <w:highlight w:val="none"/>
          <w:lang w:eastAsia="zh-CN"/>
        </w:rPr>
        <w:t>以噪声、扬尘为主要污染源，机械作业可能对周边环境造成短期影响，但通过优化作业时间、设置围挡及洒水降尘等措施可有效控制。疏浚与清淤工程产生大量土方，需严格规范运输、堆放及回填流程，防止水土流失和二次污染，确保生态安全。堆场工程涉及淤泥消纳，需采取防渗漏、防扬散措施，确保无害化处理，避免对周边土壤及水体造成长期影响。</w:t>
      </w:r>
    </w:p>
    <w:p w14:paraId="4772D335">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项目运营期无污染物产生，对周边环境无影响</w:t>
      </w:r>
      <w:r>
        <w:rPr>
          <w:rFonts w:hint="default" w:ascii="Times New Roman" w:hAnsi="Times New Roman" w:cs="Times New Roman"/>
          <w:color w:val="auto"/>
          <w:sz w:val="24"/>
          <w:szCs w:val="24"/>
          <w:highlight w:val="none"/>
        </w:rPr>
        <w:t>。</w:t>
      </w:r>
    </w:p>
    <w:p w14:paraId="64DC449A">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本工程</w:t>
      </w:r>
      <w:r>
        <w:rPr>
          <w:rFonts w:hint="default" w:ascii="Times New Roman" w:hAnsi="Times New Roman" w:cs="Times New Roman"/>
          <w:color w:val="auto"/>
          <w:sz w:val="24"/>
          <w:szCs w:val="24"/>
          <w:highlight w:val="none"/>
          <w:lang w:val="en-US" w:eastAsia="zh-CN"/>
        </w:rPr>
        <w:t>生态影响评价范围涉及彭阳县</w:t>
      </w:r>
      <w:r>
        <w:rPr>
          <w:rFonts w:hint="default" w:ascii="Times New Roman" w:hAnsi="Times New Roman" w:cs="Times New Roman"/>
          <w:color w:val="auto"/>
          <w:sz w:val="24"/>
          <w:szCs w:val="24"/>
          <w:highlight w:val="none"/>
        </w:rPr>
        <w:t>西南黄土高原丘陵水土保持生态保护红线，</w:t>
      </w:r>
      <w:r>
        <w:rPr>
          <w:rFonts w:hint="default" w:ascii="Times New Roman" w:hAnsi="Times New Roman" w:cs="Times New Roman"/>
          <w:color w:val="auto"/>
          <w:sz w:val="24"/>
          <w:szCs w:val="24"/>
          <w:highlight w:val="none"/>
          <w:lang w:val="en-US" w:eastAsia="zh-CN"/>
        </w:rPr>
        <w:t>红线范围内无</w:t>
      </w:r>
      <w:r>
        <w:rPr>
          <w:rFonts w:hint="default" w:ascii="Times New Roman" w:hAnsi="Times New Roman" w:cs="Times New Roman"/>
          <w:color w:val="auto"/>
          <w:sz w:val="24"/>
          <w:szCs w:val="24"/>
          <w:highlight w:val="none"/>
        </w:rPr>
        <w:t>永久占地</w:t>
      </w:r>
      <w:r>
        <w:rPr>
          <w:rFonts w:hint="default" w:ascii="Times New Roman" w:hAnsi="Times New Roman" w:cs="Times New Roman"/>
          <w:color w:val="auto"/>
          <w:sz w:val="24"/>
          <w:szCs w:val="24"/>
          <w:highlight w:val="none"/>
          <w:lang w:val="en-US" w:eastAsia="zh-CN"/>
        </w:rPr>
        <w:t>及临时占地</w:t>
      </w:r>
      <w:r>
        <w:rPr>
          <w:rFonts w:hint="default" w:ascii="Times New Roman" w:hAnsi="Times New Roman" w:cs="Times New Roman"/>
          <w:color w:val="auto"/>
          <w:sz w:val="24"/>
          <w:szCs w:val="24"/>
          <w:highlight w:val="none"/>
        </w:rPr>
        <w:t>。</w:t>
      </w:r>
    </w:p>
    <w:p w14:paraId="5839E595">
      <w:pPr>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施工期生态保护红线管控影响特点：项目施工期涉及河道开挖、疏浚、土方转运、临时占地</w:t>
      </w:r>
      <w:r>
        <w:rPr>
          <w:rFonts w:hint="eastAsia" w:ascii="Times New Roman" w:hAnsi="Times New Roman" w:cs="Times New Roman"/>
          <w:color w:val="auto"/>
          <w:sz w:val="24"/>
          <w:szCs w:val="24"/>
          <w:highlight w:val="none"/>
          <w:lang w:eastAsia="zh-CN"/>
        </w:rPr>
        <w:t>等活动，需重点关注对生态保护红线管控区域的潜在影响；施工活动可能占用红线周边临时用地，破坏地表植被，扰动土壤结构，引发水土流失，同时河道疏浚等作业可能影响红线区域周边水生生态系统及生物栖息地；需严格管控施工范围、施工时段及施工工艺，避免触碰生态保护红线区域，施工过程中需同步落实生态防护与修复措施，降低对红线区域生态环境的扰动。</w:t>
      </w:r>
    </w:p>
    <w:p w14:paraId="2FFDA305">
      <w:pP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）通过实施河道整治工程，可使河道抗御标准内洪水，恢复和强化行洪功能，稳定河势，同时改善区域生态环境，兼顾防洪安全与生态保护需求。显著提升区域防洪能力，改善河道生态功能，实现</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自然性、安全性、生态性</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的协同提升，为区域可持续发展提供保障。</w:t>
      </w:r>
    </w:p>
    <w:p w14:paraId="0889F046">
      <w:pPr>
        <w:pStyle w:val="4"/>
        <w:outlineLvl w:val="1"/>
        <w:rPr>
          <w:rFonts w:hint="default" w:ascii="Times New Roman" w:hAnsi="Times New Roman" w:cs="Times New Roman"/>
          <w:color w:val="auto"/>
          <w:sz w:val="28"/>
          <w:szCs w:val="28"/>
          <w:highlight w:val="none"/>
        </w:rPr>
      </w:pPr>
      <w:bookmarkStart w:id="21" w:name="_Toc27954"/>
      <w:bookmarkStart w:id="22" w:name="_Toc14348"/>
      <w:bookmarkStart w:id="23" w:name="_Toc32465"/>
      <w:bookmarkStart w:id="24" w:name="_Toc24631"/>
      <w:r>
        <w:rPr>
          <w:rFonts w:hint="default" w:ascii="Times New Roman" w:hAnsi="Times New Roman" w:cs="Times New Roman"/>
          <w:color w:val="auto"/>
          <w:sz w:val="28"/>
          <w:szCs w:val="28"/>
          <w:highlight w:val="none"/>
        </w:rPr>
        <w:t>3.评价工作过程</w:t>
      </w:r>
      <w:bookmarkEnd w:id="21"/>
      <w:bookmarkEnd w:id="22"/>
      <w:bookmarkEnd w:id="23"/>
      <w:bookmarkEnd w:id="24"/>
    </w:p>
    <w:p w14:paraId="6A822DF1">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根据《中华人民共和国环境保护法</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中华人民共和国环境影响评价法》及《建设项目环境保护管理条例》等有关规定，彭阳县水务局于202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13</w:t>
      </w:r>
      <w:r>
        <w:rPr>
          <w:rFonts w:hint="default" w:ascii="Times New Roman" w:hAnsi="Times New Roman" w:cs="Times New Roman"/>
          <w:color w:val="auto"/>
          <w:sz w:val="24"/>
          <w:szCs w:val="24"/>
          <w:highlight w:val="none"/>
        </w:rPr>
        <w:t>日正式委托宁夏绿博环保科技有限公司（以下简称</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评价单位</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）对</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茹河支流河道生态综合治理项目（红茹河土地综合整治单元）—彭阳县茹河（小河段）河道治理工程</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进行环境影响评价工作。</w:t>
      </w:r>
      <w:r>
        <w:rPr>
          <w:rFonts w:hint="eastAsia" w:cs="Times New Roman"/>
          <w:color w:val="auto"/>
          <w:sz w:val="24"/>
          <w:szCs w:val="24"/>
          <w:highlight w:val="none"/>
          <w:lang w:eastAsia="zh-CN"/>
        </w:rPr>
        <w:t>我公司</w:t>
      </w:r>
      <w:r>
        <w:rPr>
          <w:rFonts w:hint="default" w:ascii="Times New Roman" w:hAnsi="Times New Roman" w:cs="Times New Roman"/>
          <w:color w:val="auto"/>
          <w:sz w:val="24"/>
          <w:szCs w:val="24"/>
          <w:highlight w:val="none"/>
        </w:rPr>
        <w:t>接受委托后，组织评价技术人员多次深入彭阳县进行了详细的现场踏勘、收集资料，走访了当地环保、国土、水利等相关部门，收集了相关规划、环境保护等方面的诸多资料，听取了相关部门对项目建设、环境保护等多方面的意见和建议。根据国家及自治区环保</w:t>
      </w:r>
      <w:r>
        <w:rPr>
          <w:rFonts w:hint="eastAsia" w:cs="Times New Roman"/>
          <w:color w:val="auto"/>
          <w:sz w:val="24"/>
          <w:szCs w:val="24"/>
          <w:highlight w:val="none"/>
          <w:lang w:eastAsia="zh-CN"/>
        </w:rPr>
        <w:t>法律法规</w:t>
      </w:r>
      <w:r>
        <w:rPr>
          <w:rFonts w:hint="default" w:ascii="Times New Roman" w:hAnsi="Times New Roman" w:cs="Times New Roman"/>
          <w:color w:val="auto"/>
          <w:sz w:val="24"/>
          <w:szCs w:val="24"/>
          <w:highlight w:val="none"/>
        </w:rPr>
        <w:t>、环境影响评价技术导则、环保规划以及检测单位等提供的环境质量现状监测资料，并充分考虑了工程自身的特点，对工程施工期和营运期可能产生的环境影响进行了认真评价，于近日编制完成《</w:t>
      </w:r>
      <w:r>
        <w:rPr>
          <w:rFonts w:hint="default" w:ascii="Times New Roman" w:hAnsi="Times New Roman" w:cs="Times New Roman"/>
          <w:color w:val="auto"/>
          <w:sz w:val="24"/>
          <w:szCs w:val="24"/>
          <w:highlight w:val="none"/>
          <w:lang w:eastAsia="zh-CN"/>
        </w:rPr>
        <w:t>茹河支流河道生态综合治理项目（红茹河土地综合整治单元）—彭阳县茹河（小河段）河道治理工程</w:t>
      </w:r>
      <w:r>
        <w:rPr>
          <w:rFonts w:hint="default" w:ascii="Times New Roman" w:hAnsi="Times New Roman" w:cs="Times New Roman"/>
          <w:color w:val="auto"/>
          <w:sz w:val="24"/>
          <w:szCs w:val="24"/>
          <w:highlight w:val="none"/>
        </w:rPr>
        <w:t>环境影响报告书》（以下简称《报告书》）。</w:t>
      </w:r>
    </w:p>
    <w:p w14:paraId="3A0E74C7">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本报告书由环评单位和项目建设单位共同定稿，报告书中对项目环境保护的主要建议均已得到建设单位的认同和承诺。</w:t>
      </w:r>
    </w:p>
    <w:p w14:paraId="404C9CE3">
      <w:pPr>
        <w:jc w:val="left"/>
        <w:rPr>
          <w:rFonts w:hint="default" w:ascii="Times New Roman" w:hAnsi="Times New Roman" w:cs="Times New Roman"/>
          <w:color w:val="auto"/>
          <w:sz w:val="28"/>
          <w:szCs w:val="28"/>
          <w:highlight w:val="none"/>
        </w:rPr>
      </w:pPr>
      <w:r>
        <w:rPr>
          <w:rFonts w:hint="default" w:ascii="Times New Roman" w:hAnsi="Times New Roman" w:cs="Times New Roman"/>
          <w:color w:val="auto"/>
          <w:sz w:val="24"/>
          <w:szCs w:val="24"/>
          <w:highlight w:val="none"/>
        </w:rPr>
        <w:t>具体开展环评工作的程序见图1。</w:t>
      </w:r>
      <w:r>
        <w:rPr>
          <w:rFonts w:hint="default" w:ascii="Times New Roman" w:hAnsi="Times New Roman" w:cs="Times New Roman"/>
          <w:color w:val="auto"/>
          <w:sz w:val="28"/>
          <w:szCs w:val="28"/>
          <w:highlight w:val="none"/>
        </w:rPr>
        <w:drawing>
          <wp:inline distT="0" distB="0" distL="114300" distR="114300">
            <wp:extent cx="5269230" cy="6067425"/>
            <wp:effectExtent l="0" t="0" r="7620" b="9525"/>
            <wp:docPr id="4" name="图片 4" descr="170477095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4770957531"/>
                    <pic:cNvPicPr>
                      <a:picLocks noChangeAspect="1"/>
                    </pic:cNvPicPr>
                  </pic:nvPicPr>
                  <pic:blipFill>
                    <a:blip r:embed="rId27"/>
                    <a:stretch>
                      <a:fillRect/>
                    </a:stretch>
                  </pic:blipFill>
                  <pic:spPr>
                    <a:xfrm>
                      <a:off x="0" y="0"/>
                      <a:ext cx="5269230" cy="6067425"/>
                    </a:xfrm>
                    <a:prstGeom prst="rect">
                      <a:avLst/>
                    </a:prstGeom>
                  </pic:spPr>
                </pic:pic>
              </a:graphicData>
            </a:graphic>
          </wp:inline>
        </w:drawing>
      </w:r>
    </w:p>
    <w:p w14:paraId="0AF54BAC">
      <w:pPr>
        <w:ind w:left="0" w:leftChars="0" w:firstLine="0" w:firstLineChars="0"/>
        <w:jc w:val="center"/>
        <w:rPr>
          <w:rFonts w:hint="default" w:ascii="Times New Roman" w:hAnsi="Times New Roman" w:cs="Times New Roman"/>
          <w:b/>
          <w:bCs/>
          <w:snapToGrid w:val="0"/>
          <w:color w:val="auto"/>
          <w:sz w:val="24"/>
          <w:szCs w:val="24"/>
          <w:highlight w:val="none"/>
        </w:rPr>
      </w:pPr>
      <w:r>
        <w:rPr>
          <w:rFonts w:hint="default" w:ascii="Times New Roman" w:hAnsi="Times New Roman" w:cs="Times New Roman"/>
          <w:b/>
          <w:bCs/>
          <w:snapToGrid w:val="0"/>
          <w:color w:val="auto"/>
          <w:sz w:val="24"/>
          <w:szCs w:val="24"/>
          <w:highlight w:val="none"/>
        </w:rPr>
        <w:t>图1建设项目环境影响评价工作程序图</w:t>
      </w:r>
    </w:p>
    <w:p w14:paraId="73E41D84">
      <w:pPr>
        <w:pStyle w:val="4"/>
        <w:numPr>
          <w:ilvl w:val="0"/>
          <w:numId w:val="1"/>
        </w:numPr>
        <w:outlineLvl w:val="1"/>
        <w:rPr>
          <w:rFonts w:hint="default" w:ascii="Times New Roman" w:hAnsi="Times New Roman" w:cs="Times New Roman"/>
          <w:color w:val="auto"/>
          <w:sz w:val="28"/>
          <w:szCs w:val="28"/>
          <w:highlight w:val="none"/>
          <w:lang w:val="en-US" w:eastAsia="zh-CN"/>
        </w:rPr>
      </w:pPr>
      <w:bookmarkStart w:id="25" w:name="_Toc14551"/>
      <w:bookmarkStart w:id="26" w:name="_Toc10897"/>
      <w:bookmarkStart w:id="27" w:name="_Toc30903"/>
      <w:bookmarkStart w:id="28" w:name="_Toc4104"/>
      <w:r>
        <w:rPr>
          <w:rFonts w:hint="default" w:ascii="Times New Roman" w:hAnsi="Times New Roman" w:cs="Times New Roman"/>
          <w:color w:val="auto"/>
          <w:sz w:val="28"/>
          <w:szCs w:val="28"/>
          <w:highlight w:val="none"/>
          <w:lang w:val="en-US" w:eastAsia="zh-CN"/>
        </w:rPr>
        <w:t>分析判定相关情况</w:t>
      </w:r>
      <w:bookmarkEnd w:id="25"/>
      <w:bookmarkEnd w:id="26"/>
      <w:bookmarkEnd w:id="27"/>
    </w:p>
    <w:p w14:paraId="385D2051">
      <w:pPr>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eastAsia" w:cs="Times New Roman"/>
          <w:snapToGrid w:val="0"/>
          <w:color w:val="auto"/>
          <w:sz w:val="24"/>
          <w:szCs w:val="24"/>
          <w:highlight w:val="none"/>
          <w:lang w:eastAsia="zh-CN"/>
        </w:rPr>
        <w:t>本工程</w:t>
      </w:r>
      <w:r>
        <w:rPr>
          <w:rFonts w:hint="default" w:ascii="Times New Roman" w:hAnsi="Times New Roman" w:eastAsia="宋体" w:cs="Times New Roman"/>
          <w:snapToGrid w:val="0"/>
          <w:color w:val="auto"/>
          <w:sz w:val="24"/>
          <w:szCs w:val="24"/>
          <w:highlight w:val="none"/>
        </w:rPr>
        <w:t>环境影响评价工作的指导思想是在充分调查和摸清</w:t>
      </w:r>
      <w:r>
        <w:rPr>
          <w:rFonts w:hint="eastAsia" w:cs="Times New Roman"/>
          <w:snapToGrid w:val="0"/>
          <w:color w:val="auto"/>
          <w:sz w:val="24"/>
          <w:szCs w:val="24"/>
          <w:highlight w:val="none"/>
          <w:lang w:eastAsia="zh-CN"/>
        </w:rPr>
        <w:t>本工程</w:t>
      </w:r>
      <w:r>
        <w:rPr>
          <w:rFonts w:hint="default" w:ascii="Times New Roman" w:hAnsi="Times New Roman" w:eastAsia="宋体" w:cs="Times New Roman"/>
          <w:snapToGrid w:val="0"/>
          <w:color w:val="auto"/>
          <w:sz w:val="24"/>
          <w:szCs w:val="24"/>
          <w:highlight w:val="none"/>
        </w:rPr>
        <w:t>场址地区环境特点和环境现状，深入分析</w:t>
      </w:r>
      <w:r>
        <w:rPr>
          <w:rFonts w:hint="eastAsia" w:cs="Times New Roman"/>
          <w:snapToGrid w:val="0"/>
          <w:color w:val="auto"/>
          <w:sz w:val="24"/>
          <w:szCs w:val="24"/>
          <w:highlight w:val="none"/>
          <w:lang w:eastAsia="zh-CN"/>
        </w:rPr>
        <w:t>本工程</w:t>
      </w:r>
      <w:r>
        <w:rPr>
          <w:rFonts w:hint="default" w:ascii="Times New Roman" w:hAnsi="Times New Roman" w:eastAsia="宋体" w:cs="Times New Roman"/>
          <w:snapToGrid w:val="0"/>
          <w:color w:val="auto"/>
          <w:sz w:val="24"/>
          <w:szCs w:val="24"/>
          <w:highlight w:val="none"/>
        </w:rPr>
        <w:t>污染源状况的基础上，运用国家环境保护行业标准，根据《环境影响评价技术导则》，评价</w:t>
      </w:r>
      <w:r>
        <w:rPr>
          <w:rFonts w:hint="eastAsia" w:cs="Times New Roman"/>
          <w:snapToGrid w:val="0"/>
          <w:color w:val="auto"/>
          <w:sz w:val="24"/>
          <w:szCs w:val="24"/>
          <w:highlight w:val="none"/>
          <w:lang w:eastAsia="zh-CN"/>
        </w:rPr>
        <w:t>本工程</w:t>
      </w:r>
      <w:r>
        <w:rPr>
          <w:rFonts w:hint="default" w:ascii="Times New Roman" w:hAnsi="Times New Roman" w:eastAsia="宋体" w:cs="Times New Roman"/>
          <w:snapToGrid w:val="0"/>
          <w:color w:val="auto"/>
          <w:sz w:val="24"/>
          <w:szCs w:val="24"/>
          <w:highlight w:val="none"/>
        </w:rPr>
        <w:t>对周边区域环境质量的影响程度，分析建设项目污染物排放及影响是否符合当地环境功能及环境质量标准的要求。</w:t>
      </w:r>
    </w:p>
    <w:p w14:paraId="66E99E8A">
      <w:pPr>
        <w:keepNext w:val="0"/>
        <w:keepLines w:val="0"/>
        <w:widowControl/>
        <w:suppressLineNumbers w:val="0"/>
        <w:jc w:val="left"/>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根据《产业结构调整指导目录（2024年本）》，国家鼓励江河湖海堤防建设及河道治理工程</w:t>
      </w:r>
      <w:r>
        <w:rPr>
          <w:rFonts w:hint="default" w:ascii="Times New Roman" w:hAnsi="Times New Roman" w:cs="Times New Roman" w:eastAsiaTheme="minorEastAsia"/>
          <w:color w:val="auto"/>
          <w:sz w:val="24"/>
          <w:szCs w:val="24"/>
          <w:highlight w:val="none"/>
          <w:lang w:val="en-US" w:eastAsia="zh-CN"/>
        </w:rPr>
        <w:t>和江河湖库清淤疏浚工程</w:t>
      </w:r>
      <w:r>
        <w:rPr>
          <w:rFonts w:hint="default" w:ascii="Times New Roman" w:hAnsi="Times New Roman" w:cs="Times New Roman" w:eastAsiaTheme="minorEastAsia"/>
          <w:color w:val="auto"/>
          <w:sz w:val="24"/>
          <w:szCs w:val="24"/>
          <w:highlight w:val="none"/>
        </w:rPr>
        <w:t>。</w:t>
      </w:r>
    </w:p>
    <w:p w14:paraId="5E7BF67D">
      <w:pPr>
        <w:numPr>
          <w:ilvl w:val="0"/>
          <w:numId w:val="2"/>
        </w:numPr>
        <w:spacing w:line="360" w:lineRule="auto"/>
        <w:ind w:firstLine="480" w:firstLineChars="200"/>
        <w:jc w:val="both"/>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本工程符合《关于加强生态保护红线管理的通知（试行）</w:t>
      </w:r>
      <w:r>
        <w:rPr>
          <w:rFonts w:hint="eastAsia"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宁夏回族自治区生态保护红线管理条例》等生态保护红线的相关要求。</w:t>
      </w:r>
    </w:p>
    <w:p w14:paraId="0F59EF65">
      <w:pPr>
        <w:numPr>
          <w:ilvl w:val="0"/>
          <w:numId w:val="2"/>
        </w:numPr>
        <w:spacing w:line="360" w:lineRule="auto"/>
        <w:ind w:firstLine="480" w:firstLineChars="200"/>
        <w:jc w:val="both"/>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本工程符合</w:t>
      </w:r>
      <w:r>
        <w:rPr>
          <w:rFonts w:hint="default" w:ascii="Times New Roman" w:hAnsi="Times New Roman" w:cs="Times New Roman"/>
          <w:color w:val="auto"/>
          <w:sz w:val="24"/>
          <w:szCs w:val="24"/>
          <w:highlight w:val="none"/>
        </w:rPr>
        <w:t>《自治区人民政府关于发布宁夏回族自治区生态保护红线的通知》（宁政发〔2018〕23号）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《固原市人民政府关于实施</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生态环境分区管控的意见》（固政规发〔2021〕6号）</w:t>
      </w:r>
      <w:r>
        <w:rPr>
          <w:rFonts w:hint="default" w:ascii="Times New Roman" w:hAnsi="Times New Roman" w:cs="Times New Roman"/>
          <w:color w:val="auto"/>
          <w:sz w:val="24"/>
          <w:szCs w:val="24"/>
          <w:highlight w:val="none"/>
          <w:lang w:val="en-US" w:eastAsia="zh-CN"/>
        </w:rPr>
        <w:t>及</w:t>
      </w:r>
      <w:r>
        <w:rPr>
          <w:rFonts w:hint="default" w:ascii="Times New Roman" w:hAnsi="Times New Roman" w:cs="Times New Roman"/>
          <w:color w:val="auto"/>
          <w:sz w:val="24"/>
          <w:szCs w:val="24"/>
          <w:highlight w:val="none"/>
        </w:rPr>
        <w:t>固原市人民政府</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关于印发</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固原市生态环境分区管控实施方案</w:t>
      </w:r>
      <w:r>
        <w:rPr>
          <w:rFonts w:hint="eastAsia" w:cs="Times New Roman"/>
          <w:color w:val="auto"/>
          <w:sz w:val="24"/>
          <w:szCs w:val="24"/>
          <w:highlight w:val="none"/>
          <w:lang w:eastAsia="zh-CN"/>
        </w:rPr>
        <w:t>〉的通知》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固政发〔2024〕28号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的文件要求。</w:t>
      </w:r>
    </w:p>
    <w:p w14:paraId="52C67F97">
      <w:pPr>
        <w:spacing w:line="360" w:lineRule="auto"/>
        <w:ind w:firstLine="480" w:firstLineChars="200"/>
        <w:jc w:val="both"/>
        <w:rPr>
          <w:rFonts w:hint="default" w:ascii="Times New Roman" w:hAnsi="Times New Roman" w:eastAsia="宋体" w:cs="Times New Roman"/>
          <w:b/>
          <w:bCs/>
          <w:snapToGrid w:val="0"/>
          <w:color w:val="auto"/>
          <w:sz w:val="24"/>
          <w:szCs w:val="24"/>
          <w:highlight w:val="none"/>
        </w:rPr>
      </w:pPr>
      <w:r>
        <w:rPr>
          <w:rFonts w:hint="eastAsia" w:cs="Times New Roman"/>
          <w:snapToGrid w:val="0"/>
          <w:color w:val="auto"/>
          <w:sz w:val="24"/>
          <w:szCs w:val="24"/>
          <w:highlight w:val="none"/>
          <w:lang w:eastAsia="zh-CN"/>
        </w:rPr>
        <w:t>（3）</w:t>
      </w:r>
      <w:r>
        <w:rPr>
          <w:rFonts w:hint="default" w:ascii="Times New Roman" w:hAnsi="Times New Roman" w:eastAsia="宋体" w:cs="Times New Roman"/>
          <w:snapToGrid w:val="0"/>
          <w:color w:val="auto"/>
          <w:sz w:val="24"/>
          <w:szCs w:val="24"/>
          <w:highlight w:val="none"/>
        </w:rPr>
        <w:t>本工程符合</w:t>
      </w:r>
      <w:r>
        <w:rPr>
          <w:rFonts w:hint="default" w:ascii="Times New Roman" w:hAnsi="Times New Roman" w:cs="Times New Roman"/>
          <w:color w:val="auto"/>
          <w:sz w:val="24"/>
          <w:szCs w:val="24"/>
          <w:highlight w:val="none"/>
        </w:rPr>
        <w:t>《宁夏回族自治区主体功能区规划</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宁夏生态功能区划》</w:t>
      </w:r>
      <w:r>
        <w:rPr>
          <w:rFonts w:hint="default" w:ascii="Times New Roman" w:hAnsi="Times New Roman" w:cs="Times New Roman"/>
          <w:color w:val="auto"/>
          <w:sz w:val="24"/>
          <w:szCs w:val="24"/>
          <w:highlight w:val="none"/>
          <w:lang w:val="en-US" w:eastAsia="zh-CN"/>
        </w:rPr>
        <w:t>《宁夏回族自治区水生态环境保护</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十四五</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规划</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宁夏回族自治区生态环境保护</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十四五</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规划</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黄河流域综合规划</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宁夏水安全保障</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规划》</w:t>
      </w:r>
      <w:r>
        <w:rPr>
          <w:rFonts w:hint="default" w:ascii="Times New Roman" w:hAnsi="Times New Roman" w:eastAsia="宋体" w:cs="Times New Roman"/>
          <w:snapToGrid w:val="0"/>
          <w:color w:val="auto"/>
          <w:sz w:val="24"/>
          <w:szCs w:val="24"/>
          <w:highlight w:val="none"/>
        </w:rPr>
        <w:t>等相关规划。</w:t>
      </w:r>
    </w:p>
    <w:p w14:paraId="0E4E01FA">
      <w:pPr>
        <w:pStyle w:val="4"/>
        <w:outlineLvl w:val="1"/>
        <w:rPr>
          <w:rFonts w:hint="default" w:ascii="Times New Roman" w:hAnsi="Times New Roman" w:cs="Times New Roman"/>
          <w:color w:val="auto"/>
          <w:sz w:val="28"/>
          <w:szCs w:val="28"/>
          <w:highlight w:val="none"/>
        </w:rPr>
      </w:pPr>
      <w:bookmarkStart w:id="29" w:name="_Toc7637"/>
      <w:bookmarkStart w:id="30" w:name="_Toc591"/>
      <w:bookmarkStart w:id="31" w:name="_Toc6833"/>
      <w:r>
        <w:rPr>
          <w:rFonts w:hint="default" w:ascii="Times New Roman" w:hAnsi="Times New Roman" w:cs="Times New Roman"/>
          <w:color w:val="auto"/>
          <w:sz w:val="28"/>
          <w:szCs w:val="28"/>
          <w:highlight w:val="none"/>
          <w:lang w:val="en-US" w:eastAsia="zh-CN"/>
        </w:rPr>
        <w:t>5</w:t>
      </w:r>
      <w:r>
        <w:rPr>
          <w:rFonts w:hint="default" w:ascii="Times New Roman" w:hAnsi="Times New Roman" w:cs="Times New Roman"/>
          <w:color w:val="auto"/>
          <w:sz w:val="28"/>
          <w:szCs w:val="28"/>
          <w:highlight w:val="none"/>
        </w:rPr>
        <w:t>.关注的主要环境问题</w:t>
      </w:r>
      <w:bookmarkEnd w:id="28"/>
      <w:bookmarkEnd w:id="29"/>
      <w:bookmarkEnd w:id="30"/>
      <w:bookmarkEnd w:id="31"/>
    </w:p>
    <w:p w14:paraId="1D14D51E">
      <w:pPr>
        <w:jc w:val="both"/>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工程建设对生态红线的影响分析。</w:t>
      </w:r>
    </w:p>
    <w:p w14:paraId="390DF5DE">
      <w:pPr>
        <w:jc w:val="both"/>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工程永久占地、临时占地对区域土地利用的影响。</w:t>
      </w:r>
    </w:p>
    <w:p w14:paraId="513D7940">
      <w:pPr>
        <w:jc w:val="both"/>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工程建设对</w:t>
      </w:r>
      <w:r>
        <w:rPr>
          <w:rFonts w:hint="default" w:ascii="Times New Roman" w:hAnsi="Times New Roman" w:cs="Times New Roman"/>
          <w:color w:val="auto"/>
          <w:sz w:val="24"/>
          <w:szCs w:val="24"/>
          <w:highlight w:val="none"/>
          <w:lang w:val="en-US" w:eastAsia="zh-CN"/>
        </w:rPr>
        <w:t>陆生</w:t>
      </w:r>
      <w:r>
        <w:rPr>
          <w:rFonts w:hint="default" w:ascii="Times New Roman" w:hAnsi="Times New Roman" w:cs="Times New Roman"/>
          <w:color w:val="auto"/>
          <w:sz w:val="24"/>
          <w:szCs w:val="24"/>
          <w:highlight w:val="none"/>
        </w:rPr>
        <w:t>生态系统和</w:t>
      </w:r>
      <w:r>
        <w:rPr>
          <w:rFonts w:hint="default" w:ascii="Times New Roman" w:hAnsi="Times New Roman" w:cs="Times New Roman"/>
          <w:color w:val="auto"/>
          <w:sz w:val="24"/>
          <w:szCs w:val="24"/>
          <w:highlight w:val="none"/>
          <w:lang w:val="en-US" w:eastAsia="zh-CN"/>
        </w:rPr>
        <w:t>水</w:t>
      </w:r>
      <w:r>
        <w:rPr>
          <w:rFonts w:hint="default" w:ascii="Times New Roman" w:hAnsi="Times New Roman" w:cs="Times New Roman"/>
          <w:color w:val="auto"/>
          <w:sz w:val="24"/>
          <w:szCs w:val="24"/>
          <w:highlight w:val="none"/>
        </w:rPr>
        <w:t>生态系统的影响。</w:t>
      </w:r>
    </w:p>
    <w:p w14:paraId="0F453146">
      <w:pPr>
        <w:jc w:val="both"/>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工程施工对</w:t>
      </w:r>
      <w:r>
        <w:rPr>
          <w:rFonts w:hint="default" w:ascii="Times New Roman" w:hAnsi="Times New Roman" w:cs="Times New Roman"/>
          <w:color w:val="auto"/>
          <w:sz w:val="24"/>
          <w:szCs w:val="24"/>
          <w:highlight w:val="none"/>
          <w:lang w:val="en-US" w:eastAsia="zh-CN"/>
        </w:rPr>
        <w:t>河道</w:t>
      </w:r>
      <w:r>
        <w:rPr>
          <w:rFonts w:hint="default" w:ascii="Times New Roman" w:hAnsi="Times New Roman" w:cs="Times New Roman"/>
          <w:color w:val="auto"/>
          <w:sz w:val="24"/>
          <w:szCs w:val="24"/>
          <w:highlight w:val="none"/>
        </w:rPr>
        <w:t>两</w:t>
      </w:r>
      <w:r>
        <w:rPr>
          <w:rFonts w:hint="default" w:ascii="Times New Roman" w:hAnsi="Times New Roman" w:cs="Times New Roman"/>
          <w:color w:val="auto"/>
          <w:sz w:val="24"/>
          <w:szCs w:val="24"/>
          <w:highlight w:val="none"/>
          <w:lang w:val="en-US" w:eastAsia="zh-CN"/>
        </w:rPr>
        <w:t>岸</w:t>
      </w:r>
      <w:r>
        <w:rPr>
          <w:rFonts w:hint="default" w:ascii="Times New Roman" w:hAnsi="Times New Roman" w:cs="Times New Roman"/>
          <w:color w:val="auto"/>
          <w:sz w:val="24"/>
          <w:szCs w:val="24"/>
          <w:highlight w:val="none"/>
        </w:rPr>
        <w:t>居民点的噪声</w:t>
      </w:r>
      <w:r>
        <w:rPr>
          <w:rFonts w:hint="default" w:ascii="Times New Roman" w:hAnsi="Times New Roman" w:cs="Times New Roman"/>
          <w:color w:val="auto"/>
          <w:sz w:val="24"/>
          <w:szCs w:val="24"/>
          <w:highlight w:val="none"/>
          <w:lang w:val="en-US" w:eastAsia="zh-CN"/>
        </w:rPr>
        <w:t>及扬尘污染</w:t>
      </w:r>
      <w:r>
        <w:rPr>
          <w:rFonts w:hint="default" w:ascii="Times New Roman" w:hAnsi="Times New Roman" w:cs="Times New Roman"/>
          <w:color w:val="auto"/>
          <w:sz w:val="24"/>
          <w:szCs w:val="24"/>
          <w:highlight w:val="none"/>
        </w:rPr>
        <w:t>影响。</w:t>
      </w:r>
    </w:p>
    <w:p w14:paraId="45D6F640">
      <w:pPr>
        <w:jc w:val="both"/>
        <w:outlineLvl w:val="9"/>
        <w:rPr>
          <w:rFonts w:hint="default" w:ascii="Times New Roman" w:hAnsi="Times New Roman" w:cs="Times New Roman"/>
          <w:color w:val="auto"/>
          <w:sz w:val="24"/>
          <w:szCs w:val="24"/>
          <w:highlight w:val="none"/>
        </w:rPr>
      </w:pPr>
      <w:bookmarkStart w:id="32" w:name="_Toc13256"/>
      <w:r>
        <w:rPr>
          <w:rFonts w:hint="eastAsia" w:cs="Times New Roman"/>
          <w:color w:val="auto"/>
          <w:sz w:val="24"/>
          <w:szCs w:val="24"/>
          <w:highlight w:val="none"/>
          <w:lang w:eastAsia="zh-CN"/>
        </w:rPr>
        <w:t>（5）</w:t>
      </w:r>
      <w:r>
        <w:rPr>
          <w:rFonts w:hint="default" w:ascii="Times New Roman" w:hAnsi="Times New Roman" w:cs="Times New Roman"/>
          <w:color w:val="auto"/>
          <w:sz w:val="24"/>
          <w:szCs w:val="24"/>
          <w:highlight w:val="none"/>
        </w:rPr>
        <w:t>工程建设对水环境、土壤环境的影响分析。</w:t>
      </w:r>
      <w:bookmarkEnd w:id="32"/>
    </w:p>
    <w:p w14:paraId="509DBDD6">
      <w:pPr>
        <w:pStyle w:val="4"/>
        <w:outlineLvl w:val="1"/>
        <w:rPr>
          <w:rFonts w:hint="default" w:ascii="Times New Roman" w:hAnsi="Times New Roman" w:cs="Times New Roman"/>
          <w:color w:val="auto"/>
          <w:sz w:val="28"/>
          <w:szCs w:val="28"/>
          <w:highlight w:val="none"/>
          <w:lang w:val="en-US" w:eastAsia="zh-CN"/>
        </w:rPr>
      </w:pPr>
      <w:bookmarkStart w:id="33" w:name="_Toc31583"/>
      <w:bookmarkStart w:id="34" w:name="_Toc3921"/>
      <w:bookmarkStart w:id="35" w:name="_Toc22215"/>
      <w:bookmarkStart w:id="36" w:name="_Toc19714"/>
      <w:r>
        <w:rPr>
          <w:rFonts w:hint="default" w:ascii="Times New Roman" w:hAnsi="Times New Roman" w:cs="Times New Roman"/>
          <w:color w:val="auto"/>
          <w:sz w:val="28"/>
          <w:szCs w:val="28"/>
          <w:highlight w:val="none"/>
          <w:lang w:val="en-US" w:eastAsia="zh-CN"/>
        </w:rPr>
        <w:t>6.环境影响评价的主要结论</w:t>
      </w:r>
      <w:bookmarkEnd w:id="33"/>
      <w:bookmarkEnd w:id="34"/>
      <w:bookmarkEnd w:id="35"/>
      <w:bookmarkEnd w:id="36"/>
    </w:p>
    <w:p w14:paraId="35EB370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本工程为河道治理工程</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针对当前</w:t>
      </w:r>
      <w:r>
        <w:rPr>
          <w:rFonts w:hint="default" w:ascii="Times New Roman" w:hAnsi="Times New Roman" w:cs="Times New Roman"/>
          <w:color w:val="auto"/>
          <w:sz w:val="24"/>
          <w:highlight w:val="none"/>
          <w:lang w:val="en-US" w:eastAsia="zh-CN"/>
        </w:rPr>
        <w:t>茹河</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小河</w:t>
      </w:r>
      <w:r>
        <w:rPr>
          <w:rFonts w:hint="default" w:ascii="Times New Roman" w:hAnsi="Times New Roman" w:cs="Times New Roman"/>
          <w:color w:val="auto"/>
          <w:sz w:val="24"/>
          <w:highlight w:val="none"/>
          <w:lang w:val="en-US" w:eastAsia="zh-CN"/>
        </w:rPr>
        <w:t>段</w:t>
      </w:r>
      <w:r>
        <w:rPr>
          <w:rFonts w:hint="default" w:ascii="Times New Roman" w:hAnsi="Times New Roman" w:cs="Times New Roman"/>
          <w:color w:val="auto"/>
          <w:sz w:val="24"/>
          <w:highlight w:val="none"/>
        </w:rPr>
        <w:t>河道生态单一、防洪问题凸显等问题，通过</w:t>
      </w:r>
      <w:r>
        <w:rPr>
          <w:rFonts w:hint="eastAsia" w:cs="Times New Roman"/>
          <w:color w:val="auto"/>
          <w:sz w:val="24"/>
          <w:highlight w:val="none"/>
          <w:lang w:eastAsia="zh-CN"/>
        </w:rPr>
        <w:t>对河道</w:t>
      </w:r>
      <w:r>
        <w:rPr>
          <w:rFonts w:hint="default" w:ascii="Times New Roman" w:hAnsi="Times New Roman" w:cs="Times New Roman"/>
          <w:color w:val="auto"/>
          <w:sz w:val="24"/>
          <w:highlight w:val="none"/>
        </w:rPr>
        <w:t>生态进行治理修复，提高河道防洪减灾能力，减少水土流失，合理利用当地水资源，改善区域生态环境和生产生活条件。</w:t>
      </w:r>
    </w:p>
    <w:p w14:paraId="08FD1460">
      <w:pPr>
        <w:spacing w:line="360" w:lineRule="auto"/>
        <w:ind w:firstLine="480" w:firstLineChars="200"/>
        <w:jc w:val="both"/>
        <w:rPr>
          <w:rFonts w:hint="default" w:ascii="Times New Roman" w:hAnsi="Times New Roman" w:eastAsia="Times New Roman" w:cs="Times New Roman"/>
          <w:color w:val="auto"/>
          <w:sz w:val="24"/>
          <w:szCs w:val="24"/>
          <w:highlight w:val="none"/>
          <w:lang w:val="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Times New Roman" w:cs="Times New Roman"/>
          <w:color w:val="auto"/>
          <w:sz w:val="24"/>
          <w:szCs w:val="24"/>
          <w:highlight w:val="none"/>
          <w:lang w:val="zh-CN"/>
        </w:rPr>
        <w:t>本工程符合国家产业政策及相关规划。工程施工期对周边环境会有短期的不利影响，采取污染治理和生态恢复措施后，施工期对环境的影响较小。在采取污染治理、生态保护和恢复措施后，运营期对环境的影响可以接受。在认真落实《报告书》、工程水土保持方案报告书及工程设计中各项环境保护和污染防治措施及监测计划的前提下，从环境保护角度分析工程建设可行。</w:t>
      </w:r>
    </w:p>
    <w:p w14:paraId="6395A90C">
      <w:pPr>
        <w:pStyle w:val="3"/>
        <w:rPr>
          <w:rFonts w:hint="default" w:ascii="Times New Roman" w:hAnsi="Times New Roman" w:cs="Times New Roman"/>
          <w:color w:val="auto"/>
          <w:sz w:val="28"/>
          <w:szCs w:val="28"/>
          <w:highlight w:val="none"/>
        </w:rPr>
      </w:pPr>
      <w:bookmarkStart w:id="37" w:name="_Toc8393"/>
      <w:bookmarkStart w:id="38" w:name="_Toc15774"/>
      <w:bookmarkStart w:id="39" w:name="_Toc30905"/>
      <w:bookmarkStart w:id="40" w:name="_Toc29982"/>
      <w:r>
        <w:rPr>
          <w:rFonts w:hint="default" w:ascii="Times New Roman" w:hAnsi="Times New Roman" w:cs="Times New Roman"/>
          <w:color w:val="auto"/>
          <w:sz w:val="28"/>
          <w:szCs w:val="28"/>
          <w:highlight w:val="none"/>
        </w:rPr>
        <w:t>1总则</w:t>
      </w:r>
      <w:bookmarkEnd w:id="37"/>
      <w:bookmarkEnd w:id="38"/>
      <w:bookmarkEnd w:id="39"/>
      <w:bookmarkEnd w:id="40"/>
    </w:p>
    <w:bookmarkEnd w:id="12"/>
    <w:p w14:paraId="37F8BDCE">
      <w:pPr>
        <w:pStyle w:val="4"/>
        <w:rPr>
          <w:rFonts w:hint="default" w:ascii="Times New Roman" w:hAnsi="Times New Roman" w:cs="Times New Roman"/>
          <w:color w:val="auto"/>
          <w:sz w:val="28"/>
          <w:szCs w:val="28"/>
          <w:highlight w:val="none"/>
        </w:rPr>
      </w:pPr>
      <w:bookmarkStart w:id="41" w:name="_Toc29809"/>
      <w:bookmarkStart w:id="42" w:name="_Toc6124"/>
      <w:bookmarkStart w:id="43" w:name="_Toc3726"/>
      <w:bookmarkStart w:id="44" w:name="_Toc21711"/>
      <w:bookmarkStart w:id="45" w:name="_Toc24788"/>
      <w:bookmarkStart w:id="46" w:name="_Toc5487"/>
      <w:bookmarkStart w:id="47" w:name="_Toc31682"/>
      <w:r>
        <w:rPr>
          <w:rFonts w:hint="default" w:ascii="Times New Roman" w:hAnsi="Times New Roman" w:cs="Times New Roman"/>
          <w:color w:val="auto"/>
          <w:sz w:val="28"/>
          <w:szCs w:val="28"/>
          <w:highlight w:val="none"/>
        </w:rPr>
        <w:t>1.1</w:t>
      </w:r>
      <w:bookmarkEnd w:id="41"/>
      <w:bookmarkEnd w:id="42"/>
      <w:bookmarkEnd w:id="43"/>
      <w:r>
        <w:rPr>
          <w:rFonts w:hint="default" w:ascii="Times New Roman" w:hAnsi="Times New Roman" w:cs="Times New Roman"/>
          <w:color w:val="auto"/>
          <w:sz w:val="28"/>
          <w:szCs w:val="28"/>
          <w:highlight w:val="none"/>
        </w:rPr>
        <w:t>评价依据</w:t>
      </w:r>
      <w:bookmarkEnd w:id="44"/>
      <w:bookmarkEnd w:id="45"/>
      <w:bookmarkEnd w:id="46"/>
      <w:bookmarkEnd w:id="47"/>
    </w:p>
    <w:p w14:paraId="2CDA452E">
      <w:pPr>
        <w:pStyle w:val="6"/>
        <w:rPr>
          <w:rFonts w:hint="default" w:ascii="Times New Roman" w:hAnsi="Times New Roman" w:cs="Times New Roman"/>
          <w:color w:val="auto"/>
          <w:sz w:val="28"/>
          <w:szCs w:val="28"/>
          <w:highlight w:val="none"/>
        </w:rPr>
      </w:pPr>
      <w:bookmarkStart w:id="48" w:name="_Toc30034"/>
      <w:bookmarkStart w:id="49" w:name="_Toc13766"/>
      <w:bookmarkStart w:id="50" w:name="_Toc19278"/>
      <w:r>
        <w:rPr>
          <w:rFonts w:hint="default" w:ascii="Times New Roman" w:hAnsi="Times New Roman" w:cs="Times New Roman"/>
          <w:color w:val="auto"/>
          <w:sz w:val="28"/>
          <w:szCs w:val="28"/>
          <w:highlight w:val="none"/>
        </w:rPr>
        <w:t>1.1.1国家</w:t>
      </w:r>
      <w:r>
        <w:rPr>
          <w:rFonts w:hint="eastAsia" w:cs="Times New Roman"/>
          <w:color w:val="auto"/>
          <w:sz w:val="28"/>
          <w:szCs w:val="28"/>
          <w:highlight w:val="none"/>
          <w:lang w:eastAsia="zh-CN"/>
        </w:rPr>
        <w:t>法律法规</w:t>
      </w:r>
      <w:r>
        <w:rPr>
          <w:rFonts w:hint="default" w:ascii="Times New Roman" w:hAnsi="Times New Roman" w:cs="Times New Roman"/>
          <w:color w:val="auto"/>
          <w:sz w:val="28"/>
          <w:szCs w:val="28"/>
          <w:highlight w:val="none"/>
        </w:rPr>
        <w:t>及部门规章</w:t>
      </w:r>
      <w:bookmarkEnd w:id="48"/>
      <w:bookmarkEnd w:id="49"/>
      <w:bookmarkEnd w:id="50"/>
    </w:p>
    <w:p w14:paraId="69DE817B">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《中华人民共和国环境保护法》（2015年1月1日）；</w:t>
      </w:r>
    </w:p>
    <w:p w14:paraId="633361E5">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《中华人民共和国环境影响评价法》（2018年12月29日）；</w:t>
      </w:r>
    </w:p>
    <w:p w14:paraId="2AD5005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《中华人民共和国水污染防治法》（2018年1月1日）；</w:t>
      </w:r>
    </w:p>
    <w:p w14:paraId="08ECE05B">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《中华人民共和国大气污染防治法》（2018年10月26日）；</w:t>
      </w:r>
    </w:p>
    <w:p w14:paraId="32CFDD7E">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（5）</w:t>
      </w:r>
      <w:r>
        <w:rPr>
          <w:rFonts w:hint="default" w:ascii="Times New Roman" w:hAnsi="Times New Roman" w:cs="Times New Roman"/>
          <w:color w:val="auto"/>
          <w:sz w:val="24"/>
          <w:szCs w:val="24"/>
          <w:highlight w:val="none"/>
        </w:rPr>
        <w:t>《中华人民共和国固体废物污染环境防治法》（2020年4月29日）；</w:t>
      </w:r>
    </w:p>
    <w:p w14:paraId="11269D2B">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（6）</w:t>
      </w:r>
      <w:r>
        <w:rPr>
          <w:rFonts w:hint="default" w:ascii="Times New Roman" w:hAnsi="Times New Roman" w:cs="Times New Roman"/>
          <w:color w:val="auto"/>
          <w:sz w:val="24"/>
          <w:szCs w:val="24"/>
          <w:highlight w:val="none"/>
        </w:rPr>
        <w:t>《中华人民共和国噪声污染防治法》（2021年12月14日）；</w:t>
      </w:r>
    </w:p>
    <w:p w14:paraId="4809D5B9">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（7）</w:t>
      </w:r>
      <w:r>
        <w:rPr>
          <w:rFonts w:hint="default" w:ascii="Times New Roman" w:hAnsi="Times New Roman" w:cs="Times New Roman"/>
          <w:color w:val="auto"/>
          <w:sz w:val="24"/>
          <w:szCs w:val="24"/>
          <w:highlight w:val="none"/>
        </w:rPr>
        <w:t>《中华人民共和国土壤污染防治法》（2019年1月1日）；</w:t>
      </w:r>
    </w:p>
    <w:p w14:paraId="31924FC3">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（8）</w:t>
      </w:r>
      <w:r>
        <w:rPr>
          <w:rFonts w:hint="default" w:ascii="Times New Roman" w:hAnsi="Times New Roman" w:cs="Times New Roman"/>
          <w:color w:val="auto"/>
          <w:sz w:val="24"/>
          <w:szCs w:val="24"/>
          <w:highlight w:val="none"/>
        </w:rPr>
        <w:t>《中华人民共和国水法》（2016年7月2日）；</w:t>
      </w:r>
    </w:p>
    <w:p w14:paraId="459F2393">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（9）</w:t>
      </w:r>
      <w:r>
        <w:rPr>
          <w:rFonts w:hint="default" w:ascii="Times New Roman" w:hAnsi="Times New Roman" w:cs="Times New Roman"/>
          <w:color w:val="auto"/>
          <w:sz w:val="24"/>
          <w:szCs w:val="24"/>
          <w:highlight w:val="none"/>
        </w:rPr>
        <w:t>《中华人民共和国水土保持法》（2011年3月1日）；</w:t>
      </w:r>
    </w:p>
    <w:p w14:paraId="285B07D6">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（10）</w:t>
      </w:r>
      <w:r>
        <w:rPr>
          <w:rFonts w:hint="default" w:ascii="Times New Roman" w:hAnsi="Times New Roman" w:cs="Times New Roman"/>
          <w:color w:val="auto"/>
          <w:sz w:val="24"/>
          <w:szCs w:val="24"/>
          <w:highlight w:val="none"/>
        </w:rPr>
        <w:t>《中华人民共和国防洪法》（2016年7月2日）；</w:t>
      </w:r>
    </w:p>
    <w:p w14:paraId="380E8F2C">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（11）</w:t>
      </w:r>
      <w:r>
        <w:rPr>
          <w:rFonts w:hint="default" w:ascii="Times New Roman" w:hAnsi="Times New Roman" w:cs="Times New Roman"/>
          <w:color w:val="auto"/>
          <w:sz w:val="24"/>
          <w:szCs w:val="24"/>
          <w:highlight w:val="none"/>
        </w:rPr>
        <w:t>《中华人民共和国城乡规划法》（2019年4月23日）；</w:t>
      </w:r>
    </w:p>
    <w:p w14:paraId="77C3A1D6">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（12）</w:t>
      </w:r>
      <w:r>
        <w:rPr>
          <w:rFonts w:hint="default" w:ascii="Times New Roman" w:hAnsi="Times New Roman" w:cs="Times New Roman"/>
          <w:color w:val="auto"/>
          <w:sz w:val="24"/>
          <w:szCs w:val="24"/>
          <w:highlight w:val="none"/>
        </w:rPr>
        <w:t>《中华人民共和国土地管理法》（2020年1月1日）；</w:t>
      </w:r>
    </w:p>
    <w:p w14:paraId="0E4C96E5">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（13）</w:t>
      </w:r>
      <w:r>
        <w:rPr>
          <w:rFonts w:hint="default" w:ascii="Times New Roman" w:hAnsi="Times New Roman" w:cs="Times New Roman"/>
          <w:color w:val="auto"/>
          <w:sz w:val="24"/>
          <w:szCs w:val="24"/>
          <w:highlight w:val="none"/>
        </w:rPr>
        <w:t>《中华人民共和国河道管理条例》（2018年3月18日）；</w:t>
      </w:r>
    </w:p>
    <w:p w14:paraId="4674A6A9">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（14）</w:t>
      </w:r>
      <w:r>
        <w:rPr>
          <w:rFonts w:hint="default" w:ascii="Times New Roman" w:hAnsi="Times New Roman" w:cs="Times New Roman"/>
          <w:color w:val="auto"/>
          <w:sz w:val="24"/>
          <w:szCs w:val="24"/>
          <w:highlight w:val="none"/>
        </w:rPr>
        <w:t>《中华人民共和国森林法》（2020年7月1日）；</w:t>
      </w:r>
    </w:p>
    <w:p w14:paraId="0ECC98C1">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（15）</w:t>
      </w:r>
      <w:r>
        <w:rPr>
          <w:rFonts w:hint="default" w:ascii="Times New Roman" w:hAnsi="Times New Roman" w:cs="Times New Roman"/>
          <w:color w:val="auto"/>
          <w:sz w:val="24"/>
          <w:szCs w:val="24"/>
          <w:highlight w:val="none"/>
        </w:rPr>
        <w:t>《中华人民共和国野生动物保护法》（2018年10月26日）；</w:t>
      </w:r>
    </w:p>
    <w:p w14:paraId="108EF74D">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（16）</w:t>
      </w:r>
      <w:r>
        <w:rPr>
          <w:rFonts w:hint="default" w:ascii="Times New Roman" w:hAnsi="Times New Roman" w:cs="Times New Roman"/>
          <w:color w:val="auto"/>
          <w:sz w:val="24"/>
          <w:szCs w:val="24"/>
          <w:highlight w:val="none"/>
        </w:rPr>
        <w:t>《中华人民共和国野生植物保护条例》（2017年10月7日）；</w:t>
      </w:r>
    </w:p>
    <w:p w14:paraId="4671426C">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（17）</w:t>
      </w:r>
      <w:r>
        <w:rPr>
          <w:rFonts w:hint="default" w:ascii="Times New Roman" w:hAnsi="Times New Roman" w:cs="Times New Roman"/>
          <w:color w:val="auto"/>
          <w:sz w:val="24"/>
          <w:szCs w:val="24"/>
          <w:highlight w:val="none"/>
        </w:rPr>
        <w:t>自然资源部</w:t>
      </w:r>
      <w:r>
        <w:rPr>
          <w:rFonts w:hint="eastAsia" w:cs="Times New Roman"/>
          <w:color w:val="auto"/>
          <w:sz w:val="24"/>
          <w:szCs w:val="24"/>
          <w:highlight w:val="none"/>
          <w:lang w:eastAsia="zh-CN"/>
        </w:rPr>
        <w:t>、生态环境</w:t>
      </w:r>
      <w:r>
        <w:rPr>
          <w:rFonts w:hint="default" w:ascii="Times New Roman" w:hAnsi="Times New Roman" w:cs="Times New Roman"/>
          <w:color w:val="auto"/>
          <w:sz w:val="24"/>
          <w:szCs w:val="24"/>
          <w:highlight w:val="none"/>
        </w:rPr>
        <w:t>部</w:t>
      </w:r>
      <w:r>
        <w:rPr>
          <w:rFonts w:hint="eastAsia" w:cs="Times New Roman"/>
          <w:color w:val="auto"/>
          <w:sz w:val="24"/>
          <w:szCs w:val="24"/>
          <w:highlight w:val="none"/>
          <w:lang w:eastAsia="zh-CN"/>
        </w:rPr>
        <w:t>、国家</w:t>
      </w:r>
      <w:r>
        <w:rPr>
          <w:rFonts w:hint="default" w:ascii="Times New Roman" w:hAnsi="Times New Roman" w:cs="Times New Roman"/>
          <w:color w:val="auto"/>
          <w:sz w:val="24"/>
          <w:szCs w:val="24"/>
          <w:highlight w:val="none"/>
        </w:rPr>
        <w:t>林业和草原局</w:t>
      </w:r>
      <w:r>
        <w:rPr>
          <w:rFonts w:hint="eastAsia" w:cs="Times New Roman"/>
          <w:color w:val="auto"/>
          <w:sz w:val="24"/>
          <w:szCs w:val="24"/>
          <w:highlight w:val="none"/>
          <w:lang w:eastAsia="zh-CN"/>
        </w:rPr>
        <w:t>〔2022〕142号</w:t>
      </w:r>
      <w:r>
        <w:rPr>
          <w:rFonts w:hint="default" w:ascii="Times New Roman" w:hAnsi="Times New Roman" w:cs="Times New Roman"/>
          <w:color w:val="auto"/>
          <w:sz w:val="24"/>
          <w:szCs w:val="24"/>
          <w:highlight w:val="none"/>
        </w:rPr>
        <w:t>《关于加强生态保护红线管理的通知</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试行</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》（2022年8月16日）；</w:t>
      </w:r>
    </w:p>
    <w:p w14:paraId="295BF3A2">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（18）</w:t>
      </w:r>
      <w:r>
        <w:rPr>
          <w:rFonts w:hint="default" w:ascii="Times New Roman" w:hAnsi="Times New Roman" w:cs="Times New Roman"/>
          <w:color w:val="auto"/>
          <w:sz w:val="24"/>
          <w:szCs w:val="24"/>
          <w:highlight w:val="none"/>
        </w:rPr>
        <w:t>国务院，国发〔2012〕3号《国务院关于实行最严格水资源管理制度的意见》（2012年1月12日）；</w:t>
      </w:r>
    </w:p>
    <w:p w14:paraId="6BBE1D1A">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（19）</w:t>
      </w:r>
      <w:r>
        <w:rPr>
          <w:rFonts w:hint="default" w:ascii="Times New Roman" w:hAnsi="Times New Roman" w:cs="Times New Roman"/>
          <w:color w:val="auto"/>
          <w:sz w:val="24"/>
          <w:szCs w:val="24"/>
          <w:highlight w:val="none"/>
        </w:rPr>
        <w:t>国务院，国发〔2015〕17号《国务院关于印发水污染防治行动计划的通知》（2015年4月2日）；</w:t>
      </w:r>
    </w:p>
    <w:p w14:paraId="554123C3">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（20）国家发展改革委</w:t>
      </w:r>
      <w:r>
        <w:rPr>
          <w:rFonts w:hint="default" w:ascii="Times New Roman" w:hAnsi="Times New Roman" w:cs="Times New Roman"/>
          <w:color w:val="auto"/>
          <w:sz w:val="24"/>
          <w:szCs w:val="24"/>
          <w:highlight w:val="none"/>
        </w:rPr>
        <w:t>，令第7号《产业结构调整指导目录（2024年本）》（2024年2月1日）；</w:t>
      </w:r>
    </w:p>
    <w:p w14:paraId="62B3466F">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（21）</w:t>
      </w:r>
      <w:r>
        <w:rPr>
          <w:rFonts w:hint="default" w:ascii="Times New Roman" w:hAnsi="Times New Roman" w:cs="Times New Roman"/>
          <w:color w:val="auto"/>
          <w:sz w:val="24"/>
          <w:szCs w:val="24"/>
          <w:highlight w:val="none"/>
        </w:rPr>
        <w:t>国务院令第748号《地下水管理条例》（2021年10月21日）</w:t>
      </w:r>
    </w:p>
    <w:p w14:paraId="1C4FE0D1">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（22）</w:t>
      </w:r>
      <w:r>
        <w:rPr>
          <w:rFonts w:hint="default" w:ascii="Times New Roman" w:hAnsi="Times New Roman" w:cs="Times New Roman"/>
          <w:color w:val="auto"/>
          <w:sz w:val="24"/>
          <w:szCs w:val="24"/>
          <w:highlight w:val="none"/>
        </w:rPr>
        <w:t>中共中央办公厅、国务院办公厅，</w:t>
      </w:r>
      <w:r>
        <w:rPr>
          <w:rFonts w:hint="eastAsia" w:cs="Times New Roman"/>
          <w:color w:val="auto"/>
          <w:sz w:val="24"/>
          <w:szCs w:val="24"/>
          <w:highlight w:val="none"/>
          <w:lang w:eastAsia="zh-CN"/>
        </w:rPr>
        <w:t>中办厅</w:t>
      </w:r>
      <w:r>
        <w:rPr>
          <w:rFonts w:hint="default" w:ascii="Times New Roman" w:hAnsi="Times New Roman" w:cs="Times New Roman"/>
          <w:color w:val="auto"/>
          <w:sz w:val="24"/>
          <w:szCs w:val="24"/>
          <w:highlight w:val="none"/>
        </w:rPr>
        <w:t>字〔2017〕2号</w:t>
      </w:r>
      <w:r>
        <w:rPr>
          <w:rFonts w:hint="eastAsia" w:cs="Times New Roman"/>
          <w:color w:val="auto"/>
          <w:sz w:val="24"/>
          <w:szCs w:val="24"/>
          <w:highlight w:val="none"/>
          <w:lang w:eastAsia="zh-CN"/>
        </w:rPr>
        <w:t>《中共中央办公厅 国务院办公厅</w:t>
      </w:r>
      <w:r>
        <w:rPr>
          <w:rFonts w:hint="default" w:ascii="Times New Roman" w:hAnsi="Times New Roman" w:cs="Times New Roman"/>
          <w:color w:val="auto"/>
          <w:sz w:val="24"/>
          <w:szCs w:val="24"/>
          <w:highlight w:val="none"/>
        </w:rPr>
        <w:t>印发</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关于划定并严守生态保护红线的若干意见</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（2017年2月7日）；</w:t>
      </w:r>
    </w:p>
    <w:p w14:paraId="1D3C778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（23）</w:t>
      </w:r>
      <w:r>
        <w:rPr>
          <w:rFonts w:hint="default" w:ascii="Times New Roman" w:hAnsi="Times New Roman" w:cs="Times New Roman"/>
          <w:color w:val="auto"/>
          <w:sz w:val="24"/>
          <w:szCs w:val="24"/>
          <w:highlight w:val="none"/>
        </w:rPr>
        <w:t>生态环境部，令第16号《建设项目环境影响评价分类管理名录（2021年版）》（2020年11月5日）；</w:t>
      </w:r>
    </w:p>
    <w:p w14:paraId="4369A19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（24）</w:t>
      </w:r>
      <w:r>
        <w:rPr>
          <w:rFonts w:hint="default" w:ascii="Times New Roman" w:hAnsi="Times New Roman" w:cs="Times New Roman"/>
          <w:color w:val="auto"/>
          <w:sz w:val="24"/>
          <w:szCs w:val="24"/>
          <w:highlight w:val="none"/>
        </w:rPr>
        <w:t>生态环境部，公告2018年第48号</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关于发布《环境影响评价公众参与办法》配套文件的公告</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（2018年10月12日）；</w:t>
      </w:r>
    </w:p>
    <w:p w14:paraId="6C1267D2">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（25）</w:t>
      </w:r>
      <w:r>
        <w:rPr>
          <w:rFonts w:hint="default" w:ascii="Times New Roman" w:hAnsi="Times New Roman" w:cs="Times New Roman"/>
          <w:color w:val="auto"/>
          <w:sz w:val="24"/>
          <w:szCs w:val="24"/>
          <w:highlight w:val="none"/>
        </w:rPr>
        <w:t>生态环境部，部令第4号《环境影响评价公众参与办法》（2019年1月1日）；</w:t>
      </w:r>
    </w:p>
    <w:p w14:paraId="1FE797F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（26）</w:t>
      </w:r>
      <w:r>
        <w:rPr>
          <w:rFonts w:hint="default" w:ascii="Times New Roman" w:hAnsi="Times New Roman" w:cs="Times New Roman"/>
          <w:color w:val="auto"/>
          <w:sz w:val="24"/>
          <w:szCs w:val="24"/>
          <w:highlight w:val="none"/>
        </w:rPr>
        <w:t>国家林业和草原局农业农村部公告2021年第3号《国家重点保护野生动物名录》（2021年2月1日）；</w:t>
      </w:r>
    </w:p>
    <w:p w14:paraId="2C08DC8A">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（27）</w:t>
      </w:r>
      <w:r>
        <w:rPr>
          <w:rFonts w:hint="default" w:ascii="Times New Roman" w:hAnsi="Times New Roman" w:cs="Times New Roman"/>
          <w:color w:val="auto"/>
          <w:sz w:val="24"/>
          <w:szCs w:val="24"/>
          <w:highlight w:val="none"/>
        </w:rPr>
        <w:t>国家林业和草原局农业农村部公告2021年第15号《国家重点保护野生植物名录》（2021年8月7日）。</w:t>
      </w:r>
    </w:p>
    <w:p w14:paraId="6BDBC17E">
      <w:pPr>
        <w:pStyle w:val="6"/>
        <w:rPr>
          <w:rFonts w:hint="default" w:ascii="Times New Roman" w:hAnsi="Times New Roman" w:cs="Times New Roman"/>
          <w:color w:val="auto"/>
          <w:sz w:val="28"/>
          <w:szCs w:val="28"/>
          <w:highlight w:val="none"/>
        </w:rPr>
      </w:pPr>
      <w:bookmarkStart w:id="51" w:name="_Toc5366"/>
      <w:bookmarkStart w:id="52" w:name="_Toc22766"/>
      <w:bookmarkStart w:id="53" w:name="_Toc1322"/>
      <w:r>
        <w:rPr>
          <w:rFonts w:hint="default" w:ascii="Times New Roman" w:hAnsi="Times New Roman" w:cs="Times New Roman"/>
          <w:color w:val="auto"/>
          <w:sz w:val="28"/>
          <w:szCs w:val="28"/>
          <w:highlight w:val="none"/>
        </w:rPr>
        <w:t>1.1.2</w:t>
      </w:r>
      <w:r>
        <w:rPr>
          <w:rFonts w:hint="eastAsia" w:cs="Times New Roman"/>
          <w:color w:val="auto"/>
          <w:sz w:val="28"/>
          <w:szCs w:val="28"/>
          <w:highlight w:val="none"/>
          <w:lang w:eastAsia="zh-CN"/>
        </w:rPr>
        <w:t>地方性法规</w:t>
      </w:r>
      <w:r>
        <w:rPr>
          <w:rFonts w:hint="default" w:ascii="Times New Roman" w:hAnsi="Times New Roman" w:cs="Times New Roman"/>
          <w:color w:val="auto"/>
          <w:sz w:val="28"/>
          <w:szCs w:val="28"/>
          <w:highlight w:val="none"/>
        </w:rPr>
        <w:t>及政府规章</w:t>
      </w:r>
      <w:bookmarkEnd w:id="51"/>
      <w:bookmarkEnd w:id="52"/>
      <w:bookmarkEnd w:id="53"/>
    </w:p>
    <w:p w14:paraId="3AF51063">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《宁夏回族自治区生态保护红线管理条例》（2019年1月1日）</w:t>
      </w:r>
    </w:p>
    <w:p w14:paraId="5939ACF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宁夏回族自治区人民政府，宁政发〔2020〕37号《自治区人民政府关于实施</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生态环境分区管控的通知》（2020年12月30日）；</w:t>
      </w:r>
    </w:p>
    <w:p w14:paraId="3158E999">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《宁夏回族自治区水工程管理条例》（2003年1月1日）；</w:t>
      </w:r>
    </w:p>
    <w:p w14:paraId="75E5E79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宁夏回族自治区人民政府，宁政发〔2018〕23号，《自治区人民政府关于发布宁夏回族自治区生态保护红线的通知》（2018年6月30日）；</w:t>
      </w:r>
    </w:p>
    <w:p w14:paraId="0BDE87CB">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（5）</w:t>
      </w:r>
      <w:r>
        <w:rPr>
          <w:rFonts w:hint="default" w:ascii="Times New Roman" w:hAnsi="Times New Roman" w:cs="Times New Roman"/>
          <w:color w:val="auto"/>
          <w:sz w:val="24"/>
          <w:szCs w:val="24"/>
          <w:highlight w:val="none"/>
        </w:rPr>
        <w:t>宁夏回族自治区人民政府，宁政发〔2012〕58号，《宁夏回族自治区人民政府关于进一步加强环境保护的决定》（2012年4月13日）；</w:t>
      </w:r>
    </w:p>
    <w:p w14:paraId="5759FC9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（6）</w:t>
      </w:r>
      <w:r>
        <w:rPr>
          <w:rFonts w:hint="default" w:ascii="Times New Roman" w:hAnsi="Times New Roman" w:cs="Times New Roman"/>
          <w:color w:val="auto"/>
          <w:sz w:val="24"/>
          <w:szCs w:val="24"/>
          <w:highlight w:val="none"/>
        </w:rPr>
        <w:t>宁夏回族自治区人民政府，宁政发〔2015〕106号，《自治区人民政府关于印发宁夏回族自治区水污染防治工作方案的通知》（2015年12月30日）；</w:t>
      </w:r>
    </w:p>
    <w:p w14:paraId="74F927A5">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（7）</w:t>
      </w:r>
      <w:r>
        <w:rPr>
          <w:rFonts w:hint="default" w:ascii="Times New Roman" w:hAnsi="Times New Roman" w:cs="Times New Roman"/>
          <w:color w:val="auto"/>
          <w:sz w:val="24"/>
          <w:szCs w:val="24"/>
          <w:highlight w:val="none"/>
        </w:rPr>
        <w:t>宁夏回族自治区人民政府办公厅，宁政办发〔2016〕80号《关于印发</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宁夏回族自治区小型水利工程管理办法</w:t>
      </w:r>
      <w:r>
        <w:rPr>
          <w:rFonts w:hint="eastAsia" w:cs="Times New Roman"/>
          <w:color w:val="auto"/>
          <w:sz w:val="24"/>
          <w:szCs w:val="24"/>
          <w:highlight w:val="none"/>
          <w:lang w:eastAsia="zh-CN"/>
        </w:rPr>
        <w:t>〉的通知》</w:t>
      </w:r>
      <w:r>
        <w:rPr>
          <w:rFonts w:hint="default" w:ascii="Times New Roman" w:hAnsi="Times New Roman" w:cs="Times New Roman"/>
          <w:color w:val="auto"/>
          <w:sz w:val="24"/>
          <w:szCs w:val="24"/>
          <w:highlight w:val="none"/>
        </w:rPr>
        <w:t>（2016年6月1日）；</w:t>
      </w:r>
    </w:p>
    <w:p w14:paraId="46BD17F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（8）</w:t>
      </w:r>
      <w:r>
        <w:rPr>
          <w:rFonts w:hint="default" w:ascii="Times New Roman" w:hAnsi="Times New Roman" w:cs="Times New Roman"/>
          <w:color w:val="auto"/>
          <w:sz w:val="24"/>
          <w:szCs w:val="24"/>
          <w:highlight w:val="none"/>
        </w:rPr>
        <w:t>《固原市人民政府关于实施</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生态环境分区管控的意见》（固政规发〔2021〕6号）；</w:t>
      </w:r>
    </w:p>
    <w:p w14:paraId="392876BF">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（9）</w:t>
      </w:r>
      <w:r>
        <w:rPr>
          <w:rFonts w:hint="default" w:ascii="Times New Roman" w:hAnsi="Times New Roman" w:cs="Times New Roman"/>
          <w:color w:val="auto"/>
          <w:sz w:val="24"/>
          <w:szCs w:val="24"/>
          <w:highlight w:val="none"/>
        </w:rPr>
        <w:t>固原市人民政府</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固政发〔2024〕28号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关于印发</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固原市生态环境分区管控实施方案</w:t>
      </w:r>
      <w:r>
        <w:rPr>
          <w:rFonts w:hint="eastAsia" w:cs="Times New Roman"/>
          <w:color w:val="auto"/>
          <w:sz w:val="24"/>
          <w:szCs w:val="24"/>
          <w:highlight w:val="none"/>
          <w:lang w:eastAsia="zh-CN"/>
        </w:rPr>
        <w:t>〉的通知》</w:t>
      </w:r>
      <w:r>
        <w:rPr>
          <w:rFonts w:hint="default" w:ascii="Times New Roman" w:hAnsi="Times New Roman" w:cs="Times New Roman"/>
          <w:color w:val="auto"/>
          <w:sz w:val="24"/>
          <w:szCs w:val="24"/>
          <w:highlight w:val="none"/>
          <w:lang w:eastAsia="zh-CN"/>
        </w:rPr>
        <w:t>（2024</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eastAsia="zh-CN"/>
        </w:rPr>
        <w:t>9</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eastAsia="zh-CN"/>
        </w:rPr>
        <w:t>12</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33DEDC11">
      <w:pPr>
        <w:pStyle w:val="6"/>
        <w:rPr>
          <w:rFonts w:hint="default" w:ascii="Times New Roman" w:hAnsi="Times New Roman" w:cs="Times New Roman"/>
          <w:color w:val="auto"/>
          <w:sz w:val="28"/>
          <w:szCs w:val="28"/>
          <w:highlight w:val="none"/>
        </w:rPr>
      </w:pPr>
      <w:bookmarkStart w:id="54" w:name="_Toc2353"/>
      <w:bookmarkStart w:id="55" w:name="_Toc1847"/>
      <w:bookmarkStart w:id="56" w:name="_Toc22577"/>
      <w:r>
        <w:rPr>
          <w:rFonts w:hint="default" w:ascii="Times New Roman" w:hAnsi="Times New Roman" w:cs="Times New Roman"/>
          <w:color w:val="auto"/>
          <w:sz w:val="28"/>
          <w:szCs w:val="28"/>
          <w:highlight w:val="none"/>
        </w:rPr>
        <w:t>1.1.3相关规划</w:t>
      </w:r>
      <w:bookmarkEnd w:id="54"/>
      <w:bookmarkEnd w:id="55"/>
      <w:bookmarkEnd w:id="56"/>
    </w:p>
    <w:p w14:paraId="69004156">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《全国主体功能区规划》；</w:t>
      </w:r>
    </w:p>
    <w:p w14:paraId="69ACFF8B">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《全国生态功能区划》；</w:t>
      </w:r>
    </w:p>
    <w:p w14:paraId="0ECCA825">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《宁夏回族自治区主体功能区》；</w:t>
      </w:r>
    </w:p>
    <w:p w14:paraId="7D726C74">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《宁夏生态功能区划》；</w:t>
      </w:r>
    </w:p>
    <w:p w14:paraId="2A3C2E62">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（5）</w:t>
      </w:r>
      <w:r>
        <w:rPr>
          <w:rFonts w:hint="default" w:ascii="Times New Roman" w:hAnsi="Times New Roman" w:cs="Times New Roman"/>
          <w:color w:val="auto"/>
          <w:sz w:val="24"/>
          <w:szCs w:val="24"/>
          <w:highlight w:val="none"/>
        </w:rPr>
        <w:t>《黄河流域生态保护和高质量发展规划纲要》；</w:t>
      </w:r>
    </w:p>
    <w:p w14:paraId="504D6299">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（6）</w:t>
      </w:r>
      <w:r>
        <w:rPr>
          <w:rFonts w:hint="default" w:ascii="Times New Roman" w:hAnsi="Times New Roman" w:cs="Times New Roman"/>
          <w:color w:val="auto"/>
          <w:sz w:val="24"/>
          <w:szCs w:val="24"/>
          <w:highlight w:val="none"/>
        </w:rPr>
        <w:t>《宁夏水安全保障</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规划》；</w:t>
      </w:r>
    </w:p>
    <w:p w14:paraId="2D28B8CA">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（7）</w:t>
      </w:r>
      <w:r>
        <w:rPr>
          <w:rFonts w:hint="default" w:ascii="Times New Roman" w:hAnsi="Times New Roman" w:cs="Times New Roman"/>
          <w:color w:val="auto"/>
          <w:sz w:val="24"/>
          <w:szCs w:val="24"/>
          <w:highlight w:val="none"/>
        </w:rPr>
        <w:t>《宁夏黄河流域生态保护和高质量发展先行区水利专项规划》；</w:t>
      </w:r>
    </w:p>
    <w:p w14:paraId="64DDD025">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（8）</w:t>
      </w:r>
      <w:r>
        <w:rPr>
          <w:rFonts w:hint="default" w:ascii="Times New Roman" w:hAnsi="Times New Roman" w:cs="Times New Roman"/>
          <w:color w:val="auto"/>
          <w:sz w:val="24"/>
          <w:szCs w:val="24"/>
          <w:highlight w:val="none"/>
        </w:rPr>
        <w:t>《宁夏回族自治区生态环境保护</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规划》；</w:t>
      </w:r>
    </w:p>
    <w:p w14:paraId="7E9F6DCA">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（9）</w:t>
      </w:r>
      <w:r>
        <w:rPr>
          <w:rFonts w:hint="default" w:ascii="Times New Roman" w:hAnsi="Times New Roman" w:cs="Times New Roman"/>
          <w:color w:val="auto"/>
          <w:sz w:val="24"/>
          <w:szCs w:val="24"/>
          <w:highlight w:val="none"/>
        </w:rPr>
        <w:t>《宁夏回族自治区水生态环境保护</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规划》；</w:t>
      </w:r>
    </w:p>
    <w:p w14:paraId="3852EFCD">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（10）</w:t>
      </w:r>
      <w:r>
        <w:rPr>
          <w:rFonts w:hint="default" w:ascii="Times New Roman" w:hAnsi="Times New Roman" w:cs="Times New Roman"/>
          <w:color w:val="auto"/>
          <w:sz w:val="24"/>
          <w:szCs w:val="24"/>
          <w:highlight w:val="none"/>
          <w:lang w:eastAsia="zh-CN"/>
        </w:rPr>
        <w:t>《固原市环境保护</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十四五</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规划》</w:t>
      </w:r>
      <w:r>
        <w:rPr>
          <w:rFonts w:hint="default" w:ascii="Times New Roman" w:hAnsi="Times New Roman" w:cs="Times New Roman"/>
          <w:color w:val="auto"/>
          <w:sz w:val="24"/>
          <w:szCs w:val="24"/>
          <w:highlight w:val="none"/>
        </w:rPr>
        <w:t>。</w:t>
      </w:r>
    </w:p>
    <w:p w14:paraId="16483C59">
      <w:pPr>
        <w:pStyle w:val="6"/>
        <w:rPr>
          <w:rFonts w:hint="default" w:ascii="Times New Roman" w:hAnsi="Times New Roman" w:cs="Times New Roman"/>
          <w:color w:val="auto"/>
          <w:sz w:val="28"/>
          <w:szCs w:val="28"/>
          <w:highlight w:val="none"/>
        </w:rPr>
      </w:pPr>
      <w:bookmarkStart w:id="57" w:name="_Toc30459"/>
      <w:bookmarkStart w:id="58" w:name="_Toc23608"/>
      <w:bookmarkStart w:id="59" w:name="_Toc21265"/>
      <w:r>
        <w:rPr>
          <w:rFonts w:hint="default" w:ascii="Times New Roman" w:hAnsi="Times New Roman" w:cs="Times New Roman"/>
          <w:color w:val="auto"/>
          <w:sz w:val="28"/>
          <w:szCs w:val="28"/>
          <w:highlight w:val="none"/>
        </w:rPr>
        <w:t>1.1.4相关导则及技术规范</w:t>
      </w:r>
      <w:bookmarkEnd w:id="57"/>
      <w:bookmarkEnd w:id="58"/>
      <w:bookmarkEnd w:id="59"/>
    </w:p>
    <w:p w14:paraId="149C92FA">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《建设项目环境影响评价技术导则总纲》（HJ2.1-2016）；</w:t>
      </w:r>
    </w:p>
    <w:p w14:paraId="65FDC2DD">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《环境影响评价技术导则大气环境》（HJ2.2-2018）；</w:t>
      </w:r>
    </w:p>
    <w:p w14:paraId="5421EDB9">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《环境影响评价技术导则地表水环境》（HJ2.3-2018）；</w:t>
      </w:r>
    </w:p>
    <w:p w14:paraId="5988BBD2">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《环境影响评价技术导则地下水环境》（HJ610-2016）；</w:t>
      </w:r>
    </w:p>
    <w:p w14:paraId="3C87E86B">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（5）</w:t>
      </w:r>
      <w:r>
        <w:rPr>
          <w:rFonts w:hint="default" w:ascii="Times New Roman" w:hAnsi="Times New Roman" w:cs="Times New Roman"/>
          <w:color w:val="auto"/>
          <w:sz w:val="24"/>
          <w:szCs w:val="24"/>
          <w:highlight w:val="none"/>
        </w:rPr>
        <w:t>《环境影响评价技术导则声环境》（HJ2.4-2021）；</w:t>
      </w:r>
    </w:p>
    <w:p w14:paraId="7481D60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（6）</w:t>
      </w:r>
      <w:r>
        <w:rPr>
          <w:rFonts w:hint="default" w:ascii="Times New Roman" w:hAnsi="Times New Roman" w:cs="Times New Roman"/>
          <w:color w:val="auto"/>
          <w:sz w:val="24"/>
          <w:szCs w:val="24"/>
          <w:highlight w:val="none"/>
        </w:rPr>
        <w:t>《环境影响评价技术导则生态影响》</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HJ19-2022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08E3EBA2">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（7）《环境影响评价技术导则土壤环境（试行）》（</w:t>
      </w:r>
      <w:r>
        <w:rPr>
          <w:rFonts w:hint="default" w:ascii="Times New Roman" w:hAnsi="Times New Roman" w:cs="Times New Roman"/>
          <w:color w:val="auto"/>
          <w:sz w:val="24"/>
          <w:szCs w:val="24"/>
          <w:highlight w:val="none"/>
        </w:rPr>
        <w:t>HJ964-2018</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3F30A131">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（8）</w:t>
      </w:r>
      <w:r>
        <w:rPr>
          <w:rFonts w:hint="default" w:ascii="Times New Roman" w:hAnsi="Times New Roman" w:cs="Times New Roman"/>
          <w:color w:val="auto"/>
          <w:sz w:val="24"/>
          <w:szCs w:val="24"/>
          <w:highlight w:val="none"/>
        </w:rPr>
        <w:t>《建设项目环境风险评价技术导则》</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HJ169-2018</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4D77C41B">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（9）</w:t>
      </w:r>
      <w:r>
        <w:rPr>
          <w:rFonts w:hint="default" w:ascii="Times New Roman" w:hAnsi="Times New Roman" w:cs="Times New Roman"/>
          <w:color w:val="auto"/>
          <w:sz w:val="24"/>
          <w:szCs w:val="24"/>
          <w:highlight w:val="none"/>
        </w:rPr>
        <w:t>《环境影响评价技术导则水利水电工程》</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HJ88-2003</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050DE96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（10）</w:t>
      </w:r>
      <w:r>
        <w:rPr>
          <w:rFonts w:hint="default" w:ascii="Times New Roman" w:hAnsi="Times New Roman" w:cs="Times New Roman"/>
          <w:color w:val="auto"/>
          <w:sz w:val="24"/>
          <w:szCs w:val="24"/>
          <w:highlight w:val="none"/>
        </w:rPr>
        <w:t>《水利水电工程环境保护设计规范》（SL492-2011）；</w:t>
      </w:r>
    </w:p>
    <w:p w14:paraId="52640131">
      <w:pP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（11）</w:t>
      </w:r>
      <w:r>
        <w:rPr>
          <w:rFonts w:hint="default" w:ascii="Times New Roman" w:hAnsi="Times New Roman" w:eastAsia="宋体" w:cs="Times New Roman"/>
          <w:color w:val="auto"/>
          <w:sz w:val="24"/>
          <w:szCs w:val="24"/>
          <w:highlight w:val="none"/>
        </w:rPr>
        <w:t>《水电水利工程施工环境保护技术规程》（DL/T5260-2010）；</w:t>
      </w:r>
    </w:p>
    <w:p w14:paraId="052168A2">
      <w:pP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（12）</w:t>
      </w:r>
      <w:r>
        <w:rPr>
          <w:rFonts w:hint="default" w:ascii="Times New Roman" w:hAnsi="Times New Roman" w:eastAsia="宋体" w:cs="Times New Roman"/>
          <w:color w:val="auto"/>
          <w:sz w:val="24"/>
          <w:szCs w:val="24"/>
          <w:highlight w:val="none"/>
        </w:rPr>
        <w:t>《全国生态状况调查评估技术规范——生态系统格局评估》（HJ 1171—2021）</w:t>
      </w:r>
      <w:r>
        <w:rPr>
          <w:rFonts w:hint="default" w:ascii="Times New Roman" w:hAnsi="Times New Roman" w:eastAsia="宋体" w:cs="Times New Roman"/>
          <w:color w:val="auto"/>
          <w:sz w:val="24"/>
          <w:szCs w:val="24"/>
          <w:highlight w:val="none"/>
          <w:lang w:eastAsia="zh-CN"/>
        </w:rPr>
        <w:t>；</w:t>
      </w:r>
    </w:p>
    <w:p w14:paraId="0112D2E8">
      <w:pP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（13）</w:t>
      </w:r>
      <w:r>
        <w:rPr>
          <w:rFonts w:hint="default" w:ascii="Times New Roman" w:hAnsi="Times New Roman" w:eastAsia="宋体" w:cs="Times New Roman"/>
          <w:color w:val="auto"/>
          <w:sz w:val="24"/>
          <w:szCs w:val="24"/>
          <w:highlight w:val="none"/>
        </w:rPr>
        <w:t>《水土保持综合治理技术规范</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荒地治理技术》</w:t>
      </w:r>
      <w:r>
        <w:rPr>
          <w:rFonts w:hint="default" w:ascii="Times New Roman" w:hAnsi="Times New Roman" w:eastAsia="宋体" w:cs="Times New Roman"/>
          <w:color w:val="auto"/>
          <w:sz w:val="24"/>
          <w:szCs w:val="24"/>
          <w:highlight w:val="none"/>
          <w:lang w:eastAsia="zh-CN"/>
        </w:rPr>
        <w:t>（GB/T 16453.2-2008）；</w:t>
      </w:r>
    </w:p>
    <w:p w14:paraId="764618E2">
      <w:pP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（14）</w:t>
      </w:r>
      <w:r>
        <w:rPr>
          <w:rFonts w:hint="default" w:ascii="Times New Roman" w:hAnsi="Times New Roman" w:eastAsia="宋体" w:cs="Times New Roman"/>
          <w:color w:val="auto"/>
          <w:sz w:val="24"/>
          <w:szCs w:val="24"/>
          <w:highlight w:val="none"/>
        </w:rPr>
        <w:t>《生态环境状况评价技术规范》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HJ192-2015</w:t>
      </w:r>
      <w:r>
        <w:rPr>
          <w:rFonts w:hint="default" w:ascii="Times New Roman" w:hAnsi="Times New Roman" w:eastAsia="宋体" w:cs="Times New Roman"/>
          <w:color w:val="auto"/>
          <w:sz w:val="24"/>
          <w:szCs w:val="24"/>
          <w:highlight w:val="none"/>
          <w:lang w:eastAsia="zh-CN"/>
        </w:rPr>
        <w:t>）；</w:t>
      </w:r>
    </w:p>
    <w:p w14:paraId="7C0E7E2E">
      <w:pP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（15）</w:t>
      </w:r>
      <w:r>
        <w:rPr>
          <w:rFonts w:hint="default" w:ascii="Times New Roman" w:hAnsi="Times New Roman" w:eastAsia="宋体" w:cs="Times New Roman"/>
          <w:color w:val="auto"/>
          <w:sz w:val="24"/>
          <w:szCs w:val="24"/>
          <w:highlight w:val="none"/>
        </w:rPr>
        <w:t>《土地利用现状分类》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GB_T21010-2017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35CD30F1">
      <w:pPr>
        <w:pStyle w:val="6"/>
        <w:rPr>
          <w:rFonts w:hint="default" w:ascii="Times New Roman" w:hAnsi="Times New Roman" w:cs="Times New Roman"/>
          <w:color w:val="auto"/>
          <w:sz w:val="28"/>
          <w:szCs w:val="28"/>
          <w:highlight w:val="none"/>
        </w:rPr>
      </w:pPr>
      <w:bookmarkStart w:id="60" w:name="_Toc13403"/>
      <w:bookmarkStart w:id="61" w:name="_Toc5845"/>
      <w:bookmarkStart w:id="62" w:name="_Toc25794"/>
      <w:r>
        <w:rPr>
          <w:rFonts w:hint="default" w:ascii="Times New Roman" w:hAnsi="Times New Roman" w:cs="Times New Roman"/>
          <w:color w:val="auto"/>
          <w:sz w:val="28"/>
          <w:szCs w:val="28"/>
          <w:highlight w:val="none"/>
        </w:rPr>
        <w:t>1.1.</w:t>
      </w:r>
      <w:r>
        <w:rPr>
          <w:rFonts w:hint="eastAsia" w:cs="Times New Roman"/>
          <w:color w:val="auto"/>
          <w:sz w:val="28"/>
          <w:szCs w:val="28"/>
          <w:highlight w:val="none"/>
          <w:lang w:val="en-US" w:eastAsia="zh-CN"/>
        </w:rPr>
        <w:t>5</w:t>
      </w:r>
      <w:r>
        <w:rPr>
          <w:rFonts w:hint="default" w:ascii="Times New Roman" w:hAnsi="Times New Roman" w:cs="Times New Roman"/>
          <w:color w:val="auto"/>
          <w:sz w:val="28"/>
          <w:szCs w:val="28"/>
          <w:highlight w:val="none"/>
        </w:rPr>
        <w:t>相关资料及文件</w:t>
      </w:r>
      <w:bookmarkEnd w:id="60"/>
      <w:bookmarkEnd w:id="61"/>
      <w:bookmarkEnd w:id="62"/>
    </w:p>
    <w:p w14:paraId="29B742FD">
      <w:pPr>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关于彭阳县茹河（小河段）河道治理工程可行性研究报告的批复</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彭审批发〔2025〕98号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595BE39D">
      <w:pPr>
        <w:jc w:val="both"/>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关于茹河支流河道生态综合治理项目（红茹河土地综合整治单元）—彭阳县茹河（小河段）河道治理工程初步设计的批复</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彭审批发〔2025〕104号</w:t>
      </w:r>
      <w:r>
        <w:rPr>
          <w:rFonts w:hint="default" w:ascii="Times New Roman" w:hAnsi="Times New Roman" w:cs="Times New Roman"/>
          <w:color w:val="auto"/>
          <w:sz w:val="24"/>
          <w:szCs w:val="24"/>
          <w:highlight w:val="none"/>
          <w:lang w:eastAsia="zh-CN"/>
        </w:rPr>
        <w:t>）；</w:t>
      </w:r>
    </w:p>
    <w:p w14:paraId="408ED465">
      <w:pPr>
        <w:jc w:val="both"/>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lang w:eastAsia="zh-CN"/>
        </w:rPr>
        <w:t>《自然资源局关于申报茹河支流生态综合治理项目（红茹河土地综合治理单元）——彭阳县茹河（小河段）河道治理工程用地预审的函》；</w:t>
      </w:r>
    </w:p>
    <w:p w14:paraId="055932B6">
      <w:pPr>
        <w:jc w:val="both"/>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关于茹河支流河道生态综合治理项目（红茹河土地综合整治单元）——彭阳县茹河（小河段）河道治理工程用地预审（选址意见）的情况说明</w:t>
      </w:r>
      <w:r>
        <w:rPr>
          <w:rFonts w:hint="default" w:ascii="Times New Roman" w:hAnsi="Times New Roman" w:eastAsia="宋体" w:cs="Times New Roman"/>
          <w:color w:val="auto"/>
          <w:sz w:val="24"/>
          <w:szCs w:val="24"/>
          <w:highlight w:val="none"/>
          <w:lang w:eastAsia="zh-CN"/>
        </w:rPr>
        <w:t>》。</w:t>
      </w:r>
    </w:p>
    <w:p w14:paraId="033C2C3E">
      <w:pPr>
        <w:pStyle w:val="4"/>
        <w:rPr>
          <w:rFonts w:hint="default" w:ascii="Times New Roman" w:hAnsi="Times New Roman" w:cs="Times New Roman"/>
          <w:color w:val="auto"/>
          <w:sz w:val="28"/>
          <w:szCs w:val="28"/>
          <w:highlight w:val="none"/>
        </w:rPr>
      </w:pPr>
      <w:bookmarkStart w:id="63" w:name="_Toc25649"/>
      <w:bookmarkStart w:id="64" w:name="_Toc10614"/>
      <w:bookmarkStart w:id="65" w:name="_Toc4926"/>
      <w:bookmarkStart w:id="66" w:name="_Toc30063"/>
      <w:r>
        <w:rPr>
          <w:rFonts w:hint="default" w:ascii="Times New Roman" w:hAnsi="Times New Roman" w:cs="Times New Roman"/>
          <w:color w:val="auto"/>
          <w:sz w:val="28"/>
          <w:szCs w:val="28"/>
          <w:highlight w:val="none"/>
        </w:rPr>
        <w:t>1.2评价目的与原则</w:t>
      </w:r>
      <w:bookmarkEnd w:id="63"/>
      <w:bookmarkEnd w:id="64"/>
      <w:bookmarkEnd w:id="65"/>
      <w:bookmarkEnd w:id="66"/>
    </w:p>
    <w:p w14:paraId="5A1B2FDB">
      <w:pPr>
        <w:pStyle w:val="6"/>
        <w:rPr>
          <w:rFonts w:hint="default" w:ascii="Times New Roman" w:hAnsi="Times New Roman" w:cs="Times New Roman"/>
          <w:color w:val="auto"/>
          <w:sz w:val="28"/>
          <w:szCs w:val="28"/>
          <w:highlight w:val="none"/>
        </w:rPr>
      </w:pPr>
      <w:bookmarkStart w:id="67" w:name="_Toc13130"/>
      <w:bookmarkStart w:id="68" w:name="_Toc19925"/>
      <w:bookmarkStart w:id="69" w:name="_Toc22226"/>
      <w:r>
        <w:rPr>
          <w:rFonts w:hint="default" w:ascii="Times New Roman" w:hAnsi="Times New Roman" w:cs="Times New Roman"/>
          <w:color w:val="auto"/>
          <w:sz w:val="28"/>
          <w:szCs w:val="28"/>
          <w:highlight w:val="none"/>
        </w:rPr>
        <w:t>1.2.1评价目的</w:t>
      </w:r>
      <w:bookmarkEnd w:id="67"/>
      <w:bookmarkEnd w:id="68"/>
      <w:bookmarkEnd w:id="69"/>
    </w:p>
    <w:p w14:paraId="46D95574">
      <w:pPr>
        <w:rPr>
          <w:rFonts w:hint="default" w:ascii="Times New Roman" w:hAnsi="Times New Roman" w:cs="Times New Roman"/>
          <w:color w:val="auto"/>
          <w:sz w:val="24"/>
          <w:szCs w:val="24"/>
          <w:highlight w:val="none"/>
        </w:rPr>
      </w:pPr>
      <w:r>
        <w:rPr>
          <w:rFonts w:ascii="Segoe UI" w:hAnsi="Segoe UI" w:eastAsia="Segoe UI" w:cs="Segoe UI"/>
          <w:i w:val="0"/>
          <w:iCs w:val="0"/>
          <w:caps w:val="0"/>
          <w:color w:val="auto"/>
          <w:spacing w:val="0"/>
          <w:sz w:val="24"/>
          <w:szCs w:val="24"/>
          <w:highlight w:val="none"/>
          <w:shd w:val="clear" w:fill="FFFFFF"/>
        </w:rPr>
        <w:t>根据国家和地方相关法律法规、规章及技术导则（如《中华人民共和国环境保护法》《中华人民共和国水土保持法》《建设项目环境保护管理条例》等），结合国家产业政策、流域综合规划、生态环境保护规划及区域发展规划</w:t>
      </w:r>
      <w:r>
        <w:rPr>
          <w:rFonts w:hint="default" w:ascii="Times New Roman" w:hAnsi="Times New Roman" w:cs="Times New Roman"/>
          <w:color w:val="auto"/>
          <w:sz w:val="24"/>
          <w:szCs w:val="24"/>
          <w:highlight w:val="none"/>
        </w:rPr>
        <w:t>等要求，立足工程特性与区域环境特点，编制本环境影响报告书的目的在于：</w:t>
      </w:r>
    </w:p>
    <w:p w14:paraId="36B750F1">
      <w:pPr>
        <w:rPr>
          <w:rFonts w:hint="default" w:ascii="Times New Roman" w:hAnsi="Times New Roman" w:cs="Times New Roman"/>
          <w:color w:val="auto"/>
          <w:sz w:val="24"/>
          <w:szCs w:val="24"/>
          <w:highlight w:val="none"/>
        </w:rPr>
      </w:pPr>
      <w:bookmarkStart w:id="70" w:name="_Toc28775"/>
      <w:bookmarkStart w:id="71" w:name="_Toc22791"/>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调查工程涉及区域的水环境、土壤环境、声环境、生态环境和社会环境现状，掌握区域环境功能区划及执行标准，厘清区域现存环境问题；同时系统梳理项目建设内容，核查项目建设是否符合国家产业政策导向、流域治理规划及生态保护相关规划要求，明确项目与区域发展规划、生态保护红线等管控要求的符合性。</w:t>
      </w:r>
    </w:p>
    <w:p w14:paraId="44A2281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分析工程建设、运行等活动的特征，全面识别与预测工程活动对评价区域环境造成的各类影响，重点聚焦施工期（含临时工程）及运营期对生态保护红线管控区域的生态扰动、水土流失、水生生态破坏等核心影响，量化影响范围与程度。</w:t>
      </w:r>
    </w:p>
    <w:p w14:paraId="085C69D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针对工程可能带来的不利影响及区域环境保护要求，制定技术经济可行的环境保护对策与生态修复措施，系统考虑施工期和运行期的污染防治及风险防范措施，明确施工期生态红线管控的具体措施，确保区域环境质量达到功能区划要求，生态系统、生物多样性得到有效保护，充分发挥工程的经济效益、社会效益和环境效益，促进工程区域的可持续发展。</w:t>
      </w:r>
    </w:p>
    <w:p w14:paraId="48C2F724">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有针对性地制定工程施工期和运行期的环境监测计划，以便精准掌握工程对环境的实际影响程度，为工程环境管理提供科学依据。</w:t>
      </w:r>
    </w:p>
    <w:p w14:paraId="54A2235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制定工程环境管理计划，明确各方的环境保护任务和职责，为环境保护措施的有效实施提供制度保证。</w:t>
      </w:r>
    </w:p>
    <w:p w14:paraId="46A4A039">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从环境保护角度科学论证项目建设的合理性与可行性，为项目环境保护管理、施工组织优化及环保审批提供坚实的科学依据，保障项目建设与生态环境保护协调发展，筑牢区域生态安全屏障。</w:t>
      </w:r>
    </w:p>
    <w:p w14:paraId="2345A5EB">
      <w:pPr>
        <w:pStyle w:val="6"/>
        <w:rPr>
          <w:rFonts w:hint="default" w:ascii="Times New Roman" w:hAnsi="Times New Roman" w:cs="Times New Roman"/>
          <w:color w:val="auto"/>
          <w:sz w:val="28"/>
          <w:szCs w:val="28"/>
          <w:highlight w:val="none"/>
        </w:rPr>
      </w:pPr>
      <w:bookmarkStart w:id="72" w:name="_Toc14797"/>
      <w:r>
        <w:rPr>
          <w:rFonts w:hint="default" w:ascii="Times New Roman" w:hAnsi="Times New Roman" w:cs="Times New Roman"/>
          <w:color w:val="auto"/>
          <w:sz w:val="28"/>
          <w:szCs w:val="28"/>
          <w:highlight w:val="none"/>
        </w:rPr>
        <w:t>1.2.2评价原则</w:t>
      </w:r>
      <w:bookmarkEnd w:id="70"/>
      <w:bookmarkEnd w:id="71"/>
      <w:bookmarkEnd w:id="72"/>
    </w:p>
    <w:p w14:paraId="24C7DAF9">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根据评价区环境功能要求，并结合工程建设主要环境敏感目标，本工程环境影响评价指导思想如下：</w:t>
      </w:r>
    </w:p>
    <w:p w14:paraId="6128076F">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符合相关规划与政策</w:t>
      </w:r>
    </w:p>
    <w:p w14:paraId="55A203C5">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工程建设应符合国家和地方相关政策要求，合理开发利用水资源，使环境保护与水资源开发协调发展。</w:t>
      </w:r>
    </w:p>
    <w:p w14:paraId="1936EDD4">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可持续发展原则</w:t>
      </w:r>
    </w:p>
    <w:p w14:paraId="1E1C05F5">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工程建设会对当地生态环境产生一定影响，也将占用部分土地资源，但工程建设应充分考虑到生态环境保护与当地社会经济发展的需要，实现区域社会、经济与环境的可持续发展。</w:t>
      </w:r>
    </w:p>
    <w:p w14:paraId="6CE0257E">
      <w:pPr>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有利于保护和促进工程涉及区域的生态环境建设工程建设应避免造成重大的生态环境影响问题，在工程建设过程中应尽量避免和减少工程建设对生态环境造成明显的破坏和影响；切实做好评价区</w:t>
      </w:r>
      <w:r>
        <w:rPr>
          <w:rFonts w:hint="eastAsia" w:cs="Times New Roman"/>
          <w:color w:val="auto"/>
          <w:sz w:val="24"/>
          <w:szCs w:val="24"/>
          <w:highlight w:val="none"/>
          <w:lang w:eastAsia="zh-CN"/>
        </w:rPr>
        <w:t>生物多样性保护</w:t>
      </w:r>
      <w:r>
        <w:rPr>
          <w:rFonts w:hint="default" w:ascii="Times New Roman" w:hAnsi="Times New Roman" w:cs="Times New Roman"/>
          <w:color w:val="auto"/>
          <w:sz w:val="24"/>
          <w:szCs w:val="24"/>
          <w:highlight w:val="none"/>
        </w:rPr>
        <w:t>，避免影响珍稀濒危物种，保护区域生态系统的完整性和多样性。</w:t>
      </w:r>
    </w:p>
    <w:p w14:paraId="2686CCAD">
      <w:pPr>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环保措施具有针对性和可操作性</w:t>
      </w:r>
    </w:p>
    <w:p w14:paraId="38558F30">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产生废水、废气、废渣及噪声等，将对周边环境造成一定程度影响，因此，针对施工期各类污染物的产生及排放情况，结合区域的环境功能要求，提出污染控制和预防措施，降低或减免不利影响程度。环保措施的拟定，应具有针对性和可操作性，做到经济、可靠、实用，便于环保部门进行监督和管理。</w:t>
      </w:r>
    </w:p>
    <w:p w14:paraId="47831A33">
      <w:pPr>
        <w:pStyle w:val="4"/>
        <w:rPr>
          <w:rFonts w:hint="default" w:ascii="Times New Roman" w:hAnsi="Times New Roman" w:cs="Times New Roman"/>
          <w:color w:val="auto"/>
          <w:sz w:val="28"/>
          <w:szCs w:val="28"/>
          <w:highlight w:val="none"/>
        </w:rPr>
      </w:pPr>
      <w:bookmarkStart w:id="73" w:name="_Toc10036"/>
      <w:bookmarkStart w:id="74" w:name="_Toc28350"/>
      <w:bookmarkStart w:id="75" w:name="_Toc32122"/>
      <w:bookmarkStart w:id="76" w:name="_Toc24861"/>
      <w:bookmarkStart w:id="77" w:name="_Toc16563"/>
      <w:bookmarkStart w:id="78" w:name="_Toc518931547"/>
      <w:bookmarkStart w:id="79" w:name="_Toc531104316"/>
      <w:r>
        <w:rPr>
          <w:rFonts w:hint="default" w:ascii="Times New Roman" w:hAnsi="Times New Roman" w:cs="Times New Roman"/>
          <w:color w:val="auto"/>
          <w:sz w:val="28"/>
          <w:szCs w:val="28"/>
          <w:highlight w:val="none"/>
        </w:rPr>
        <w:t>1.3环境影响因素识别与评价因子筛选</w:t>
      </w:r>
      <w:bookmarkEnd w:id="73"/>
      <w:bookmarkEnd w:id="74"/>
      <w:bookmarkEnd w:id="75"/>
      <w:bookmarkEnd w:id="76"/>
      <w:bookmarkEnd w:id="77"/>
      <w:bookmarkEnd w:id="78"/>
      <w:bookmarkEnd w:id="79"/>
    </w:p>
    <w:p w14:paraId="0B00B20C">
      <w:pPr>
        <w:pStyle w:val="6"/>
        <w:rPr>
          <w:rFonts w:hint="default" w:ascii="Times New Roman" w:hAnsi="Times New Roman" w:cs="Times New Roman"/>
          <w:color w:val="auto"/>
          <w:sz w:val="28"/>
          <w:szCs w:val="28"/>
          <w:highlight w:val="none"/>
        </w:rPr>
      </w:pPr>
      <w:bookmarkStart w:id="80" w:name="_Toc11827"/>
      <w:bookmarkStart w:id="81" w:name="_Toc28952"/>
      <w:bookmarkStart w:id="82" w:name="_Toc464"/>
      <w:r>
        <w:rPr>
          <w:rFonts w:hint="default" w:ascii="Times New Roman" w:hAnsi="Times New Roman" w:cs="Times New Roman"/>
          <w:color w:val="auto"/>
          <w:sz w:val="28"/>
          <w:szCs w:val="28"/>
          <w:highlight w:val="none"/>
        </w:rPr>
        <w:t>1.3.1环境影响因素识别</w:t>
      </w:r>
      <w:bookmarkEnd w:id="80"/>
      <w:bookmarkEnd w:id="81"/>
      <w:bookmarkEnd w:id="82"/>
    </w:p>
    <w:p w14:paraId="5B85AD09">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snapToGrid w:val="0"/>
          <w:color w:val="auto"/>
          <w:sz w:val="24"/>
          <w:szCs w:val="24"/>
          <w:highlight w:val="none"/>
        </w:rPr>
        <w:t>根据本工程特性及工程施工、工程运行对环境的作用方式，结合项目区的环境状况分析，本工程施工和运行期间主要对生态环境、水环境、环境空气、声环境、社会环境等产生一定的影响，采用矩阵法对工程环境影响因子进行识别，见表1.</w:t>
      </w:r>
      <w:r>
        <w:rPr>
          <w:rFonts w:hint="default" w:ascii="Times New Roman" w:hAnsi="Times New Roman" w:cs="Times New Roman"/>
          <w:snapToGrid w:val="0"/>
          <w:color w:val="auto"/>
          <w:sz w:val="24"/>
          <w:szCs w:val="24"/>
          <w:highlight w:val="none"/>
          <w:lang w:val="en-US" w:eastAsia="zh-CN"/>
        </w:rPr>
        <w:t>3</w:t>
      </w:r>
      <w:r>
        <w:rPr>
          <w:rFonts w:hint="default" w:ascii="Times New Roman" w:hAnsi="Times New Roman" w:cs="Times New Roman"/>
          <w:snapToGrid w:val="0"/>
          <w:color w:val="auto"/>
          <w:sz w:val="24"/>
          <w:szCs w:val="24"/>
          <w:highlight w:val="none"/>
        </w:rPr>
        <w:t>-1。</w:t>
      </w:r>
    </w:p>
    <w:p w14:paraId="547FE9D7">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表1.3-1工程环境影响因素识别一览表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901"/>
        <w:gridCol w:w="457"/>
        <w:gridCol w:w="907"/>
        <w:gridCol w:w="3803"/>
        <w:gridCol w:w="2235"/>
      </w:tblGrid>
      <w:tr w14:paraId="4AA35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420" w:hRule="atLeast"/>
          <w:tblHeader/>
        </w:trPr>
        <w:tc>
          <w:tcPr>
            <w:tcW w:w="542" w:type="pct"/>
            <w:tcBorders>
              <w:tl2br w:val="nil"/>
              <w:tr2bl w:val="nil"/>
            </w:tcBorders>
            <w:shd w:val="clear" w:color="auto" w:fill="FFFFFF"/>
            <w:vAlign w:val="center"/>
          </w:tcPr>
          <w:p w14:paraId="40306C7B">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83" w:name="_Toc12244"/>
            <w:bookmarkStart w:id="84" w:name="_Toc23613"/>
            <w:r>
              <w:rPr>
                <w:rFonts w:hint="default" w:ascii="Times New Roman" w:hAnsi="Times New Roman" w:eastAsia="宋体" w:cs="Times New Roman"/>
                <w:b/>
                <w:bCs/>
                <w:color w:val="auto"/>
                <w:sz w:val="21"/>
                <w:szCs w:val="21"/>
                <w:highlight w:val="none"/>
                <w:lang w:val="en-US" w:eastAsia="zh-CN"/>
              </w:rPr>
              <w:t>影响时段</w:t>
            </w:r>
            <w:bookmarkEnd w:id="83"/>
            <w:bookmarkEnd w:id="84"/>
          </w:p>
        </w:tc>
        <w:tc>
          <w:tcPr>
            <w:tcW w:w="275" w:type="pct"/>
            <w:tcBorders>
              <w:tl2br w:val="nil"/>
              <w:tr2bl w:val="nil"/>
            </w:tcBorders>
            <w:shd w:val="clear" w:color="auto" w:fill="FFFFFF"/>
            <w:vAlign w:val="center"/>
          </w:tcPr>
          <w:p w14:paraId="275557CE">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85" w:name="_Toc6770"/>
            <w:bookmarkStart w:id="86" w:name="_Toc22952"/>
            <w:r>
              <w:rPr>
                <w:rFonts w:hint="default" w:ascii="Times New Roman" w:hAnsi="Times New Roman" w:eastAsia="宋体" w:cs="Times New Roman"/>
                <w:b/>
                <w:bCs/>
                <w:color w:val="auto"/>
                <w:sz w:val="21"/>
                <w:szCs w:val="21"/>
                <w:highlight w:val="none"/>
                <w:lang w:val="en-US" w:eastAsia="zh-CN"/>
              </w:rPr>
              <w:t>序号</w:t>
            </w:r>
            <w:bookmarkEnd w:id="85"/>
            <w:bookmarkEnd w:id="86"/>
          </w:p>
        </w:tc>
        <w:tc>
          <w:tcPr>
            <w:tcW w:w="546" w:type="pct"/>
            <w:tcBorders>
              <w:tl2br w:val="nil"/>
              <w:tr2bl w:val="nil"/>
            </w:tcBorders>
            <w:shd w:val="clear" w:color="auto" w:fill="FFFFFF"/>
            <w:vAlign w:val="center"/>
          </w:tcPr>
          <w:p w14:paraId="3DFD2E18">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87" w:name="_Toc9347"/>
            <w:bookmarkStart w:id="88" w:name="_Toc19844"/>
            <w:r>
              <w:rPr>
                <w:rFonts w:hint="default" w:ascii="Times New Roman" w:hAnsi="Times New Roman" w:eastAsia="宋体" w:cs="Times New Roman"/>
                <w:b/>
                <w:bCs/>
                <w:color w:val="auto"/>
                <w:sz w:val="21"/>
                <w:szCs w:val="21"/>
                <w:highlight w:val="none"/>
                <w:lang w:val="en-US" w:eastAsia="zh-CN"/>
              </w:rPr>
              <w:t>影响类型</w:t>
            </w:r>
            <w:bookmarkEnd w:id="87"/>
            <w:bookmarkEnd w:id="88"/>
          </w:p>
        </w:tc>
        <w:tc>
          <w:tcPr>
            <w:tcW w:w="2289" w:type="pct"/>
            <w:tcBorders>
              <w:tl2br w:val="nil"/>
              <w:tr2bl w:val="nil"/>
            </w:tcBorders>
            <w:shd w:val="clear" w:color="auto" w:fill="FFFFFF"/>
            <w:vAlign w:val="center"/>
          </w:tcPr>
          <w:p w14:paraId="5859EC0A">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89" w:name="_Toc22331"/>
            <w:bookmarkStart w:id="90" w:name="_Toc11919"/>
            <w:r>
              <w:rPr>
                <w:rFonts w:hint="default" w:ascii="Times New Roman" w:hAnsi="Times New Roman" w:eastAsia="宋体" w:cs="Times New Roman"/>
                <w:b/>
                <w:bCs/>
                <w:color w:val="auto"/>
                <w:sz w:val="21"/>
                <w:szCs w:val="21"/>
                <w:highlight w:val="none"/>
                <w:lang w:val="en-US" w:eastAsia="zh-CN"/>
              </w:rPr>
              <w:t>产生环境影响的主要内容</w:t>
            </w:r>
            <w:bookmarkEnd w:id="89"/>
            <w:bookmarkEnd w:id="90"/>
          </w:p>
        </w:tc>
        <w:tc>
          <w:tcPr>
            <w:tcW w:w="1345" w:type="pct"/>
            <w:tcBorders>
              <w:tl2br w:val="nil"/>
              <w:tr2bl w:val="nil"/>
            </w:tcBorders>
            <w:shd w:val="clear" w:color="auto" w:fill="FFFFFF"/>
            <w:vAlign w:val="center"/>
          </w:tcPr>
          <w:p w14:paraId="288A89C2">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91" w:name="_Toc7739"/>
            <w:bookmarkStart w:id="92" w:name="_Toc29897"/>
            <w:r>
              <w:rPr>
                <w:rFonts w:hint="default" w:ascii="Times New Roman" w:hAnsi="Times New Roman" w:eastAsia="宋体" w:cs="Times New Roman"/>
                <w:b/>
                <w:bCs/>
                <w:color w:val="auto"/>
                <w:sz w:val="21"/>
                <w:szCs w:val="21"/>
                <w:highlight w:val="none"/>
                <w:lang w:val="en-US" w:eastAsia="zh-CN"/>
              </w:rPr>
              <w:t>主要影响因子</w:t>
            </w:r>
            <w:bookmarkEnd w:id="91"/>
            <w:bookmarkEnd w:id="92"/>
          </w:p>
        </w:tc>
      </w:tr>
      <w:tr w14:paraId="1726B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restart"/>
            <w:tcBorders>
              <w:tl2br w:val="nil"/>
              <w:tr2bl w:val="nil"/>
            </w:tcBorders>
            <w:shd w:val="clear" w:color="auto" w:fill="FFFFFF"/>
            <w:vAlign w:val="center"/>
          </w:tcPr>
          <w:p w14:paraId="6BF7794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93" w:name="_Toc30205"/>
            <w:bookmarkStart w:id="94" w:name="_Toc18543"/>
            <w:r>
              <w:rPr>
                <w:rFonts w:hint="default" w:ascii="Times New Roman" w:hAnsi="Times New Roman" w:eastAsia="宋体" w:cs="Times New Roman"/>
                <w:color w:val="auto"/>
                <w:sz w:val="21"/>
                <w:szCs w:val="21"/>
                <w:highlight w:val="none"/>
                <w:lang w:val="en-US" w:eastAsia="zh-CN"/>
              </w:rPr>
              <w:t>施工期</w:t>
            </w:r>
            <w:bookmarkEnd w:id="93"/>
            <w:bookmarkEnd w:id="94"/>
          </w:p>
        </w:tc>
        <w:tc>
          <w:tcPr>
            <w:tcW w:w="275" w:type="pct"/>
            <w:tcBorders>
              <w:tl2br w:val="nil"/>
              <w:tr2bl w:val="nil"/>
            </w:tcBorders>
            <w:shd w:val="clear" w:color="auto" w:fill="FFFFFF"/>
            <w:vAlign w:val="center"/>
          </w:tcPr>
          <w:p w14:paraId="0F6D8F8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95" w:name="_Toc8235"/>
            <w:bookmarkStart w:id="96" w:name="_Toc7393"/>
            <w:r>
              <w:rPr>
                <w:rFonts w:hint="default" w:ascii="Times New Roman" w:hAnsi="Times New Roman" w:eastAsia="宋体" w:cs="Times New Roman"/>
                <w:color w:val="auto"/>
                <w:sz w:val="21"/>
                <w:szCs w:val="21"/>
                <w:highlight w:val="none"/>
                <w:lang w:val="en-US" w:eastAsia="zh-CN"/>
              </w:rPr>
              <w:t>1</w:t>
            </w:r>
            <w:bookmarkEnd w:id="95"/>
            <w:bookmarkEnd w:id="96"/>
          </w:p>
        </w:tc>
        <w:tc>
          <w:tcPr>
            <w:tcW w:w="546" w:type="pct"/>
            <w:tcBorders>
              <w:tl2br w:val="nil"/>
              <w:tr2bl w:val="nil"/>
            </w:tcBorders>
            <w:shd w:val="clear" w:color="auto" w:fill="FFFFFF"/>
            <w:vAlign w:val="center"/>
          </w:tcPr>
          <w:p w14:paraId="6091B60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97" w:name="_Toc4060"/>
            <w:bookmarkStart w:id="98" w:name="_Toc16491"/>
            <w:r>
              <w:rPr>
                <w:rFonts w:hint="default" w:ascii="Times New Roman" w:hAnsi="Times New Roman" w:eastAsia="宋体" w:cs="Times New Roman"/>
                <w:color w:val="auto"/>
                <w:sz w:val="21"/>
                <w:szCs w:val="21"/>
                <w:highlight w:val="none"/>
                <w:lang w:val="en-US" w:eastAsia="zh-CN"/>
              </w:rPr>
              <w:t>环境空气</w:t>
            </w:r>
            <w:bookmarkEnd w:id="97"/>
            <w:bookmarkEnd w:id="98"/>
          </w:p>
        </w:tc>
        <w:tc>
          <w:tcPr>
            <w:tcW w:w="2289" w:type="pct"/>
            <w:tcBorders>
              <w:tl2br w:val="nil"/>
              <w:tr2bl w:val="nil"/>
            </w:tcBorders>
            <w:shd w:val="clear" w:color="auto" w:fill="FFFFFF"/>
            <w:vAlign w:val="center"/>
          </w:tcPr>
          <w:p w14:paraId="14E8AD8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99" w:name="_Toc25885"/>
            <w:bookmarkStart w:id="100" w:name="_Toc20304"/>
            <w:r>
              <w:rPr>
                <w:rFonts w:hint="default" w:ascii="Times New Roman" w:hAnsi="Times New Roman" w:eastAsia="宋体" w:cs="Times New Roman"/>
                <w:color w:val="auto"/>
                <w:sz w:val="21"/>
                <w:szCs w:val="21"/>
                <w:highlight w:val="none"/>
                <w:lang w:val="en-US" w:eastAsia="zh-CN"/>
              </w:rPr>
              <w:t>土方开挖、河道疏浚、护岸工程</w:t>
            </w:r>
            <w:bookmarkEnd w:id="99"/>
            <w:bookmarkEnd w:id="100"/>
          </w:p>
        </w:tc>
        <w:tc>
          <w:tcPr>
            <w:tcW w:w="1345" w:type="pct"/>
            <w:tcBorders>
              <w:tl2br w:val="nil"/>
              <w:tr2bl w:val="nil"/>
            </w:tcBorders>
            <w:shd w:val="clear" w:color="auto" w:fill="FFFFFF"/>
            <w:vAlign w:val="center"/>
          </w:tcPr>
          <w:p w14:paraId="3526D1BB">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01" w:name="_Toc19407"/>
            <w:bookmarkStart w:id="102" w:name="_Toc326"/>
            <w:r>
              <w:rPr>
                <w:rFonts w:hint="default" w:ascii="Times New Roman" w:hAnsi="Times New Roman" w:eastAsia="宋体" w:cs="Times New Roman"/>
                <w:color w:val="auto"/>
                <w:sz w:val="21"/>
                <w:szCs w:val="21"/>
                <w:highlight w:val="none"/>
                <w:lang w:val="en-US" w:eastAsia="zh-CN"/>
              </w:rPr>
              <w:t>无组织扬尘</w:t>
            </w:r>
            <w:bookmarkEnd w:id="101"/>
            <w:bookmarkEnd w:id="102"/>
          </w:p>
        </w:tc>
      </w:tr>
      <w:tr w14:paraId="560E2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2B586168">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708D40E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03" w:name="_Toc18545"/>
            <w:bookmarkStart w:id="104" w:name="_Toc12913"/>
            <w:r>
              <w:rPr>
                <w:rFonts w:hint="default" w:ascii="Times New Roman" w:hAnsi="Times New Roman" w:eastAsia="宋体" w:cs="Times New Roman"/>
                <w:color w:val="auto"/>
                <w:sz w:val="21"/>
                <w:szCs w:val="21"/>
                <w:highlight w:val="none"/>
                <w:lang w:val="en-US" w:eastAsia="zh-CN"/>
              </w:rPr>
              <w:t>2</w:t>
            </w:r>
            <w:bookmarkEnd w:id="103"/>
            <w:bookmarkEnd w:id="104"/>
          </w:p>
        </w:tc>
        <w:tc>
          <w:tcPr>
            <w:tcW w:w="546" w:type="pct"/>
            <w:tcBorders>
              <w:tl2br w:val="nil"/>
              <w:tr2bl w:val="nil"/>
            </w:tcBorders>
            <w:shd w:val="clear" w:color="auto" w:fill="FFFFFF"/>
            <w:vAlign w:val="center"/>
          </w:tcPr>
          <w:p w14:paraId="796DC0C6">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05" w:name="_Toc957"/>
            <w:bookmarkStart w:id="106" w:name="_Toc28795"/>
            <w:r>
              <w:rPr>
                <w:rFonts w:hint="default" w:ascii="Times New Roman" w:hAnsi="Times New Roman" w:eastAsia="宋体" w:cs="Times New Roman"/>
                <w:color w:val="auto"/>
                <w:sz w:val="21"/>
                <w:szCs w:val="21"/>
                <w:highlight w:val="none"/>
                <w:lang w:val="en-US" w:eastAsia="zh-CN"/>
              </w:rPr>
              <w:t>水环境</w:t>
            </w:r>
            <w:bookmarkEnd w:id="105"/>
            <w:bookmarkEnd w:id="106"/>
          </w:p>
        </w:tc>
        <w:tc>
          <w:tcPr>
            <w:tcW w:w="2289" w:type="pct"/>
            <w:tcBorders>
              <w:tl2br w:val="nil"/>
              <w:tr2bl w:val="nil"/>
            </w:tcBorders>
            <w:shd w:val="clear" w:color="auto" w:fill="FFFFFF"/>
            <w:vAlign w:val="center"/>
          </w:tcPr>
          <w:p w14:paraId="5C8080D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07" w:name="_Toc28828"/>
            <w:bookmarkStart w:id="108" w:name="_Toc11408"/>
            <w:r>
              <w:rPr>
                <w:rFonts w:hint="default" w:ascii="Times New Roman" w:hAnsi="Times New Roman" w:eastAsia="宋体" w:cs="Times New Roman"/>
                <w:color w:val="auto"/>
                <w:sz w:val="21"/>
                <w:szCs w:val="21"/>
                <w:highlight w:val="none"/>
                <w:lang w:val="en-US" w:eastAsia="zh-CN"/>
              </w:rPr>
              <w:t>物料及土方运输、施工废水、生活污水</w:t>
            </w:r>
            <w:bookmarkEnd w:id="107"/>
            <w:bookmarkEnd w:id="108"/>
          </w:p>
        </w:tc>
        <w:tc>
          <w:tcPr>
            <w:tcW w:w="1345" w:type="pct"/>
            <w:tcBorders>
              <w:tl2br w:val="nil"/>
              <w:tr2bl w:val="nil"/>
            </w:tcBorders>
            <w:shd w:val="clear" w:color="auto" w:fill="FFFFFF"/>
            <w:vAlign w:val="center"/>
          </w:tcPr>
          <w:p w14:paraId="51DDA59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09" w:name="_Toc3167"/>
            <w:bookmarkStart w:id="110" w:name="_Toc9312"/>
            <w:r>
              <w:rPr>
                <w:rFonts w:hint="default" w:ascii="Times New Roman" w:hAnsi="Times New Roman" w:eastAsia="宋体" w:cs="Times New Roman"/>
                <w:color w:val="auto"/>
                <w:sz w:val="21"/>
                <w:szCs w:val="21"/>
                <w:highlight w:val="none"/>
                <w:lang w:val="en-US" w:eastAsia="zh-CN"/>
              </w:rPr>
              <w:t>PH、SS 等</w:t>
            </w:r>
            <w:bookmarkEnd w:id="109"/>
            <w:bookmarkEnd w:id="110"/>
          </w:p>
        </w:tc>
      </w:tr>
      <w:tr w14:paraId="74B59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1CCFD348">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279F1FA8">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11" w:name="_Toc8587"/>
            <w:bookmarkStart w:id="112" w:name="_Toc24266"/>
            <w:r>
              <w:rPr>
                <w:rFonts w:hint="default" w:ascii="Times New Roman" w:hAnsi="Times New Roman" w:eastAsia="宋体" w:cs="Times New Roman"/>
                <w:color w:val="auto"/>
                <w:sz w:val="21"/>
                <w:szCs w:val="21"/>
                <w:highlight w:val="none"/>
                <w:lang w:val="en-US" w:eastAsia="zh-CN"/>
              </w:rPr>
              <w:t>3</w:t>
            </w:r>
            <w:bookmarkEnd w:id="111"/>
            <w:bookmarkEnd w:id="112"/>
          </w:p>
        </w:tc>
        <w:tc>
          <w:tcPr>
            <w:tcW w:w="546" w:type="pct"/>
            <w:tcBorders>
              <w:tl2br w:val="nil"/>
              <w:tr2bl w:val="nil"/>
            </w:tcBorders>
            <w:shd w:val="clear" w:color="auto" w:fill="FFFFFF"/>
            <w:vAlign w:val="center"/>
          </w:tcPr>
          <w:p w14:paraId="1A0A563B">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13" w:name="_Toc20469"/>
            <w:bookmarkStart w:id="114" w:name="_Toc469"/>
            <w:r>
              <w:rPr>
                <w:rFonts w:hint="default" w:ascii="Times New Roman" w:hAnsi="Times New Roman" w:eastAsia="宋体" w:cs="Times New Roman"/>
                <w:color w:val="auto"/>
                <w:sz w:val="21"/>
                <w:szCs w:val="21"/>
                <w:highlight w:val="none"/>
                <w:lang w:val="en-US" w:eastAsia="zh-CN"/>
              </w:rPr>
              <w:t>声环境</w:t>
            </w:r>
            <w:bookmarkEnd w:id="113"/>
            <w:bookmarkEnd w:id="114"/>
          </w:p>
        </w:tc>
        <w:tc>
          <w:tcPr>
            <w:tcW w:w="2289" w:type="pct"/>
            <w:tcBorders>
              <w:tl2br w:val="nil"/>
              <w:tr2bl w:val="nil"/>
            </w:tcBorders>
            <w:shd w:val="clear" w:color="auto" w:fill="FFFFFF"/>
            <w:vAlign w:val="center"/>
          </w:tcPr>
          <w:p w14:paraId="20EC8DC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15" w:name="_Toc13826"/>
            <w:bookmarkStart w:id="116" w:name="_Toc18783"/>
            <w:r>
              <w:rPr>
                <w:rFonts w:hint="default" w:ascii="Times New Roman" w:hAnsi="Times New Roman" w:eastAsia="宋体" w:cs="Times New Roman"/>
                <w:color w:val="auto"/>
                <w:sz w:val="21"/>
                <w:szCs w:val="21"/>
                <w:highlight w:val="none"/>
                <w:lang w:val="en-US" w:eastAsia="zh-CN"/>
              </w:rPr>
              <w:t>各类施工机械、运输车辆</w:t>
            </w:r>
            <w:bookmarkEnd w:id="115"/>
            <w:bookmarkEnd w:id="116"/>
          </w:p>
        </w:tc>
        <w:tc>
          <w:tcPr>
            <w:tcW w:w="1345" w:type="pct"/>
            <w:tcBorders>
              <w:tl2br w:val="nil"/>
              <w:tr2bl w:val="nil"/>
            </w:tcBorders>
            <w:shd w:val="clear" w:color="auto" w:fill="FFFFFF"/>
            <w:vAlign w:val="center"/>
          </w:tcPr>
          <w:p w14:paraId="1A432743">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17" w:name="_Toc17675"/>
            <w:bookmarkStart w:id="118" w:name="_Toc9165"/>
            <w:r>
              <w:rPr>
                <w:rFonts w:hint="default" w:ascii="Times New Roman" w:hAnsi="Times New Roman" w:eastAsia="宋体" w:cs="Times New Roman"/>
                <w:color w:val="auto"/>
                <w:sz w:val="21"/>
                <w:szCs w:val="21"/>
                <w:highlight w:val="none"/>
                <w:lang w:val="en-US" w:eastAsia="zh-CN"/>
              </w:rPr>
              <w:t>噪声</w:t>
            </w:r>
            <w:bookmarkEnd w:id="117"/>
            <w:bookmarkEnd w:id="118"/>
          </w:p>
        </w:tc>
      </w:tr>
      <w:tr w14:paraId="3A06B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385F11F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78459EA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19" w:name="_Toc30773"/>
            <w:bookmarkStart w:id="120" w:name="_Toc21810"/>
            <w:r>
              <w:rPr>
                <w:rFonts w:hint="default" w:ascii="Times New Roman" w:hAnsi="Times New Roman" w:eastAsia="宋体" w:cs="Times New Roman"/>
                <w:color w:val="auto"/>
                <w:sz w:val="21"/>
                <w:szCs w:val="21"/>
                <w:highlight w:val="none"/>
                <w:lang w:val="en-US" w:eastAsia="zh-CN"/>
              </w:rPr>
              <w:t>4</w:t>
            </w:r>
            <w:bookmarkEnd w:id="119"/>
            <w:bookmarkEnd w:id="120"/>
          </w:p>
        </w:tc>
        <w:tc>
          <w:tcPr>
            <w:tcW w:w="546" w:type="pct"/>
            <w:tcBorders>
              <w:tl2br w:val="nil"/>
              <w:tr2bl w:val="nil"/>
            </w:tcBorders>
            <w:shd w:val="clear" w:color="auto" w:fill="FFFFFF"/>
            <w:vAlign w:val="center"/>
          </w:tcPr>
          <w:p w14:paraId="71E5D1A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21" w:name="_Toc27941"/>
            <w:bookmarkStart w:id="122" w:name="_Toc4879"/>
            <w:r>
              <w:rPr>
                <w:rFonts w:hint="default" w:ascii="Times New Roman" w:hAnsi="Times New Roman" w:eastAsia="宋体" w:cs="Times New Roman"/>
                <w:color w:val="auto"/>
                <w:sz w:val="21"/>
                <w:szCs w:val="21"/>
                <w:highlight w:val="none"/>
                <w:lang w:val="en-US" w:eastAsia="zh-CN"/>
              </w:rPr>
              <w:t>固体废物</w:t>
            </w:r>
            <w:bookmarkEnd w:id="121"/>
            <w:bookmarkEnd w:id="122"/>
          </w:p>
        </w:tc>
        <w:tc>
          <w:tcPr>
            <w:tcW w:w="2289" w:type="pct"/>
            <w:tcBorders>
              <w:tl2br w:val="nil"/>
              <w:tr2bl w:val="nil"/>
            </w:tcBorders>
            <w:shd w:val="clear" w:color="auto" w:fill="FFFFFF"/>
            <w:vAlign w:val="center"/>
          </w:tcPr>
          <w:p w14:paraId="12FF6E0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23" w:name="_Toc2946"/>
            <w:bookmarkStart w:id="124" w:name="_Toc10087"/>
            <w:r>
              <w:rPr>
                <w:rFonts w:hint="default" w:ascii="Times New Roman" w:hAnsi="Times New Roman" w:eastAsia="宋体" w:cs="Times New Roman"/>
                <w:color w:val="auto"/>
                <w:sz w:val="21"/>
                <w:szCs w:val="21"/>
                <w:highlight w:val="none"/>
                <w:lang w:val="en-US" w:eastAsia="zh-CN"/>
              </w:rPr>
              <w:t>土方工程、河道疏浚、护岸工程</w:t>
            </w:r>
            <w:bookmarkEnd w:id="123"/>
            <w:bookmarkEnd w:id="124"/>
          </w:p>
        </w:tc>
        <w:tc>
          <w:tcPr>
            <w:tcW w:w="1345" w:type="pct"/>
            <w:tcBorders>
              <w:tl2br w:val="nil"/>
              <w:tr2bl w:val="nil"/>
            </w:tcBorders>
            <w:shd w:val="clear" w:color="auto" w:fill="FFFFFF"/>
            <w:vAlign w:val="center"/>
          </w:tcPr>
          <w:p w14:paraId="5638E8D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25" w:name="_Toc15511"/>
            <w:bookmarkStart w:id="126" w:name="_Toc32639"/>
            <w:r>
              <w:rPr>
                <w:rFonts w:hint="default" w:ascii="Times New Roman" w:hAnsi="Times New Roman" w:eastAsia="宋体" w:cs="Times New Roman"/>
                <w:color w:val="auto"/>
                <w:sz w:val="21"/>
                <w:szCs w:val="21"/>
                <w:highlight w:val="none"/>
                <w:lang w:val="en-US" w:eastAsia="zh-CN"/>
              </w:rPr>
              <w:t>建筑垃圾、废弃土方</w:t>
            </w:r>
            <w:bookmarkEnd w:id="125"/>
            <w:bookmarkEnd w:id="126"/>
          </w:p>
        </w:tc>
      </w:tr>
      <w:tr w14:paraId="2DFBC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45A2A31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341D4D8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27" w:name="_Toc6800"/>
            <w:bookmarkStart w:id="128" w:name="_Toc28993"/>
            <w:r>
              <w:rPr>
                <w:rFonts w:hint="default" w:ascii="Times New Roman" w:hAnsi="Times New Roman" w:eastAsia="宋体" w:cs="Times New Roman"/>
                <w:color w:val="auto"/>
                <w:sz w:val="21"/>
                <w:szCs w:val="21"/>
                <w:highlight w:val="none"/>
                <w:lang w:val="en-US" w:eastAsia="zh-CN"/>
              </w:rPr>
              <w:t>5</w:t>
            </w:r>
            <w:bookmarkEnd w:id="127"/>
            <w:bookmarkEnd w:id="128"/>
          </w:p>
        </w:tc>
        <w:tc>
          <w:tcPr>
            <w:tcW w:w="546" w:type="pct"/>
            <w:tcBorders>
              <w:tl2br w:val="nil"/>
              <w:tr2bl w:val="nil"/>
            </w:tcBorders>
            <w:shd w:val="clear" w:color="auto" w:fill="FFFFFF"/>
            <w:vAlign w:val="center"/>
          </w:tcPr>
          <w:p w14:paraId="164B990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29" w:name="_Toc11126"/>
            <w:bookmarkStart w:id="130" w:name="_Toc28727"/>
            <w:r>
              <w:rPr>
                <w:rFonts w:hint="default" w:ascii="Times New Roman" w:hAnsi="Times New Roman" w:eastAsia="宋体" w:cs="Times New Roman"/>
                <w:color w:val="auto"/>
                <w:sz w:val="21"/>
                <w:szCs w:val="21"/>
                <w:highlight w:val="none"/>
                <w:lang w:val="en-US" w:eastAsia="zh-CN"/>
              </w:rPr>
              <w:t>生态环境</w:t>
            </w:r>
            <w:bookmarkEnd w:id="129"/>
            <w:bookmarkEnd w:id="130"/>
          </w:p>
        </w:tc>
        <w:tc>
          <w:tcPr>
            <w:tcW w:w="2289" w:type="pct"/>
            <w:tcBorders>
              <w:tl2br w:val="nil"/>
              <w:tr2bl w:val="nil"/>
            </w:tcBorders>
            <w:shd w:val="clear" w:color="auto" w:fill="FFFFFF"/>
            <w:vAlign w:val="center"/>
          </w:tcPr>
          <w:p w14:paraId="396AF84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31" w:name="_Toc9634"/>
            <w:bookmarkStart w:id="132" w:name="_Toc3318"/>
            <w:r>
              <w:rPr>
                <w:rFonts w:hint="default" w:ascii="Times New Roman" w:hAnsi="Times New Roman" w:eastAsia="宋体" w:cs="Times New Roman"/>
                <w:color w:val="auto"/>
                <w:sz w:val="21"/>
                <w:szCs w:val="21"/>
                <w:highlight w:val="none"/>
                <w:lang w:val="en-US" w:eastAsia="zh-CN"/>
              </w:rPr>
              <w:t>土方工程、护岸工程</w:t>
            </w:r>
            <w:bookmarkEnd w:id="131"/>
            <w:bookmarkEnd w:id="132"/>
          </w:p>
        </w:tc>
        <w:tc>
          <w:tcPr>
            <w:tcW w:w="1345" w:type="pct"/>
            <w:tcBorders>
              <w:tl2br w:val="nil"/>
              <w:tr2bl w:val="nil"/>
            </w:tcBorders>
            <w:shd w:val="clear" w:color="auto" w:fill="FFFFFF"/>
            <w:vAlign w:val="center"/>
          </w:tcPr>
          <w:p w14:paraId="0F418B40">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33" w:name="_Toc9263"/>
            <w:bookmarkStart w:id="134" w:name="_Toc6538"/>
            <w:r>
              <w:rPr>
                <w:rFonts w:hint="default" w:ascii="Times New Roman" w:hAnsi="Times New Roman" w:eastAsia="宋体" w:cs="Times New Roman"/>
                <w:color w:val="auto"/>
                <w:sz w:val="21"/>
                <w:szCs w:val="21"/>
                <w:highlight w:val="none"/>
                <w:lang w:val="en-US" w:eastAsia="zh-CN"/>
              </w:rPr>
              <w:t>景观、植被、水土流失</w:t>
            </w:r>
            <w:bookmarkEnd w:id="133"/>
            <w:bookmarkEnd w:id="134"/>
          </w:p>
        </w:tc>
      </w:tr>
      <w:tr w14:paraId="3BAC2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restart"/>
            <w:tcBorders>
              <w:tl2br w:val="nil"/>
              <w:tr2bl w:val="nil"/>
            </w:tcBorders>
            <w:shd w:val="clear" w:color="auto" w:fill="FFFFFF"/>
            <w:vAlign w:val="center"/>
          </w:tcPr>
          <w:p w14:paraId="25AA785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35" w:name="_Toc5982"/>
            <w:bookmarkStart w:id="136" w:name="_Toc3741"/>
            <w:r>
              <w:rPr>
                <w:rFonts w:hint="default" w:ascii="Times New Roman" w:hAnsi="Times New Roman" w:eastAsia="宋体" w:cs="Times New Roman"/>
                <w:color w:val="auto"/>
                <w:sz w:val="21"/>
                <w:szCs w:val="21"/>
                <w:highlight w:val="none"/>
                <w:lang w:val="en-US" w:eastAsia="zh-CN"/>
              </w:rPr>
              <w:t>运营期</w:t>
            </w:r>
            <w:bookmarkEnd w:id="135"/>
            <w:bookmarkEnd w:id="136"/>
          </w:p>
        </w:tc>
        <w:tc>
          <w:tcPr>
            <w:tcW w:w="275" w:type="pct"/>
            <w:tcBorders>
              <w:tl2br w:val="nil"/>
              <w:tr2bl w:val="nil"/>
            </w:tcBorders>
            <w:shd w:val="clear" w:color="auto" w:fill="FFFFFF"/>
            <w:vAlign w:val="center"/>
          </w:tcPr>
          <w:p w14:paraId="6196213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37" w:name="_Toc6590"/>
            <w:bookmarkStart w:id="138" w:name="_Toc5965"/>
            <w:r>
              <w:rPr>
                <w:rFonts w:hint="default" w:ascii="Times New Roman" w:hAnsi="Times New Roman" w:eastAsia="宋体" w:cs="Times New Roman"/>
                <w:color w:val="auto"/>
                <w:sz w:val="21"/>
                <w:szCs w:val="21"/>
                <w:highlight w:val="none"/>
                <w:lang w:val="en-US" w:eastAsia="zh-CN"/>
              </w:rPr>
              <w:t>1</w:t>
            </w:r>
            <w:bookmarkEnd w:id="137"/>
            <w:bookmarkEnd w:id="138"/>
          </w:p>
        </w:tc>
        <w:tc>
          <w:tcPr>
            <w:tcW w:w="546" w:type="pct"/>
            <w:tcBorders>
              <w:tl2br w:val="nil"/>
              <w:tr2bl w:val="nil"/>
            </w:tcBorders>
            <w:shd w:val="clear" w:color="auto" w:fill="FFFFFF"/>
            <w:vAlign w:val="center"/>
          </w:tcPr>
          <w:p w14:paraId="54A1DC6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39" w:name="_Toc25359"/>
            <w:bookmarkStart w:id="140" w:name="_Toc11309"/>
            <w:r>
              <w:rPr>
                <w:rFonts w:hint="default" w:ascii="Times New Roman" w:hAnsi="Times New Roman" w:eastAsia="宋体" w:cs="Times New Roman"/>
                <w:color w:val="auto"/>
                <w:sz w:val="21"/>
                <w:szCs w:val="21"/>
                <w:highlight w:val="none"/>
                <w:lang w:val="en-US" w:eastAsia="zh-CN"/>
              </w:rPr>
              <w:t>环境空气</w:t>
            </w:r>
            <w:bookmarkEnd w:id="139"/>
            <w:bookmarkEnd w:id="140"/>
          </w:p>
        </w:tc>
        <w:tc>
          <w:tcPr>
            <w:tcW w:w="2289" w:type="pct"/>
            <w:tcBorders>
              <w:tl2br w:val="nil"/>
              <w:tr2bl w:val="nil"/>
            </w:tcBorders>
            <w:shd w:val="clear" w:color="auto" w:fill="FFFFFF"/>
            <w:vAlign w:val="center"/>
          </w:tcPr>
          <w:p w14:paraId="2497C163">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41" w:name="_Toc27829"/>
            <w:bookmarkStart w:id="142" w:name="_Toc10547"/>
            <w:r>
              <w:rPr>
                <w:rFonts w:hint="default" w:ascii="Times New Roman" w:hAnsi="Times New Roman" w:eastAsia="宋体" w:cs="Times New Roman"/>
                <w:color w:val="auto"/>
                <w:sz w:val="21"/>
                <w:szCs w:val="21"/>
                <w:highlight w:val="none"/>
                <w:lang w:val="en-US" w:eastAsia="zh-CN"/>
              </w:rPr>
              <w:t>/</w:t>
            </w:r>
            <w:bookmarkEnd w:id="141"/>
            <w:bookmarkEnd w:id="142"/>
          </w:p>
        </w:tc>
        <w:tc>
          <w:tcPr>
            <w:tcW w:w="1345" w:type="pct"/>
            <w:tcBorders>
              <w:tl2br w:val="nil"/>
              <w:tr2bl w:val="nil"/>
            </w:tcBorders>
            <w:shd w:val="clear" w:color="auto" w:fill="FFFFFF"/>
            <w:vAlign w:val="center"/>
          </w:tcPr>
          <w:p w14:paraId="19AADD9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43" w:name="_Toc2543"/>
            <w:bookmarkStart w:id="144" w:name="_Toc13845"/>
            <w:r>
              <w:rPr>
                <w:rFonts w:hint="default" w:ascii="Times New Roman" w:hAnsi="Times New Roman" w:eastAsia="宋体" w:cs="Times New Roman"/>
                <w:color w:val="auto"/>
                <w:sz w:val="21"/>
                <w:szCs w:val="21"/>
                <w:highlight w:val="none"/>
                <w:lang w:val="en-US" w:eastAsia="zh-CN"/>
              </w:rPr>
              <w:t>/</w:t>
            </w:r>
            <w:bookmarkEnd w:id="143"/>
            <w:bookmarkEnd w:id="144"/>
          </w:p>
        </w:tc>
      </w:tr>
      <w:tr w14:paraId="2167E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1F20D7A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64206E6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45" w:name="_Toc24504"/>
            <w:bookmarkStart w:id="146" w:name="_Toc16880"/>
            <w:r>
              <w:rPr>
                <w:rFonts w:hint="default" w:ascii="Times New Roman" w:hAnsi="Times New Roman" w:eastAsia="宋体" w:cs="Times New Roman"/>
                <w:color w:val="auto"/>
                <w:sz w:val="21"/>
                <w:szCs w:val="21"/>
                <w:highlight w:val="none"/>
                <w:lang w:val="en-US" w:eastAsia="zh-CN"/>
              </w:rPr>
              <w:t>2</w:t>
            </w:r>
            <w:bookmarkEnd w:id="145"/>
            <w:bookmarkEnd w:id="146"/>
          </w:p>
        </w:tc>
        <w:tc>
          <w:tcPr>
            <w:tcW w:w="546" w:type="pct"/>
            <w:tcBorders>
              <w:tl2br w:val="nil"/>
              <w:tr2bl w:val="nil"/>
            </w:tcBorders>
            <w:shd w:val="clear" w:color="auto" w:fill="FFFFFF"/>
            <w:vAlign w:val="center"/>
          </w:tcPr>
          <w:p w14:paraId="71161448">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47" w:name="_Toc28735"/>
            <w:bookmarkStart w:id="148" w:name="_Toc7544"/>
            <w:r>
              <w:rPr>
                <w:rFonts w:hint="default" w:ascii="Times New Roman" w:hAnsi="Times New Roman" w:eastAsia="宋体" w:cs="Times New Roman"/>
                <w:color w:val="auto"/>
                <w:sz w:val="21"/>
                <w:szCs w:val="21"/>
                <w:highlight w:val="none"/>
                <w:lang w:val="en-US" w:eastAsia="zh-CN"/>
              </w:rPr>
              <w:t>水环境</w:t>
            </w:r>
            <w:bookmarkEnd w:id="147"/>
            <w:bookmarkEnd w:id="148"/>
          </w:p>
        </w:tc>
        <w:tc>
          <w:tcPr>
            <w:tcW w:w="2289" w:type="pct"/>
            <w:tcBorders>
              <w:tl2br w:val="nil"/>
              <w:tr2bl w:val="nil"/>
            </w:tcBorders>
            <w:shd w:val="clear" w:color="auto" w:fill="FFFFFF"/>
            <w:vAlign w:val="center"/>
          </w:tcPr>
          <w:p w14:paraId="121EE5D6">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49" w:name="_Toc24163"/>
            <w:bookmarkStart w:id="150" w:name="_Toc29581"/>
            <w:r>
              <w:rPr>
                <w:rFonts w:hint="default" w:ascii="Times New Roman" w:hAnsi="Times New Roman" w:eastAsia="宋体" w:cs="Times New Roman"/>
                <w:color w:val="auto"/>
                <w:sz w:val="21"/>
                <w:szCs w:val="21"/>
                <w:highlight w:val="none"/>
                <w:lang w:val="en-US" w:eastAsia="zh-CN"/>
              </w:rPr>
              <w:t>河道疏浚、护岸工程</w:t>
            </w:r>
            <w:bookmarkEnd w:id="149"/>
            <w:bookmarkEnd w:id="150"/>
          </w:p>
        </w:tc>
        <w:tc>
          <w:tcPr>
            <w:tcW w:w="1345" w:type="pct"/>
            <w:tcBorders>
              <w:tl2br w:val="nil"/>
              <w:tr2bl w:val="nil"/>
            </w:tcBorders>
            <w:shd w:val="clear" w:color="auto" w:fill="FFFFFF"/>
            <w:vAlign w:val="center"/>
          </w:tcPr>
          <w:p w14:paraId="055A403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51" w:name="_Toc15797"/>
            <w:bookmarkStart w:id="152" w:name="_Toc14638"/>
            <w:r>
              <w:rPr>
                <w:rFonts w:hint="default" w:ascii="Times New Roman" w:hAnsi="Times New Roman" w:eastAsia="宋体" w:cs="Times New Roman"/>
                <w:color w:val="auto"/>
                <w:sz w:val="21"/>
                <w:szCs w:val="21"/>
                <w:highlight w:val="none"/>
                <w:lang w:val="en-US" w:eastAsia="zh-CN"/>
              </w:rPr>
              <w:t>水量、流速、水文情势</w:t>
            </w:r>
            <w:bookmarkEnd w:id="151"/>
            <w:bookmarkEnd w:id="152"/>
          </w:p>
        </w:tc>
      </w:tr>
      <w:tr w14:paraId="7A2A3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61CFB6B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1947B86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53" w:name="_Toc19217"/>
            <w:bookmarkStart w:id="154" w:name="_Toc32702"/>
            <w:r>
              <w:rPr>
                <w:rFonts w:hint="default" w:ascii="Times New Roman" w:hAnsi="Times New Roman" w:eastAsia="宋体" w:cs="Times New Roman"/>
                <w:color w:val="auto"/>
                <w:sz w:val="21"/>
                <w:szCs w:val="21"/>
                <w:highlight w:val="none"/>
                <w:lang w:val="en-US" w:eastAsia="zh-CN"/>
              </w:rPr>
              <w:t>3</w:t>
            </w:r>
            <w:bookmarkEnd w:id="153"/>
            <w:bookmarkEnd w:id="154"/>
          </w:p>
        </w:tc>
        <w:tc>
          <w:tcPr>
            <w:tcW w:w="546" w:type="pct"/>
            <w:tcBorders>
              <w:tl2br w:val="nil"/>
              <w:tr2bl w:val="nil"/>
            </w:tcBorders>
            <w:shd w:val="clear" w:color="auto" w:fill="FFFFFF"/>
            <w:vAlign w:val="center"/>
          </w:tcPr>
          <w:p w14:paraId="3466EF13">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55" w:name="_Toc19513"/>
            <w:bookmarkStart w:id="156" w:name="_Toc27812"/>
            <w:r>
              <w:rPr>
                <w:rFonts w:hint="default" w:ascii="Times New Roman" w:hAnsi="Times New Roman" w:eastAsia="宋体" w:cs="Times New Roman"/>
                <w:color w:val="auto"/>
                <w:sz w:val="21"/>
                <w:szCs w:val="21"/>
                <w:highlight w:val="none"/>
                <w:lang w:val="en-US" w:eastAsia="zh-CN"/>
              </w:rPr>
              <w:t>声环境</w:t>
            </w:r>
            <w:bookmarkEnd w:id="155"/>
            <w:bookmarkEnd w:id="156"/>
          </w:p>
        </w:tc>
        <w:tc>
          <w:tcPr>
            <w:tcW w:w="2289" w:type="pct"/>
            <w:tcBorders>
              <w:tl2br w:val="nil"/>
              <w:tr2bl w:val="nil"/>
            </w:tcBorders>
            <w:shd w:val="clear" w:color="auto" w:fill="FFFFFF"/>
            <w:vAlign w:val="center"/>
          </w:tcPr>
          <w:p w14:paraId="5816C73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57" w:name="_Toc2937"/>
            <w:bookmarkStart w:id="158" w:name="_Toc21409"/>
            <w:r>
              <w:rPr>
                <w:rFonts w:hint="default" w:ascii="Times New Roman" w:hAnsi="Times New Roman" w:eastAsia="宋体" w:cs="Times New Roman"/>
                <w:color w:val="auto"/>
                <w:sz w:val="21"/>
                <w:szCs w:val="21"/>
                <w:highlight w:val="none"/>
                <w:lang w:val="en-US" w:eastAsia="zh-CN"/>
              </w:rPr>
              <w:t>/</w:t>
            </w:r>
            <w:bookmarkEnd w:id="157"/>
            <w:bookmarkEnd w:id="158"/>
          </w:p>
        </w:tc>
        <w:tc>
          <w:tcPr>
            <w:tcW w:w="1345" w:type="pct"/>
            <w:tcBorders>
              <w:tl2br w:val="nil"/>
              <w:tr2bl w:val="nil"/>
            </w:tcBorders>
            <w:shd w:val="clear" w:color="auto" w:fill="FFFFFF"/>
            <w:vAlign w:val="center"/>
          </w:tcPr>
          <w:p w14:paraId="7C3988B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59" w:name="_Toc2622"/>
            <w:bookmarkStart w:id="160" w:name="_Toc1864"/>
            <w:r>
              <w:rPr>
                <w:rFonts w:hint="default" w:ascii="Times New Roman" w:hAnsi="Times New Roman" w:eastAsia="宋体" w:cs="Times New Roman"/>
                <w:color w:val="auto"/>
                <w:sz w:val="21"/>
                <w:szCs w:val="21"/>
                <w:highlight w:val="none"/>
                <w:lang w:val="en-US" w:eastAsia="zh-CN"/>
              </w:rPr>
              <w:t>/</w:t>
            </w:r>
            <w:bookmarkEnd w:id="159"/>
            <w:bookmarkEnd w:id="160"/>
          </w:p>
        </w:tc>
      </w:tr>
      <w:tr w14:paraId="562F3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38BFC45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44A63AB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61" w:name="_Toc2643"/>
            <w:bookmarkStart w:id="162" w:name="_Toc7531"/>
            <w:r>
              <w:rPr>
                <w:rFonts w:hint="default" w:ascii="Times New Roman" w:hAnsi="Times New Roman" w:eastAsia="宋体" w:cs="Times New Roman"/>
                <w:color w:val="auto"/>
                <w:sz w:val="21"/>
                <w:szCs w:val="21"/>
                <w:highlight w:val="none"/>
                <w:lang w:val="en-US" w:eastAsia="zh-CN"/>
              </w:rPr>
              <w:t>4</w:t>
            </w:r>
            <w:bookmarkEnd w:id="161"/>
            <w:bookmarkEnd w:id="162"/>
          </w:p>
        </w:tc>
        <w:tc>
          <w:tcPr>
            <w:tcW w:w="546" w:type="pct"/>
            <w:tcBorders>
              <w:tl2br w:val="nil"/>
              <w:tr2bl w:val="nil"/>
            </w:tcBorders>
            <w:shd w:val="clear" w:color="auto" w:fill="FFFFFF"/>
            <w:vAlign w:val="center"/>
          </w:tcPr>
          <w:p w14:paraId="1A56D6C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63" w:name="_Toc18160"/>
            <w:bookmarkStart w:id="164" w:name="_Toc28914"/>
            <w:r>
              <w:rPr>
                <w:rFonts w:hint="default" w:ascii="Times New Roman" w:hAnsi="Times New Roman" w:eastAsia="宋体" w:cs="Times New Roman"/>
                <w:color w:val="auto"/>
                <w:sz w:val="21"/>
                <w:szCs w:val="21"/>
                <w:highlight w:val="none"/>
                <w:lang w:val="en-US" w:eastAsia="zh-CN"/>
              </w:rPr>
              <w:t>固体废物</w:t>
            </w:r>
            <w:bookmarkEnd w:id="163"/>
            <w:bookmarkEnd w:id="164"/>
          </w:p>
        </w:tc>
        <w:tc>
          <w:tcPr>
            <w:tcW w:w="2289" w:type="pct"/>
            <w:tcBorders>
              <w:tl2br w:val="nil"/>
              <w:tr2bl w:val="nil"/>
            </w:tcBorders>
            <w:shd w:val="clear" w:color="auto" w:fill="FFFFFF"/>
            <w:vAlign w:val="center"/>
          </w:tcPr>
          <w:p w14:paraId="501FC59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65" w:name="_Toc18696"/>
            <w:bookmarkStart w:id="166" w:name="_Toc13143"/>
            <w:r>
              <w:rPr>
                <w:rFonts w:hint="default" w:ascii="Times New Roman" w:hAnsi="Times New Roman" w:eastAsia="宋体" w:cs="Times New Roman"/>
                <w:color w:val="auto"/>
                <w:sz w:val="21"/>
                <w:szCs w:val="21"/>
                <w:highlight w:val="none"/>
                <w:lang w:val="en-US" w:eastAsia="zh-CN"/>
              </w:rPr>
              <w:t>/</w:t>
            </w:r>
            <w:bookmarkEnd w:id="165"/>
            <w:bookmarkEnd w:id="166"/>
          </w:p>
        </w:tc>
        <w:tc>
          <w:tcPr>
            <w:tcW w:w="1345" w:type="pct"/>
            <w:tcBorders>
              <w:tl2br w:val="nil"/>
              <w:tr2bl w:val="nil"/>
            </w:tcBorders>
            <w:shd w:val="clear" w:color="auto" w:fill="FFFFFF"/>
            <w:vAlign w:val="center"/>
          </w:tcPr>
          <w:p w14:paraId="55E7AB7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67" w:name="_Toc16252"/>
            <w:bookmarkStart w:id="168" w:name="_Toc16120"/>
            <w:r>
              <w:rPr>
                <w:rFonts w:hint="default" w:ascii="Times New Roman" w:hAnsi="Times New Roman" w:eastAsia="宋体" w:cs="Times New Roman"/>
                <w:color w:val="auto"/>
                <w:sz w:val="21"/>
                <w:szCs w:val="21"/>
                <w:highlight w:val="none"/>
                <w:lang w:val="en-US" w:eastAsia="zh-CN"/>
              </w:rPr>
              <w:t>/</w:t>
            </w:r>
            <w:bookmarkEnd w:id="167"/>
            <w:bookmarkEnd w:id="168"/>
          </w:p>
        </w:tc>
      </w:tr>
      <w:tr w14:paraId="34F0C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542" w:type="pct"/>
            <w:vMerge w:val="continue"/>
            <w:tcBorders>
              <w:tl2br w:val="nil"/>
              <w:tr2bl w:val="nil"/>
            </w:tcBorders>
            <w:shd w:val="clear" w:color="auto" w:fill="FFFFFF"/>
            <w:vAlign w:val="center"/>
          </w:tcPr>
          <w:p w14:paraId="627D7C4B">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p>
        </w:tc>
        <w:tc>
          <w:tcPr>
            <w:tcW w:w="275" w:type="pct"/>
            <w:tcBorders>
              <w:tl2br w:val="nil"/>
              <w:tr2bl w:val="nil"/>
            </w:tcBorders>
            <w:shd w:val="clear" w:color="auto" w:fill="FFFFFF"/>
            <w:vAlign w:val="center"/>
          </w:tcPr>
          <w:p w14:paraId="1114949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69" w:name="_Toc15321"/>
            <w:bookmarkStart w:id="170" w:name="_Toc23508"/>
            <w:r>
              <w:rPr>
                <w:rFonts w:hint="default" w:ascii="Times New Roman" w:hAnsi="Times New Roman" w:eastAsia="宋体" w:cs="Times New Roman"/>
                <w:color w:val="auto"/>
                <w:sz w:val="21"/>
                <w:szCs w:val="21"/>
                <w:highlight w:val="none"/>
                <w:lang w:val="en-US" w:eastAsia="zh-CN"/>
              </w:rPr>
              <w:t>5</w:t>
            </w:r>
            <w:bookmarkEnd w:id="169"/>
            <w:bookmarkEnd w:id="170"/>
          </w:p>
        </w:tc>
        <w:tc>
          <w:tcPr>
            <w:tcW w:w="546" w:type="pct"/>
            <w:tcBorders>
              <w:tl2br w:val="nil"/>
              <w:tr2bl w:val="nil"/>
            </w:tcBorders>
            <w:shd w:val="clear" w:color="auto" w:fill="FFFFFF"/>
            <w:vAlign w:val="center"/>
          </w:tcPr>
          <w:p w14:paraId="4D69102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71" w:name="_Toc26052"/>
            <w:bookmarkStart w:id="172" w:name="_Toc18858"/>
            <w:r>
              <w:rPr>
                <w:rFonts w:hint="default" w:ascii="Times New Roman" w:hAnsi="Times New Roman" w:eastAsia="宋体" w:cs="Times New Roman"/>
                <w:color w:val="auto"/>
                <w:sz w:val="21"/>
                <w:szCs w:val="21"/>
                <w:highlight w:val="none"/>
                <w:lang w:val="en-US" w:eastAsia="zh-CN"/>
              </w:rPr>
              <w:t>生态环境</w:t>
            </w:r>
            <w:bookmarkEnd w:id="171"/>
            <w:bookmarkEnd w:id="172"/>
          </w:p>
        </w:tc>
        <w:tc>
          <w:tcPr>
            <w:tcW w:w="2289" w:type="pct"/>
            <w:tcBorders>
              <w:tl2br w:val="nil"/>
              <w:tr2bl w:val="nil"/>
            </w:tcBorders>
            <w:shd w:val="clear" w:color="auto" w:fill="FFFFFF"/>
            <w:vAlign w:val="center"/>
          </w:tcPr>
          <w:p w14:paraId="69460FD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73" w:name="_Toc4204"/>
            <w:bookmarkStart w:id="174" w:name="_Toc7118"/>
            <w:r>
              <w:rPr>
                <w:rFonts w:hint="default" w:ascii="Times New Roman" w:hAnsi="Times New Roman" w:eastAsia="宋体" w:cs="Times New Roman"/>
                <w:color w:val="auto"/>
                <w:sz w:val="21"/>
                <w:szCs w:val="21"/>
                <w:highlight w:val="none"/>
                <w:lang w:val="en-US" w:eastAsia="zh-CN"/>
              </w:rPr>
              <w:t>护岸工程</w:t>
            </w:r>
            <w:r>
              <w:rPr>
                <w:rFonts w:hint="eastAsia" w:cs="Times New Roman"/>
                <w:color w:val="auto"/>
                <w:sz w:val="21"/>
                <w:szCs w:val="21"/>
                <w:highlight w:val="none"/>
                <w:lang w:val="en-US" w:eastAsia="zh-CN"/>
              </w:rPr>
              <w:t>、生态林</w:t>
            </w:r>
            <w:bookmarkEnd w:id="173"/>
            <w:bookmarkEnd w:id="174"/>
          </w:p>
        </w:tc>
        <w:tc>
          <w:tcPr>
            <w:tcW w:w="1345" w:type="pct"/>
            <w:tcBorders>
              <w:tl2br w:val="nil"/>
              <w:tr2bl w:val="nil"/>
            </w:tcBorders>
            <w:shd w:val="clear" w:color="auto" w:fill="FFFFFF"/>
            <w:vAlign w:val="center"/>
          </w:tcPr>
          <w:p w14:paraId="34D4268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175" w:name="_Toc26693"/>
            <w:bookmarkStart w:id="176" w:name="_Toc18156"/>
            <w:r>
              <w:rPr>
                <w:rFonts w:hint="default" w:ascii="Times New Roman" w:hAnsi="Times New Roman" w:eastAsia="宋体" w:cs="Times New Roman"/>
                <w:color w:val="auto"/>
                <w:sz w:val="21"/>
                <w:szCs w:val="21"/>
                <w:highlight w:val="none"/>
                <w:lang w:val="en-US" w:eastAsia="zh-CN"/>
              </w:rPr>
              <w:t>景观</w:t>
            </w:r>
            <w:bookmarkEnd w:id="175"/>
            <w:bookmarkEnd w:id="176"/>
          </w:p>
        </w:tc>
      </w:tr>
    </w:tbl>
    <w:p w14:paraId="23C57C31">
      <w:pPr>
        <w:spacing w:line="360" w:lineRule="auto"/>
        <w:ind w:firstLine="480" w:firstLineChars="200"/>
        <w:jc w:val="both"/>
        <w:rPr>
          <w:rFonts w:hint="default" w:ascii="Times New Roman" w:hAnsi="Times New Roman" w:eastAsia="宋体" w:cs="Times New Roman"/>
          <w:color w:val="auto"/>
          <w:sz w:val="24"/>
          <w:highlight w:val="none"/>
          <w:lang w:eastAsia="zh-CN"/>
        </w:rPr>
      </w:pPr>
      <w:bookmarkStart w:id="177" w:name="_Toc28186"/>
      <w:bookmarkStart w:id="178" w:name="_Toc10383"/>
      <w:r>
        <w:rPr>
          <w:rFonts w:hint="default" w:ascii="Times New Roman" w:hAnsi="Times New Roman" w:eastAsia="宋体" w:cs="Times New Roman"/>
          <w:color w:val="auto"/>
          <w:sz w:val="24"/>
          <w:highlight w:val="none"/>
        </w:rPr>
        <w:t>⑴工程建设在施工期主要不利影响表现在多环境要素层面：环境空气会因土方开挖、河道疏浚、护岸工程作业产生无组织扬尘；水环境将受物料及土方运输、施工废水、生活污水影响，出现PH、SS等污染；声环境会被各类施工机械、运输车辆的噪声干扰；同时还会产生建筑垃圾、废弃土方等固体废物，且土方、护岸工程会造成景观破坏、植被受损与水土流失的生态影响</w:t>
      </w:r>
      <w:r>
        <w:rPr>
          <w:rFonts w:hint="default" w:ascii="Times New Roman" w:hAnsi="Times New Roman" w:eastAsia="宋体" w:cs="Times New Roman"/>
          <w:color w:val="auto"/>
          <w:sz w:val="24"/>
          <w:highlight w:val="none"/>
          <w:lang w:eastAsia="zh-CN"/>
        </w:rPr>
        <w:t>。</w:t>
      </w:r>
    </w:p>
    <w:p w14:paraId="0A5E610F">
      <w:pPr>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⑵</w:t>
      </w:r>
      <w:r>
        <w:rPr>
          <w:rFonts w:ascii="Segoe UI" w:hAnsi="Segoe UI" w:eastAsia="Segoe UI" w:cs="Segoe UI"/>
          <w:i w:val="0"/>
          <w:iCs w:val="0"/>
          <w:caps w:val="0"/>
          <w:color w:val="auto"/>
          <w:spacing w:val="0"/>
          <w:sz w:val="24"/>
          <w:szCs w:val="24"/>
          <w:highlight w:val="none"/>
          <w:shd w:val="clear" w:fill="FFFFFF"/>
        </w:rPr>
        <w:t>运营期环境影响较有限，因河道疏浚、护岸</w:t>
      </w:r>
      <w:r>
        <w:rPr>
          <w:rFonts w:hint="eastAsia" w:ascii="Segoe UI" w:hAnsi="Segoe UI" w:eastAsia="宋体" w:cs="Segoe UI"/>
          <w:i w:val="0"/>
          <w:iCs w:val="0"/>
          <w:caps w:val="0"/>
          <w:color w:val="auto"/>
          <w:spacing w:val="0"/>
          <w:sz w:val="24"/>
          <w:szCs w:val="24"/>
          <w:highlight w:val="none"/>
          <w:shd w:val="clear" w:fill="FFFFFF"/>
          <w:lang w:eastAsia="zh-CN"/>
        </w:rPr>
        <w:t>等</w:t>
      </w:r>
      <w:r>
        <w:rPr>
          <w:rFonts w:ascii="Segoe UI" w:hAnsi="Segoe UI" w:eastAsia="Segoe UI" w:cs="Segoe UI"/>
          <w:i w:val="0"/>
          <w:iCs w:val="0"/>
          <w:caps w:val="0"/>
          <w:color w:val="auto"/>
          <w:spacing w:val="0"/>
          <w:sz w:val="24"/>
          <w:szCs w:val="24"/>
          <w:highlight w:val="none"/>
          <w:shd w:val="clear" w:fill="FFFFFF"/>
        </w:rPr>
        <w:t>工程</w:t>
      </w:r>
      <w:r>
        <w:rPr>
          <w:rFonts w:hint="eastAsia" w:ascii="Segoe UI" w:hAnsi="Segoe UI" w:eastAsia="宋体" w:cs="Segoe UI"/>
          <w:i w:val="0"/>
          <w:iCs w:val="0"/>
          <w:caps w:val="0"/>
          <w:color w:val="auto"/>
          <w:spacing w:val="0"/>
          <w:sz w:val="24"/>
          <w:szCs w:val="24"/>
          <w:highlight w:val="none"/>
          <w:shd w:val="clear" w:fill="FFFFFF"/>
          <w:lang w:eastAsia="zh-CN"/>
        </w:rPr>
        <w:t>将会影响河道</w:t>
      </w:r>
      <w:r>
        <w:rPr>
          <w:rFonts w:ascii="Segoe UI" w:hAnsi="Segoe UI" w:eastAsia="Segoe UI" w:cs="Segoe UI"/>
          <w:i w:val="0"/>
          <w:iCs w:val="0"/>
          <w:caps w:val="0"/>
          <w:color w:val="auto"/>
          <w:spacing w:val="0"/>
          <w:sz w:val="24"/>
          <w:szCs w:val="24"/>
          <w:highlight w:val="none"/>
          <w:shd w:val="clear" w:fill="FFFFFF"/>
        </w:rPr>
        <w:t>水量、流速等</w:t>
      </w:r>
      <w:r>
        <w:rPr>
          <w:rFonts w:hint="eastAsia" w:ascii="Segoe UI" w:hAnsi="Segoe UI" w:eastAsia="宋体" w:cs="Segoe UI"/>
          <w:i w:val="0"/>
          <w:iCs w:val="0"/>
          <w:caps w:val="0"/>
          <w:color w:val="auto"/>
          <w:spacing w:val="0"/>
          <w:sz w:val="24"/>
          <w:szCs w:val="24"/>
          <w:highlight w:val="none"/>
          <w:shd w:val="clear" w:fill="FFFFFF"/>
          <w:lang w:eastAsia="zh-CN"/>
        </w:rPr>
        <w:t>水文要素；护岸工程及生态林的种植会一定程度上改变周围景观环境；</w:t>
      </w:r>
      <w:r>
        <w:rPr>
          <w:rFonts w:ascii="Segoe UI" w:hAnsi="Segoe UI" w:eastAsia="Segoe UI" w:cs="Segoe UI"/>
          <w:i w:val="0"/>
          <w:iCs w:val="0"/>
          <w:caps w:val="0"/>
          <w:color w:val="auto"/>
          <w:spacing w:val="0"/>
          <w:sz w:val="24"/>
          <w:szCs w:val="24"/>
          <w:highlight w:val="none"/>
          <w:shd w:val="clear" w:fill="FFFFFF"/>
        </w:rPr>
        <w:t>环境空气、声环境、固体废物方面无明显影响。</w:t>
      </w:r>
      <w:r>
        <w:rPr>
          <w:rFonts w:hint="default" w:ascii="Times New Roman" w:hAnsi="Times New Roman" w:eastAsia="宋体" w:cs="Times New Roman"/>
          <w:color w:val="auto"/>
          <w:sz w:val="24"/>
          <w:highlight w:val="none"/>
        </w:rPr>
        <w:t>运行期有利影响主要表现为提高河道防洪减灾能力，改善河道水生态，保护河道岸线，提高河道防洪能力，为建设美丽茹河、生态宜居乡村，改善区域生态环境创造条件。</w:t>
      </w:r>
    </w:p>
    <w:p w14:paraId="65121883">
      <w:pPr>
        <w:pStyle w:val="6"/>
        <w:rPr>
          <w:rFonts w:hint="default" w:ascii="Times New Roman" w:hAnsi="Times New Roman" w:cs="Times New Roman"/>
          <w:color w:val="auto"/>
          <w:sz w:val="28"/>
          <w:szCs w:val="28"/>
          <w:highlight w:val="none"/>
        </w:rPr>
      </w:pPr>
      <w:bookmarkStart w:id="179" w:name="_Toc12534"/>
      <w:r>
        <w:rPr>
          <w:rFonts w:hint="default" w:ascii="Times New Roman" w:hAnsi="Times New Roman" w:cs="Times New Roman"/>
          <w:color w:val="auto"/>
          <w:sz w:val="28"/>
          <w:szCs w:val="28"/>
          <w:highlight w:val="none"/>
        </w:rPr>
        <w:t>1.3.2评价因子筛选</w:t>
      </w:r>
      <w:bookmarkEnd w:id="177"/>
      <w:bookmarkEnd w:id="178"/>
      <w:bookmarkEnd w:id="179"/>
    </w:p>
    <w:p w14:paraId="18341502">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将项目建设对环境的危害相对较大、环境影响较突出的环境影响因子作为本次评价因子，具体见表1.3-2。</w:t>
      </w:r>
    </w:p>
    <w:p w14:paraId="5B1AB69F">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1.3-2</w:t>
      </w:r>
      <w:r>
        <w:rPr>
          <w:rFonts w:hint="default" w:ascii="Times New Roman" w:hAnsi="Times New Roman" w:cs="Times New Roman"/>
          <w:b/>
          <w:bCs/>
          <w:color w:val="auto"/>
          <w:sz w:val="24"/>
          <w:szCs w:val="24"/>
          <w:highlight w:val="none"/>
        </w:rPr>
        <w:t>本次评价因子筛选表</w:t>
      </w:r>
    </w:p>
    <w:tbl>
      <w:tblPr>
        <w:tblStyle w:val="31"/>
        <w:tblW w:w="92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55"/>
        <w:gridCol w:w="415"/>
        <w:gridCol w:w="1112"/>
        <w:gridCol w:w="6534"/>
      </w:tblGrid>
      <w:tr w14:paraId="18769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3" w:type="dxa"/>
            <w:tcBorders>
              <w:tl2br w:val="nil"/>
              <w:tr2bl w:val="nil"/>
            </w:tcBorders>
            <w:vAlign w:val="center"/>
          </w:tcPr>
          <w:p w14:paraId="25FC7898">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80" w:name="_Toc21144"/>
            <w:bookmarkStart w:id="181" w:name="_Toc28770"/>
            <w:bookmarkStart w:id="182" w:name="_Toc30241"/>
            <w:bookmarkStart w:id="183" w:name="_Toc20023"/>
            <w:bookmarkStart w:id="184" w:name="_Toc30571"/>
            <w:bookmarkStart w:id="185" w:name="_Toc531104317"/>
            <w:bookmarkStart w:id="186" w:name="_Toc518931548"/>
            <w:r>
              <w:rPr>
                <w:rFonts w:hint="default" w:ascii="Times New Roman" w:hAnsi="Times New Roman" w:cs="Times New Roman"/>
                <w:b/>
                <w:bCs/>
                <w:color w:val="auto"/>
                <w:sz w:val="21"/>
                <w:szCs w:val="21"/>
                <w:highlight w:val="none"/>
              </w:rPr>
              <w:t>阶段</w:t>
            </w:r>
            <w:bookmarkEnd w:id="180"/>
            <w:bookmarkEnd w:id="181"/>
            <w:bookmarkEnd w:id="182"/>
            <w:bookmarkEnd w:id="183"/>
            <w:bookmarkEnd w:id="184"/>
          </w:p>
        </w:tc>
        <w:tc>
          <w:tcPr>
            <w:tcW w:w="8516" w:type="dxa"/>
            <w:gridSpan w:val="4"/>
            <w:tcBorders>
              <w:tl2br w:val="nil"/>
              <w:tr2bl w:val="nil"/>
            </w:tcBorders>
            <w:vAlign w:val="center"/>
          </w:tcPr>
          <w:p w14:paraId="6983F59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87" w:name="_Toc30798"/>
            <w:bookmarkStart w:id="188" w:name="_Toc17751"/>
            <w:bookmarkStart w:id="189" w:name="_Toc15727"/>
            <w:bookmarkStart w:id="190" w:name="_Toc20161"/>
            <w:bookmarkStart w:id="191" w:name="_Toc17667"/>
            <w:r>
              <w:rPr>
                <w:rFonts w:hint="default" w:ascii="Times New Roman" w:hAnsi="Times New Roman" w:cs="Times New Roman"/>
                <w:b/>
                <w:bCs/>
                <w:color w:val="auto"/>
                <w:sz w:val="21"/>
                <w:szCs w:val="21"/>
                <w:highlight w:val="none"/>
              </w:rPr>
              <w:t>评价因子</w:t>
            </w:r>
            <w:bookmarkEnd w:id="187"/>
            <w:bookmarkEnd w:id="188"/>
            <w:bookmarkEnd w:id="189"/>
            <w:bookmarkEnd w:id="190"/>
            <w:bookmarkEnd w:id="191"/>
          </w:p>
        </w:tc>
      </w:tr>
      <w:tr w14:paraId="47BFB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restart"/>
            <w:tcBorders>
              <w:tl2br w:val="nil"/>
              <w:tr2bl w:val="nil"/>
            </w:tcBorders>
            <w:vAlign w:val="center"/>
          </w:tcPr>
          <w:p w14:paraId="1F91612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2" w:name="_Toc24399"/>
            <w:bookmarkStart w:id="193" w:name="_Toc25604"/>
            <w:bookmarkStart w:id="194" w:name="_Toc15390"/>
            <w:bookmarkStart w:id="195" w:name="_Toc27765"/>
            <w:bookmarkStart w:id="196" w:name="_Toc8763"/>
            <w:r>
              <w:rPr>
                <w:rFonts w:hint="default" w:ascii="Times New Roman" w:hAnsi="Times New Roman" w:cs="Times New Roman"/>
                <w:color w:val="auto"/>
                <w:sz w:val="21"/>
                <w:szCs w:val="21"/>
                <w:highlight w:val="none"/>
              </w:rPr>
              <w:t>现状评价</w:t>
            </w:r>
            <w:bookmarkEnd w:id="192"/>
            <w:bookmarkEnd w:id="193"/>
            <w:bookmarkEnd w:id="194"/>
            <w:bookmarkEnd w:id="195"/>
            <w:bookmarkEnd w:id="196"/>
          </w:p>
        </w:tc>
        <w:tc>
          <w:tcPr>
            <w:tcW w:w="1982" w:type="dxa"/>
            <w:gridSpan w:val="3"/>
            <w:tcBorders>
              <w:tl2br w:val="nil"/>
              <w:tr2bl w:val="nil"/>
            </w:tcBorders>
            <w:vAlign w:val="center"/>
          </w:tcPr>
          <w:p w14:paraId="2FFBA3D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7" w:name="_Toc23857"/>
            <w:bookmarkStart w:id="198" w:name="_Toc26090"/>
            <w:bookmarkStart w:id="199" w:name="_Toc23678"/>
            <w:bookmarkStart w:id="200" w:name="_Toc19437"/>
            <w:bookmarkStart w:id="201" w:name="_Toc26154"/>
            <w:r>
              <w:rPr>
                <w:rFonts w:hint="default" w:ascii="Times New Roman" w:hAnsi="Times New Roman" w:cs="Times New Roman"/>
                <w:color w:val="auto"/>
                <w:sz w:val="21"/>
                <w:szCs w:val="21"/>
                <w:highlight w:val="none"/>
              </w:rPr>
              <w:t>地表水环境</w:t>
            </w:r>
            <w:bookmarkEnd w:id="197"/>
            <w:bookmarkEnd w:id="198"/>
            <w:bookmarkEnd w:id="199"/>
            <w:bookmarkEnd w:id="200"/>
            <w:bookmarkEnd w:id="201"/>
          </w:p>
        </w:tc>
        <w:tc>
          <w:tcPr>
            <w:tcW w:w="6534" w:type="dxa"/>
            <w:tcBorders>
              <w:tl2br w:val="nil"/>
              <w:tr2bl w:val="nil"/>
            </w:tcBorders>
            <w:vAlign w:val="center"/>
          </w:tcPr>
          <w:p w14:paraId="1D202B50">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firstLine="420" w:firstLineChars="200"/>
              <w:jc w:val="both"/>
              <w:textAlignment w:val="auto"/>
              <w:rPr>
                <w:rFonts w:hint="default" w:ascii="Times New Roman" w:hAnsi="Times New Roman" w:cs="Times New Roman"/>
                <w:color w:val="auto"/>
                <w:sz w:val="21"/>
                <w:szCs w:val="21"/>
                <w:highlight w:val="none"/>
              </w:rPr>
            </w:pPr>
            <w:bookmarkStart w:id="202" w:name="_Toc18606"/>
            <w:bookmarkStart w:id="203" w:name="_Toc11838"/>
            <w:bookmarkStart w:id="204" w:name="_Toc18748"/>
            <w:bookmarkStart w:id="205" w:name="_Toc14368"/>
            <w:bookmarkStart w:id="206" w:name="_Toc23692"/>
            <w:r>
              <w:rPr>
                <w:rFonts w:hint="default" w:ascii="Times New Roman" w:hAnsi="Times New Roman" w:cs="Times New Roman"/>
                <w:color w:val="auto"/>
                <w:sz w:val="21"/>
                <w:szCs w:val="21"/>
                <w:highlight w:val="none"/>
              </w:rPr>
              <w:t>pH、电导率、透明度、溶解氧、高锰酸盐指数、生化需氧量、氨氮、石油类、总氮、总磷、挥发酚、汞、铅、化学需氧量、铜、锌、氟化物、砷、镉、六价铬、氰化物、阴离子表面活性剂、硫化物、粪大肠菌群、全盐量、氧化还原电位、区域污染源分布、水体污染情况、水文情势、水资源开发利用情况</w:t>
            </w:r>
            <w:bookmarkEnd w:id="202"/>
            <w:bookmarkEnd w:id="203"/>
            <w:bookmarkEnd w:id="204"/>
            <w:bookmarkEnd w:id="205"/>
            <w:bookmarkEnd w:id="206"/>
          </w:p>
        </w:tc>
      </w:tr>
      <w:tr w14:paraId="7B9A8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5C73A1C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982" w:type="dxa"/>
            <w:gridSpan w:val="3"/>
            <w:tcBorders>
              <w:tl2br w:val="nil"/>
              <w:tr2bl w:val="nil"/>
            </w:tcBorders>
            <w:vAlign w:val="center"/>
          </w:tcPr>
          <w:p w14:paraId="35BFFF1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7" w:name="_Toc17774"/>
            <w:bookmarkStart w:id="208" w:name="_Toc19514"/>
            <w:bookmarkStart w:id="209" w:name="_Toc20316"/>
            <w:bookmarkStart w:id="210" w:name="_Toc26574"/>
            <w:bookmarkStart w:id="211" w:name="_Toc18918"/>
            <w:r>
              <w:rPr>
                <w:rFonts w:hint="default" w:ascii="Times New Roman" w:hAnsi="Times New Roman" w:cs="Times New Roman"/>
                <w:color w:val="auto"/>
                <w:sz w:val="21"/>
                <w:szCs w:val="21"/>
                <w:highlight w:val="none"/>
              </w:rPr>
              <w:t>大气环境</w:t>
            </w:r>
            <w:bookmarkEnd w:id="207"/>
            <w:bookmarkEnd w:id="208"/>
            <w:bookmarkEnd w:id="209"/>
            <w:bookmarkEnd w:id="210"/>
            <w:bookmarkEnd w:id="211"/>
          </w:p>
        </w:tc>
        <w:tc>
          <w:tcPr>
            <w:tcW w:w="6534" w:type="dxa"/>
            <w:tcBorders>
              <w:tl2br w:val="nil"/>
              <w:tr2bl w:val="nil"/>
            </w:tcBorders>
            <w:vAlign w:val="center"/>
          </w:tcPr>
          <w:p w14:paraId="7419A08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2" w:name="_Toc31433"/>
            <w:bookmarkStart w:id="213" w:name="_Toc410"/>
            <w:bookmarkStart w:id="214" w:name="_Toc15938"/>
            <w:bookmarkStart w:id="215" w:name="_Toc29984"/>
            <w:bookmarkStart w:id="216" w:name="_Toc13185"/>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、CO、O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bookmarkEnd w:id="212"/>
            <w:bookmarkEnd w:id="213"/>
            <w:bookmarkEnd w:id="214"/>
            <w:bookmarkEnd w:id="215"/>
            <w:bookmarkEnd w:id="216"/>
          </w:p>
        </w:tc>
      </w:tr>
      <w:tr w14:paraId="3CDA0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63" w:type="dxa"/>
            <w:vMerge w:val="continue"/>
            <w:tcBorders>
              <w:tl2br w:val="nil"/>
              <w:tr2bl w:val="nil"/>
            </w:tcBorders>
            <w:vAlign w:val="center"/>
          </w:tcPr>
          <w:p w14:paraId="5D66C9D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982" w:type="dxa"/>
            <w:gridSpan w:val="3"/>
            <w:tcBorders>
              <w:tl2br w:val="nil"/>
              <w:tr2bl w:val="nil"/>
            </w:tcBorders>
            <w:vAlign w:val="center"/>
          </w:tcPr>
          <w:p w14:paraId="7E72E2E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7" w:name="_Toc32598"/>
            <w:bookmarkStart w:id="218" w:name="_Toc5240"/>
            <w:bookmarkStart w:id="219" w:name="_Toc18774"/>
            <w:bookmarkStart w:id="220" w:name="_Toc15070"/>
            <w:bookmarkStart w:id="221" w:name="_Toc18666"/>
            <w:r>
              <w:rPr>
                <w:rFonts w:hint="default" w:ascii="Times New Roman" w:hAnsi="Times New Roman" w:cs="Times New Roman"/>
                <w:color w:val="auto"/>
                <w:sz w:val="21"/>
                <w:szCs w:val="21"/>
                <w:highlight w:val="none"/>
              </w:rPr>
              <w:t>声环境</w:t>
            </w:r>
            <w:bookmarkEnd w:id="217"/>
            <w:bookmarkEnd w:id="218"/>
            <w:bookmarkEnd w:id="219"/>
            <w:bookmarkEnd w:id="220"/>
            <w:bookmarkEnd w:id="221"/>
          </w:p>
        </w:tc>
        <w:tc>
          <w:tcPr>
            <w:tcW w:w="6534" w:type="dxa"/>
            <w:tcBorders>
              <w:tl2br w:val="nil"/>
              <w:tr2bl w:val="nil"/>
            </w:tcBorders>
            <w:vAlign w:val="center"/>
          </w:tcPr>
          <w:p w14:paraId="4016AF3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22" w:name="_Toc30345"/>
            <w:bookmarkStart w:id="223" w:name="_Toc7413"/>
            <w:bookmarkStart w:id="224" w:name="_Toc20496"/>
            <w:bookmarkStart w:id="225" w:name="_Toc3203"/>
            <w:bookmarkStart w:id="226" w:name="_Toc29742"/>
            <w:r>
              <w:rPr>
                <w:rFonts w:hint="default" w:ascii="Times New Roman" w:hAnsi="Times New Roman" w:cs="Times New Roman"/>
                <w:color w:val="auto"/>
                <w:sz w:val="21"/>
                <w:szCs w:val="21"/>
                <w:highlight w:val="none"/>
              </w:rPr>
              <w:t>等效</w:t>
            </w:r>
            <w:r>
              <w:rPr>
                <w:rFonts w:hint="default" w:ascii="Times New Roman" w:hAnsi="Times New Roman" w:cs="Times New Roman"/>
                <w:color w:val="auto"/>
                <w:sz w:val="21"/>
                <w:szCs w:val="21"/>
                <w:highlight w:val="none"/>
                <w:lang w:val="en-US" w:eastAsia="zh-CN"/>
              </w:rPr>
              <w:t>连续</w:t>
            </w:r>
            <w:r>
              <w:rPr>
                <w:rFonts w:hint="default" w:ascii="Times New Roman" w:hAnsi="Times New Roman" w:cs="Times New Roman"/>
                <w:color w:val="auto"/>
                <w:sz w:val="21"/>
                <w:szCs w:val="21"/>
                <w:highlight w:val="none"/>
              </w:rPr>
              <w:t>A声级</w:t>
            </w:r>
            <w:bookmarkEnd w:id="222"/>
            <w:bookmarkEnd w:id="223"/>
            <w:bookmarkEnd w:id="224"/>
            <w:bookmarkEnd w:id="225"/>
            <w:bookmarkEnd w:id="226"/>
          </w:p>
        </w:tc>
      </w:tr>
      <w:tr w14:paraId="3DFE5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63" w:type="dxa"/>
            <w:vMerge w:val="continue"/>
            <w:tcBorders>
              <w:tl2br w:val="nil"/>
              <w:tr2bl w:val="nil"/>
            </w:tcBorders>
            <w:vAlign w:val="center"/>
          </w:tcPr>
          <w:p w14:paraId="2FB9813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982" w:type="dxa"/>
            <w:gridSpan w:val="3"/>
            <w:tcBorders>
              <w:tl2br w:val="nil"/>
              <w:tr2bl w:val="nil"/>
            </w:tcBorders>
            <w:vAlign w:val="center"/>
          </w:tcPr>
          <w:p w14:paraId="05C2A75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27" w:name="_Toc7361"/>
            <w:bookmarkStart w:id="228" w:name="_Toc23249"/>
            <w:bookmarkStart w:id="229" w:name="_Toc5773"/>
            <w:bookmarkStart w:id="230" w:name="_Toc5809"/>
            <w:bookmarkStart w:id="231" w:name="_Toc1650"/>
            <w:r>
              <w:rPr>
                <w:rFonts w:hint="default" w:ascii="Times New Roman" w:hAnsi="Times New Roman" w:cs="Times New Roman"/>
                <w:color w:val="auto"/>
                <w:sz w:val="21"/>
                <w:szCs w:val="21"/>
                <w:highlight w:val="none"/>
              </w:rPr>
              <w:t>地下水环境</w:t>
            </w:r>
            <w:bookmarkEnd w:id="227"/>
            <w:bookmarkEnd w:id="228"/>
            <w:bookmarkEnd w:id="229"/>
            <w:bookmarkEnd w:id="230"/>
            <w:bookmarkEnd w:id="231"/>
          </w:p>
        </w:tc>
        <w:tc>
          <w:tcPr>
            <w:tcW w:w="6534" w:type="dxa"/>
            <w:tcBorders>
              <w:tl2br w:val="nil"/>
              <w:tr2bl w:val="nil"/>
            </w:tcBorders>
            <w:vAlign w:val="center"/>
          </w:tcPr>
          <w:p w14:paraId="5BFE31F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32" w:name="_Toc17190"/>
            <w:bookmarkStart w:id="233" w:name="_Toc16142"/>
            <w:bookmarkStart w:id="234" w:name="_Toc23760"/>
            <w:bookmarkStart w:id="235" w:name="_Toc31252"/>
            <w:r>
              <w:rPr>
                <w:rFonts w:hint="default" w:ascii="Times New Roman" w:hAnsi="Times New Roman" w:cs="Times New Roman"/>
                <w:b w:val="0"/>
                <w:bCs w:val="0"/>
                <w:i w:val="0"/>
                <w:iCs w:val="0"/>
                <w:color w:val="auto"/>
                <w:sz w:val="21"/>
                <w:szCs w:val="21"/>
                <w:highlight w:val="none"/>
                <w:lang w:val="en-US" w:eastAsia="zh-CN"/>
              </w:rPr>
              <w:t>pH、总硬度、溶解性总固体、硫酸盐、氯化物、铁、锰、铜、锌、挥发性酚类、硝酸盐、亚硝酸盐、氨氮、总大肠菌群、细菌总数、K</w:t>
            </w:r>
            <w:r>
              <w:rPr>
                <w:rFonts w:hint="default" w:ascii="Times New Roman" w:hAnsi="Times New Roman" w:cs="Times New Roman"/>
                <w:b w:val="0"/>
                <w:bCs w:val="0"/>
                <w:i w:val="0"/>
                <w:iCs w:val="0"/>
                <w:color w:val="auto"/>
                <w:sz w:val="21"/>
                <w:szCs w:val="21"/>
                <w:highlight w:val="none"/>
                <w:vertAlign w:val="superscript"/>
                <w:lang w:val="en-US" w:eastAsia="zh-CN"/>
              </w:rPr>
              <w:t>+</w:t>
            </w:r>
            <w:r>
              <w:rPr>
                <w:rFonts w:hint="default" w:ascii="Times New Roman" w:hAnsi="Times New Roman" w:cs="Times New Roman"/>
                <w:b w:val="0"/>
                <w:bCs w:val="0"/>
                <w:i w:val="0"/>
                <w:iCs w:val="0"/>
                <w:color w:val="auto"/>
                <w:sz w:val="21"/>
                <w:szCs w:val="21"/>
                <w:highlight w:val="none"/>
                <w:lang w:val="en-US" w:eastAsia="zh-CN"/>
              </w:rPr>
              <w:t>、Na</w:t>
            </w:r>
            <w:r>
              <w:rPr>
                <w:rFonts w:hint="default" w:ascii="Times New Roman" w:hAnsi="Times New Roman" w:cs="Times New Roman"/>
                <w:b w:val="0"/>
                <w:bCs w:val="0"/>
                <w:i w:val="0"/>
                <w:iCs w:val="0"/>
                <w:color w:val="auto"/>
                <w:sz w:val="21"/>
                <w:szCs w:val="21"/>
                <w:highlight w:val="none"/>
                <w:vertAlign w:val="superscript"/>
                <w:lang w:val="en-US" w:eastAsia="zh-CN"/>
              </w:rPr>
              <w:t>+</w:t>
            </w:r>
            <w:r>
              <w:rPr>
                <w:rFonts w:hint="default" w:ascii="Times New Roman" w:hAnsi="Times New Roman" w:cs="Times New Roman"/>
                <w:b w:val="0"/>
                <w:bCs w:val="0"/>
                <w:i w:val="0"/>
                <w:iCs w:val="0"/>
                <w:color w:val="auto"/>
                <w:sz w:val="21"/>
                <w:szCs w:val="21"/>
                <w:highlight w:val="none"/>
                <w:lang w:val="en-US" w:eastAsia="zh-CN"/>
              </w:rPr>
              <w:t>、Ca</w:t>
            </w:r>
            <w:r>
              <w:rPr>
                <w:rFonts w:hint="default" w:ascii="Times New Roman" w:hAnsi="Times New Roman" w:cs="Times New Roman"/>
                <w:b w:val="0"/>
                <w:bCs w:val="0"/>
                <w:i w:val="0"/>
                <w:iCs w:val="0"/>
                <w:color w:val="auto"/>
                <w:sz w:val="21"/>
                <w:szCs w:val="21"/>
                <w:highlight w:val="none"/>
                <w:vertAlign w:val="superscript"/>
                <w:lang w:val="en-US" w:eastAsia="zh-CN"/>
              </w:rPr>
              <w:t>2+</w:t>
            </w:r>
            <w:r>
              <w:rPr>
                <w:rFonts w:hint="default" w:ascii="Times New Roman" w:hAnsi="Times New Roman" w:cs="Times New Roman"/>
                <w:b w:val="0"/>
                <w:bCs w:val="0"/>
                <w:i w:val="0"/>
                <w:iCs w:val="0"/>
                <w:color w:val="auto"/>
                <w:sz w:val="21"/>
                <w:szCs w:val="21"/>
                <w:highlight w:val="none"/>
                <w:lang w:val="en-US" w:eastAsia="zh-CN"/>
              </w:rPr>
              <w:t>、Mg</w:t>
            </w:r>
            <w:r>
              <w:rPr>
                <w:rFonts w:hint="default" w:ascii="Times New Roman" w:hAnsi="Times New Roman" w:cs="Times New Roman"/>
                <w:b w:val="0"/>
                <w:bCs w:val="0"/>
                <w:i w:val="0"/>
                <w:iCs w:val="0"/>
                <w:color w:val="auto"/>
                <w:sz w:val="21"/>
                <w:szCs w:val="21"/>
                <w:highlight w:val="none"/>
                <w:vertAlign w:val="superscript"/>
                <w:lang w:val="en-US" w:eastAsia="zh-CN"/>
              </w:rPr>
              <w:t>2+</w:t>
            </w:r>
            <w:r>
              <w:rPr>
                <w:rFonts w:hint="default" w:ascii="Times New Roman" w:hAnsi="Times New Roman" w:cs="Times New Roman"/>
                <w:b w:val="0"/>
                <w:bCs w:val="0"/>
                <w:i w:val="0"/>
                <w:iCs w:val="0"/>
                <w:color w:val="auto"/>
                <w:sz w:val="21"/>
                <w:szCs w:val="21"/>
                <w:highlight w:val="none"/>
                <w:lang w:val="en-US" w:eastAsia="zh-CN"/>
              </w:rPr>
              <w:t>、HCO</w:t>
            </w:r>
            <w:r>
              <w:rPr>
                <w:rFonts w:hint="default" w:ascii="Times New Roman" w:hAnsi="Times New Roman" w:cs="Times New Roman"/>
                <w:b w:val="0"/>
                <w:bCs w:val="0"/>
                <w:i w:val="0"/>
                <w:iCs w:val="0"/>
                <w:color w:val="auto"/>
                <w:sz w:val="21"/>
                <w:szCs w:val="21"/>
                <w:highlight w:val="none"/>
                <w:vertAlign w:val="subscript"/>
                <w:lang w:val="en-US" w:eastAsia="zh-CN"/>
              </w:rPr>
              <w:t>3</w:t>
            </w:r>
            <w:r>
              <w:rPr>
                <w:rFonts w:hint="default" w:ascii="Times New Roman" w:hAnsi="Times New Roman" w:cs="Times New Roman"/>
                <w:b w:val="0"/>
                <w:bCs w:val="0"/>
                <w:i w:val="0"/>
                <w:iCs w:val="0"/>
                <w:color w:val="auto"/>
                <w:sz w:val="21"/>
                <w:szCs w:val="21"/>
                <w:highlight w:val="none"/>
                <w:vertAlign w:val="superscript"/>
                <w:lang w:val="en-US" w:eastAsia="zh-CN"/>
              </w:rPr>
              <w:t>-</w:t>
            </w:r>
            <w:r>
              <w:rPr>
                <w:rFonts w:hint="default" w:ascii="Times New Roman" w:hAnsi="Times New Roman" w:cs="Times New Roman"/>
                <w:b w:val="0"/>
                <w:bCs w:val="0"/>
                <w:i w:val="0"/>
                <w:iCs w:val="0"/>
                <w:color w:val="auto"/>
                <w:sz w:val="21"/>
                <w:szCs w:val="21"/>
                <w:highlight w:val="none"/>
                <w:lang w:val="en-US" w:eastAsia="zh-CN"/>
              </w:rPr>
              <w:t>、CO</w:t>
            </w:r>
            <w:r>
              <w:rPr>
                <w:rFonts w:hint="default" w:ascii="Times New Roman" w:hAnsi="Times New Roman" w:cs="Times New Roman"/>
                <w:b w:val="0"/>
                <w:bCs w:val="0"/>
                <w:i w:val="0"/>
                <w:iCs w:val="0"/>
                <w:color w:val="auto"/>
                <w:sz w:val="21"/>
                <w:szCs w:val="21"/>
                <w:highlight w:val="none"/>
                <w:vertAlign w:val="subscript"/>
                <w:lang w:val="en-US" w:eastAsia="zh-CN"/>
              </w:rPr>
              <w:t>3</w:t>
            </w:r>
            <w:r>
              <w:rPr>
                <w:rFonts w:hint="default" w:ascii="Times New Roman" w:hAnsi="Times New Roman" w:cs="Times New Roman"/>
                <w:b w:val="0"/>
                <w:bCs w:val="0"/>
                <w:i w:val="0"/>
                <w:iCs w:val="0"/>
                <w:color w:val="auto"/>
                <w:sz w:val="21"/>
                <w:szCs w:val="21"/>
                <w:highlight w:val="none"/>
                <w:vertAlign w:val="superscript"/>
                <w:lang w:val="en-US" w:eastAsia="zh-CN"/>
              </w:rPr>
              <w:t>2-</w:t>
            </w:r>
            <w:r>
              <w:rPr>
                <w:rFonts w:hint="default" w:ascii="Times New Roman" w:hAnsi="Times New Roman" w:cs="Times New Roman"/>
                <w:b w:val="0"/>
                <w:bCs w:val="0"/>
                <w:i w:val="0"/>
                <w:iCs w:val="0"/>
                <w:color w:val="auto"/>
                <w:sz w:val="21"/>
                <w:szCs w:val="21"/>
                <w:highlight w:val="none"/>
                <w:lang w:val="en-US" w:eastAsia="zh-CN"/>
              </w:rPr>
              <w:t>、氰化物、砷、汞、铬（六价）、铅、氟化物</w:t>
            </w:r>
            <w:bookmarkEnd w:id="232"/>
            <w:bookmarkEnd w:id="233"/>
            <w:bookmarkEnd w:id="234"/>
            <w:bookmarkEnd w:id="235"/>
          </w:p>
        </w:tc>
      </w:tr>
      <w:tr w14:paraId="2E167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1872971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982" w:type="dxa"/>
            <w:gridSpan w:val="3"/>
            <w:tcBorders>
              <w:tl2br w:val="nil"/>
              <w:tr2bl w:val="nil"/>
            </w:tcBorders>
            <w:vAlign w:val="center"/>
          </w:tcPr>
          <w:p w14:paraId="57C1F05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36" w:name="_Toc5246"/>
            <w:bookmarkStart w:id="237" w:name="_Toc29784"/>
            <w:bookmarkStart w:id="238" w:name="_Toc6730"/>
            <w:bookmarkStart w:id="239" w:name="_Toc4704"/>
            <w:bookmarkStart w:id="240" w:name="_Toc32517"/>
            <w:r>
              <w:rPr>
                <w:rFonts w:hint="default" w:ascii="Times New Roman" w:hAnsi="Times New Roman" w:cs="Times New Roman"/>
                <w:color w:val="auto"/>
                <w:sz w:val="21"/>
                <w:szCs w:val="21"/>
                <w:highlight w:val="none"/>
              </w:rPr>
              <w:t>土壤环境</w:t>
            </w:r>
            <w:bookmarkEnd w:id="236"/>
            <w:bookmarkEnd w:id="237"/>
            <w:bookmarkEnd w:id="238"/>
            <w:bookmarkEnd w:id="239"/>
            <w:bookmarkEnd w:id="240"/>
          </w:p>
        </w:tc>
        <w:tc>
          <w:tcPr>
            <w:tcW w:w="6534" w:type="dxa"/>
            <w:tcBorders>
              <w:tl2br w:val="nil"/>
              <w:tr2bl w:val="nil"/>
            </w:tcBorders>
            <w:vAlign w:val="center"/>
          </w:tcPr>
          <w:p w14:paraId="2C4A255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41" w:name="_Toc9339"/>
            <w:bookmarkStart w:id="242" w:name="_Toc29668"/>
            <w:bookmarkStart w:id="243" w:name="_Toc15008"/>
            <w:bookmarkStart w:id="244" w:name="_Toc32562"/>
            <w:r>
              <w:rPr>
                <w:rFonts w:hint="default" w:ascii="Times New Roman" w:hAnsi="Times New Roman" w:cs="Times New Roman"/>
                <w:color w:val="auto"/>
                <w:sz w:val="21"/>
                <w:szCs w:val="21"/>
                <w:highlight w:val="none"/>
                <w:lang w:val="en-US" w:eastAsia="zh-CN"/>
              </w:rPr>
              <w:t>PH、砷、镉、铬、铜、铅、汞、镍、锌</w:t>
            </w:r>
            <w:bookmarkEnd w:id="241"/>
            <w:bookmarkEnd w:id="242"/>
            <w:bookmarkEnd w:id="243"/>
            <w:bookmarkEnd w:id="244"/>
          </w:p>
        </w:tc>
      </w:tr>
      <w:tr w14:paraId="681B3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7B82F9D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982" w:type="dxa"/>
            <w:gridSpan w:val="3"/>
            <w:tcBorders>
              <w:tl2br w:val="nil"/>
              <w:tr2bl w:val="nil"/>
            </w:tcBorders>
            <w:vAlign w:val="center"/>
          </w:tcPr>
          <w:p w14:paraId="2178BA8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45" w:name="_Toc337"/>
            <w:bookmarkStart w:id="246" w:name="_Toc6343"/>
            <w:bookmarkStart w:id="247" w:name="_Toc5188"/>
            <w:bookmarkStart w:id="248" w:name="_Toc11723"/>
            <w:bookmarkStart w:id="249" w:name="_Toc20178"/>
            <w:r>
              <w:rPr>
                <w:rFonts w:hint="default" w:ascii="Times New Roman" w:hAnsi="Times New Roman" w:cs="Times New Roman"/>
                <w:color w:val="auto"/>
                <w:sz w:val="21"/>
                <w:szCs w:val="21"/>
                <w:highlight w:val="none"/>
              </w:rPr>
              <w:t>生态环境</w:t>
            </w:r>
            <w:bookmarkEnd w:id="245"/>
            <w:bookmarkEnd w:id="246"/>
            <w:bookmarkEnd w:id="247"/>
            <w:bookmarkEnd w:id="248"/>
            <w:bookmarkEnd w:id="249"/>
          </w:p>
        </w:tc>
        <w:tc>
          <w:tcPr>
            <w:tcW w:w="6534" w:type="dxa"/>
            <w:tcBorders>
              <w:tl2br w:val="nil"/>
              <w:tr2bl w:val="nil"/>
            </w:tcBorders>
            <w:vAlign w:val="center"/>
          </w:tcPr>
          <w:p w14:paraId="0A791490">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250" w:name="_Toc28330"/>
            <w:bookmarkStart w:id="251" w:name="_Toc27231"/>
            <w:bookmarkStart w:id="252" w:name="_Toc21721"/>
            <w:bookmarkStart w:id="253" w:name="_Toc8486"/>
            <w:bookmarkStart w:id="254" w:name="_Toc703"/>
            <w:r>
              <w:rPr>
                <w:rFonts w:hint="default" w:ascii="Times New Roman" w:hAnsi="Times New Roman" w:cs="Times New Roman"/>
                <w:color w:val="auto"/>
                <w:sz w:val="21"/>
                <w:szCs w:val="21"/>
                <w:highlight w:val="none"/>
              </w:rPr>
              <w:t>陆生动植物资源、水生生物</w:t>
            </w:r>
            <w:bookmarkEnd w:id="250"/>
            <w:bookmarkEnd w:id="251"/>
            <w:bookmarkEnd w:id="252"/>
            <w:r>
              <w:rPr>
                <w:rFonts w:hint="eastAsia" w:cs="Times New Roman"/>
                <w:color w:val="auto"/>
                <w:sz w:val="21"/>
                <w:szCs w:val="21"/>
                <w:highlight w:val="none"/>
                <w:lang w:eastAsia="zh-CN"/>
              </w:rPr>
              <w:t>、土地占用、水土流失</w:t>
            </w:r>
            <w:bookmarkEnd w:id="253"/>
            <w:bookmarkEnd w:id="254"/>
          </w:p>
        </w:tc>
      </w:tr>
      <w:tr w14:paraId="623E1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restart"/>
            <w:tcBorders>
              <w:tl2br w:val="nil"/>
              <w:tr2bl w:val="nil"/>
            </w:tcBorders>
            <w:vAlign w:val="center"/>
          </w:tcPr>
          <w:p w14:paraId="783D74A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55" w:name="_Toc4501"/>
            <w:bookmarkStart w:id="256" w:name="_Toc25741"/>
            <w:bookmarkStart w:id="257" w:name="_Toc6954"/>
            <w:bookmarkStart w:id="258" w:name="_Toc12338"/>
            <w:bookmarkStart w:id="259" w:name="_Toc2606"/>
            <w:r>
              <w:rPr>
                <w:rFonts w:hint="default" w:ascii="Times New Roman" w:hAnsi="Times New Roman" w:cs="Times New Roman"/>
                <w:color w:val="auto"/>
                <w:sz w:val="21"/>
                <w:szCs w:val="21"/>
                <w:highlight w:val="none"/>
              </w:rPr>
              <w:t>影响评价</w:t>
            </w:r>
            <w:bookmarkEnd w:id="255"/>
            <w:bookmarkEnd w:id="256"/>
            <w:bookmarkEnd w:id="257"/>
            <w:bookmarkEnd w:id="258"/>
            <w:bookmarkEnd w:id="259"/>
          </w:p>
        </w:tc>
        <w:tc>
          <w:tcPr>
            <w:tcW w:w="455" w:type="dxa"/>
            <w:vMerge w:val="restart"/>
            <w:tcBorders>
              <w:tl2br w:val="nil"/>
              <w:tr2bl w:val="nil"/>
            </w:tcBorders>
            <w:vAlign w:val="center"/>
          </w:tcPr>
          <w:p w14:paraId="24036D7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60" w:name="_Toc22102"/>
            <w:bookmarkStart w:id="261" w:name="_Toc17165"/>
            <w:bookmarkStart w:id="262" w:name="_Toc31669"/>
            <w:bookmarkStart w:id="263" w:name="_Toc9564"/>
            <w:bookmarkStart w:id="264" w:name="_Toc17252"/>
            <w:r>
              <w:rPr>
                <w:rFonts w:hint="default" w:ascii="Times New Roman" w:hAnsi="Times New Roman" w:cs="Times New Roman"/>
                <w:color w:val="auto"/>
                <w:sz w:val="21"/>
                <w:szCs w:val="21"/>
                <w:highlight w:val="none"/>
              </w:rPr>
              <w:t>施工期</w:t>
            </w:r>
            <w:bookmarkEnd w:id="260"/>
            <w:bookmarkEnd w:id="261"/>
            <w:bookmarkEnd w:id="262"/>
            <w:bookmarkEnd w:id="263"/>
            <w:bookmarkEnd w:id="264"/>
          </w:p>
        </w:tc>
        <w:tc>
          <w:tcPr>
            <w:tcW w:w="1527" w:type="dxa"/>
            <w:gridSpan w:val="2"/>
            <w:tcBorders>
              <w:tl2br w:val="nil"/>
              <w:tr2bl w:val="nil"/>
            </w:tcBorders>
            <w:vAlign w:val="center"/>
          </w:tcPr>
          <w:p w14:paraId="6E02D84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65" w:name="_Toc18390"/>
            <w:bookmarkStart w:id="266" w:name="_Toc26049"/>
            <w:bookmarkStart w:id="267" w:name="_Toc13118"/>
            <w:bookmarkStart w:id="268" w:name="_Toc21708"/>
            <w:bookmarkStart w:id="269" w:name="_Toc16916"/>
            <w:r>
              <w:rPr>
                <w:rFonts w:hint="default" w:ascii="Times New Roman" w:hAnsi="Times New Roman" w:cs="Times New Roman"/>
                <w:color w:val="auto"/>
                <w:sz w:val="21"/>
                <w:szCs w:val="21"/>
                <w:highlight w:val="none"/>
              </w:rPr>
              <w:t>地表水环境</w:t>
            </w:r>
            <w:bookmarkEnd w:id="265"/>
            <w:bookmarkEnd w:id="266"/>
            <w:bookmarkEnd w:id="267"/>
            <w:bookmarkEnd w:id="268"/>
            <w:bookmarkEnd w:id="269"/>
          </w:p>
        </w:tc>
        <w:tc>
          <w:tcPr>
            <w:tcW w:w="6534" w:type="dxa"/>
            <w:tcBorders>
              <w:tl2br w:val="nil"/>
              <w:tr2bl w:val="nil"/>
            </w:tcBorders>
            <w:vAlign w:val="center"/>
          </w:tcPr>
          <w:p w14:paraId="4A2DE57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70" w:name="_Toc29267"/>
            <w:bookmarkStart w:id="271" w:name="_Toc10047"/>
            <w:bookmarkStart w:id="272" w:name="_Toc9532"/>
            <w:bookmarkStart w:id="273" w:name="_Toc25918"/>
            <w:bookmarkStart w:id="274" w:name="_Toc9510"/>
            <w:r>
              <w:rPr>
                <w:rFonts w:hint="default" w:ascii="Times New Roman" w:hAnsi="Times New Roman" w:cs="Times New Roman"/>
                <w:color w:val="auto"/>
                <w:sz w:val="21"/>
                <w:szCs w:val="21"/>
                <w:highlight w:val="none"/>
              </w:rPr>
              <w:t>pH值、SS、石油类、COD、氨氮</w:t>
            </w:r>
            <w:bookmarkEnd w:id="270"/>
            <w:bookmarkEnd w:id="271"/>
            <w:bookmarkEnd w:id="272"/>
            <w:bookmarkEnd w:id="273"/>
            <w:bookmarkEnd w:id="274"/>
          </w:p>
        </w:tc>
      </w:tr>
      <w:tr w14:paraId="377EE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7DED7CB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29F634E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27" w:type="dxa"/>
            <w:gridSpan w:val="2"/>
            <w:tcBorders>
              <w:tl2br w:val="nil"/>
              <w:tr2bl w:val="nil"/>
            </w:tcBorders>
            <w:vAlign w:val="center"/>
          </w:tcPr>
          <w:p w14:paraId="7100B42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75" w:name="_Toc22139"/>
            <w:bookmarkStart w:id="276" w:name="_Toc13765"/>
            <w:bookmarkStart w:id="277" w:name="_Toc28087"/>
            <w:bookmarkStart w:id="278" w:name="_Toc2422"/>
            <w:bookmarkStart w:id="279" w:name="_Toc894"/>
            <w:r>
              <w:rPr>
                <w:rFonts w:hint="default" w:ascii="Times New Roman" w:hAnsi="Times New Roman" w:cs="Times New Roman"/>
                <w:color w:val="auto"/>
                <w:sz w:val="21"/>
                <w:szCs w:val="21"/>
                <w:highlight w:val="none"/>
              </w:rPr>
              <w:t>声环境</w:t>
            </w:r>
            <w:bookmarkEnd w:id="275"/>
            <w:bookmarkEnd w:id="276"/>
            <w:bookmarkEnd w:id="277"/>
            <w:bookmarkEnd w:id="278"/>
            <w:bookmarkEnd w:id="279"/>
          </w:p>
        </w:tc>
        <w:tc>
          <w:tcPr>
            <w:tcW w:w="6534" w:type="dxa"/>
            <w:tcBorders>
              <w:tl2br w:val="nil"/>
              <w:tr2bl w:val="nil"/>
            </w:tcBorders>
            <w:vAlign w:val="center"/>
          </w:tcPr>
          <w:p w14:paraId="57BD84D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0" w:name="_Toc8494"/>
            <w:bookmarkStart w:id="281" w:name="_Toc26066"/>
            <w:bookmarkStart w:id="282" w:name="_Toc25812"/>
            <w:bookmarkStart w:id="283" w:name="_Toc21648"/>
            <w:bookmarkStart w:id="284" w:name="_Toc3388"/>
            <w:r>
              <w:rPr>
                <w:rFonts w:hint="default" w:ascii="Times New Roman" w:hAnsi="Times New Roman" w:cs="Times New Roman"/>
                <w:color w:val="auto"/>
                <w:sz w:val="21"/>
                <w:szCs w:val="21"/>
                <w:highlight w:val="none"/>
              </w:rPr>
              <w:t>等效</w:t>
            </w:r>
            <w:r>
              <w:rPr>
                <w:rFonts w:hint="default" w:ascii="Times New Roman" w:hAnsi="Times New Roman" w:cs="Times New Roman"/>
                <w:color w:val="auto"/>
                <w:sz w:val="21"/>
                <w:szCs w:val="21"/>
                <w:highlight w:val="none"/>
                <w:lang w:val="en-US" w:eastAsia="zh-CN"/>
              </w:rPr>
              <w:t>连续</w:t>
            </w:r>
            <w:r>
              <w:rPr>
                <w:rFonts w:hint="default" w:ascii="Times New Roman" w:hAnsi="Times New Roman" w:cs="Times New Roman"/>
                <w:color w:val="auto"/>
                <w:sz w:val="21"/>
                <w:szCs w:val="21"/>
                <w:highlight w:val="none"/>
              </w:rPr>
              <w:t>A声级</w:t>
            </w:r>
            <w:bookmarkEnd w:id="280"/>
            <w:bookmarkEnd w:id="281"/>
            <w:bookmarkEnd w:id="282"/>
            <w:bookmarkEnd w:id="283"/>
            <w:bookmarkEnd w:id="284"/>
          </w:p>
        </w:tc>
      </w:tr>
      <w:tr w14:paraId="2FD1A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63" w:type="dxa"/>
            <w:vMerge w:val="continue"/>
            <w:tcBorders>
              <w:tl2br w:val="nil"/>
              <w:tr2bl w:val="nil"/>
            </w:tcBorders>
            <w:vAlign w:val="center"/>
          </w:tcPr>
          <w:p w14:paraId="2D038E8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33F1026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27" w:type="dxa"/>
            <w:gridSpan w:val="2"/>
            <w:tcBorders>
              <w:tl2br w:val="nil"/>
              <w:tr2bl w:val="nil"/>
            </w:tcBorders>
            <w:vAlign w:val="center"/>
          </w:tcPr>
          <w:p w14:paraId="10C9D75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5" w:name="_Toc10573"/>
            <w:bookmarkStart w:id="286" w:name="_Toc31631"/>
            <w:bookmarkStart w:id="287" w:name="_Toc28609"/>
            <w:bookmarkStart w:id="288" w:name="_Toc6225"/>
            <w:bookmarkStart w:id="289" w:name="_Toc19495"/>
            <w:r>
              <w:rPr>
                <w:rFonts w:hint="default" w:ascii="Times New Roman" w:hAnsi="Times New Roman" w:cs="Times New Roman"/>
                <w:color w:val="auto"/>
                <w:sz w:val="21"/>
                <w:szCs w:val="21"/>
                <w:highlight w:val="none"/>
              </w:rPr>
              <w:t>大气环境</w:t>
            </w:r>
            <w:bookmarkEnd w:id="285"/>
            <w:bookmarkEnd w:id="286"/>
            <w:bookmarkEnd w:id="287"/>
            <w:bookmarkEnd w:id="288"/>
            <w:bookmarkEnd w:id="289"/>
          </w:p>
        </w:tc>
        <w:tc>
          <w:tcPr>
            <w:tcW w:w="6534" w:type="dxa"/>
            <w:tcBorders>
              <w:tl2br w:val="nil"/>
              <w:tr2bl w:val="nil"/>
            </w:tcBorders>
            <w:vAlign w:val="center"/>
          </w:tcPr>
          <w:p w14:paraId="1009F36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0" w:name="_Toc13901"/>
            <w:bookmarkStart w:id="291" w:name="_Toc2605"/>
            <w:bookmarkStart w:id="292" w:name="_Toc6739"/>
            <w:bookmarkStart w:id="293" w:name="_Toc31037"/>
            <w:bookmarkStart w:id="294" w:name="_Toc7243"/>
            <w:r>
              <w:rPr>
                <w:rFonts w:hint="default" w:ascii="Times New Roman" w:hAnsi="Times New Roman" w:cs="Times New Roman"/>
                <w:color w:val="auto"/>
                <w:sz w:val="21"/>
                <w:szCs w:val="21"/>
                <w:highlight w:val="none"/>
              </w:rPr>
              <w:t>颗粒物</w:t>
            </w:r>
            <w:bookmarkEnd w:id="290"/>
            <w:bookmarkEnd w:id="291"/>
            <w:bookmarkEnd w:id="292"/>
            <w:bookmarkEnd w:id="293"/>
            <w:bookmarkEnd w:id="294"/>
          </w:p>
        </w:tc>
      </w:tr>
      <w:tr w14:paraId="044FE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03B64C7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61C99E0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27" w:type="dxa"/>
            <w:gridSpan w:val="2"/>
            <w:tcBorders>
              <w:tl2br w:val="nil"/>
              <w:tr2bl w:val="nil"/>
            </w:tcBorders>
            <w:vAlign w:val="center"/>
          </w:tcPr>
          <w:p w14:paraId="04784CC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5" w:name="_Toc27843"/>
            <w:bookmarkStart w:id="296" w:name="_Toc28714"/>
            <w:bookmarkStart w:id="297" w:name="_Toc7078"/>
            <w:bookmarkStart w:id="298" w:name="_Toc278"/>
            <w:bookmarkStart w:id="299" w:name="_Toc19433"/>
            <w:r>
              <w:rPr>
                <w:rFonts w:hint="default" w:ascii="Times New Roman" w:hAnsi="Times New Roman" w:cs="Times New Roman"/>
                <w:color w:val="auto"/>
                <w:sz w:val="21"/>
                <w:szCs w:val="21"/>
                <w:highlight w:val="none"/>
              </w:rPr>
              <w:t>声环境</w:t>
            </w:r>
            <w:bookmarkEnd w:id="295"/>
            <w:bookmarkEnd w:id="296"/>
            <w:bookmarkEnd w:id="297"/>
            <w:bookmarkEnd w:id="298"/>
            <w:bookmarkEnd w:id="299"/>
          </w:p>
        </w:tc>
        <w:tc>
          <w:tcPr>
            <w:tcW w:w="6534" w:type="dxa"/>
            <w:tcBorders>
              <w:tl2br w:val="nil"/>
              <w:tr2bl w:val="nil"/>
            </w:tcBorders>
            <w:vAlign w:val="center"/>
          </w:tcPr>
          <w:p w14:paraId="2E97542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00" w:name="_Toc12676"/>
            <w:bookmarkStart w:id="301" w:name="_Toc25786"/>
            <w:bookmarkStart w:id="302" w:name="_Toc15886"/>
            <w:r>
              <w:rPr>
                <w:rFonts w:hint="default" w:ascii="Times New Roman" w:hAnsi="Times New Roman" w:cs="Times New Roman"/>
                <w:color w:val="auto"/>
                <w:sz w:val="21"/>
                <w:szCs w:val="21"/>
                <w:highlight w:val="none"/>
              </w:rPr>
              <w:t>等效</w:t>
            </w:r>
            <w:r>
              <w:rPr>
                <w:rFonts w:hint="default" w:ascii="Times New Roman" w:hAnsi="Times New Roman" w:cs="Times New Roman"/>
                <w:color w:val="auto"/>
                <w:sz w:val="21"/>
                <w:szCs w:val="21"/>
                <w:highlight w:val="none"/>
                <w:lang w:val="en-US" w:eastAsia="zh-CN"/>
              </w:rPr>
              <w:t>连续</w:t>
            </w:r>
            <w:r>
              <w:rPr>
                <w:rFonts w:hint="default" w:ascii="Times New Roman" w:hAnsi="Times New Roman" w:cs="Times New Roman"/>
                <w:color w:val="auto"/>
                <w:sz w:val="21"/>
                <w:szCs w:val="21"/>
                <w:highlight w:val="none"/>
              </w:rPr>
              <w:t>A声级</w:t>
            </w:r>
            <w:bookmarkEnd w:id="300"/>
            <w:bookmarkEnd w:id="301"/>
            <w:bookmarkEnd w:id="302"/>
          </w:p>
        </w:tc>
      </w:tr>
      <w:tr w14:paraId="09A2C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219E42E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6584D1A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27" w:type="dxa"/>
            <w:gridSpan w:val="2"/>
            <w:tcBorders>
              <w:tl2br w:val="nil"/>
              <w:tr2bl w:val="nil"/>
            </w:tcBorders>
            <w:vAlign w:val="center"/>
          </w:tcPr>
          <w:p w14:paraId="79B4C75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03" w:name="_Toc1070"/>
            <w:bookmarkStart w:id="304" w:name="_Toc15514"/>
            <w:bookmarkStart w:id="305" w:name="_Toc24533"/>
            <w:bookmarkStart w:id="306" w:name="_Toc13141"/>
            <w:bookmarkStart w:id="307" w:name="_Toc261"/>
            <w:r>
              <w:rPr>
                <w:rFonts w:hint="default" w:ascii="Times New Roman" w:hAnsi="Times New Roman" w:cs="Times New Roman"/>
                <w:color w:val="auto"/>
                <w:sz w:val="21"/>
                <w:szCs w:val="21"/>
                <w:highlight w:val="none"/>
              </w:rPr>
              <w:t>生态环境</w:t>
            </w:r>
            <w:bookmarkEnd w:id="303"/>
            <w:bookmarkEnd w:id="304"/>
            <w:bookmarkEnd w:id="305"/>
            <w:bookmarkEnd w:id="306"/>
            <w:bookmarkEnd w:id="307"/>
          </w:p>
        </w:tc>
        <w:tc>
          <w:tcPr>
            <w:tcW w:w="6534" w:type="dxa"/>
            <w:tcBorders>
              <w:tl2br w:val="nil"/>
              <w:tr2bl w:val="nil"/>
            </w:tcBorders>
            <w:vAlign w:val="center"/>
          </w:tcPr>
          <w:p w14:paraId="083FE859">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308" w:name="_Toc28975"/>
            <w:bookmarkStart w:id="309" w:name="_Toc16610"/>
            <w:bookmarkStart w:id="310" w:name="_Toc27281"/>
            <w:bookmarkStart w:id="311" w:name="_Toc18258"/>
            <w:bookmarkStart w:id="312" w:name="_Toc5820"/>
            <w:r>
              <w:rPr>
                <w:rFonts w:hint="default" w:ascii="Times New Roman" w:hAnsi="Times New Roman" w:cs="Times New Roman"/>
                <w:color w:val="auto"/>
                <w:sz w:val="21"/>
                <w:szCs w:val="21"/>
                <w:highlight w:val="none"/>
              </w:rPr>
              <w:t>陆生动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植物资源、水生生物、生态系统稳定性、占地</w:t>
            </w:r>
            <w:bookmarkEnd w:id="308"/>
            <w:bookmarkEnd w:id="309"/>
            <w:bookmarkEnd w:id="310"/>
            <w:r>
              <w:rPr>
                <w:rFonts w:hint="eastAsia" w:cs="Times New Roman"/>
                <w:color w:val="auto"/>
                <w:sz w:val="21"/>
                <w:szCs w:val="21"/>
                <w:highlight w:val="none"/>
                <w:lang w:eastAsia="zh-CN"/>
              </w:rPr>
              <w:t>、景观、水土流失</w:t>
            </w:r>
            <w:bookmarkEnd w:id="311"/>
            <w:bookmarkEnd w:id="312"/>
          </w:p>
        </w:tc>
      </w:tr>
      <w:tr w14:paraId="13E89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0554DE6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restart"/>
            <w:tcBorders>
              <w:tl2br w:val="nil"/>
              <w:tr2bl w:val="nil"/>
            </w:tcBorders>
            <w:vAlign w:val="center"/>
          </w:tcPr>
          <w:p w14:paraId="37262C2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13" w:name="_Toc11667"/>
            <w:bookmarkStart w:id="314" w:name="_Toc26925"/>
            <w:bookmarkStart w:id="315" w:name="_Toc28342"/>
            <w:bookmarkStart w:id="316" w:name="_Toc12476"/>
            <w:bookmarkStart w:id="317" w:name="_Toc24207"/>
            <w:r>
              <w:rPr>
                <w:rFonts w:hint="default" w:ascii="Times New Roman" w:hAnsi="Times New Roman" w:cs="Times New Roman"/>
                <w:color w:val="auto"/>
                <w:sz w:val="21"/>
                <w:szCs w:val="21"/>
                <w:highlight w:val="none"/>
              </w:rPr>
              <w:t>运营期</w:t>
            </w:r>
            <w:bookmarkEnd w:id="313"/>
            <w:bookmarkEnd w:id="314"/>
            <w:bookmarkEnd w:id="315"/>
            <w:bookmarkEnd w:id="316"/>
            <w:bookmarkEnd w:id="317"/>
          </w:p>
        </w:tc>
        <w:tc>
          <w:tcPr>
            <w:tcW w:w="1527" w:type="dxa"/>
            <w:gridSpan w:val="2"/>
            <w:tcBorders>
              <w:tl2br w:val="nil"/>
              <w:tr2bl w:val="nil"/>
            </w:tcBorders>
            <w:vAlign w:val="center"/>
          </w:tcPr>
          <w:p w14:paraId="7A186CD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18" w:name="_Toc13630"/>
            <w:bookmarkStart w:id="319" w:name="_Toc20971"/>
            <w:bookmarkStart w:id="320" w:name="_Toc17892"/>
            <w:bookmarkStart w:id="321" w:name="_Toc29510"/>
            <w:bookmarkStart w:id="322" w:name="_Toc19219"/>
            <w:r>
              <w:rPr>
                <w:rFonts w:hint="default" w:ascii="Times New Roman" w:hAnsi="Times New Roman" w:cs="Times New Roman"/>
                <w:color w:val="auto"/>
                <w:sz w:val="21"/>
                <w:szCs w:val="21"/>
                <w:highlight w:val="none"/>
              </w:rPr>
              <w:t>声环境</w:t>
            </w:r>
            <w:bookmarkEnd w:id="318"/>
            <w:bookmarkEnd w:id="319"/>
            <w:bookmarkEnd w:id="320"/>
            <w:bookmarkEnd w:id="321"/>
            <w:bookmarkEnd w:id="322"/>
          </w:p>
        </w:tc>
        <w:tc>
          <w:tcPr>
            <w:tcW w:w="6534" w:type="dxa"/>
            <w:tcBorders>
              <w:tl2br w:val="nil"/>
              <w:tr2bl w:val="nil"/>
            </w:tcBorders>
            <w:vAlign w:val="center"/>
          </w:tcPr>
          <w:p w14:paraId="54FE6FD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23" w:name="_Toc19319"/>
            <w:bookmarkStart w:id="324" w:name="_Toc11385"/>
            <w:bookmarkStart w:id="325" w:name="_Toc9741"/>
            <w:r>
              <w:rPr>
                <w:rFonts w:hint="default" w:ascii="Times New Roman" w:hAnsi="Times New Roman" w:cs="Times New Roman"/>
                <w:color w:val="auto"/>
                <w:sz w:val="21"/>
                <w:szCs w:val="21"/>
                <w:highlight w:val="none"/>
              </w:rPr>
              <w:t>等效</w:t>
            </w:r>
            <w:r>
              <w:rPr>
                <w:rFonts w:hint="default" w:ascii="Times New Roman" w:hAnsi="Times New Roman" w:cs="Times New Roman"/>
                <w:color w:val="auto"/>
                <w:sz w:val="21"/>
                <w:szCs w:val="21"/>
                <w:highlight w:val="none"/>
                <w:lang w:val="en-US" w:eastAsia="zh-CN"/>
              </w:rPr>
              <w:t>连续</w:t>
            </w:r>
            <w:r>
              <w:rPr>
                <w:rFonts w:hint="default" w:ascii="Times New Roman" w:hAnsi="Times New Roman" w:cs="Times New Roman"/>
                <w:color w:val="auto"/>
                <w:sz w:val="21"/>
                <w:szCs w:val="21"/>
                <w:highlight w:val="none"/>
              </w:rPr>
              <w:t>A声级</w:t>
            </w:r>
            <w:bookmarkEnd w:id="323"/>
            <w:bookmarkEnd w:id="324"/>
            <w:bookmarkEnd w:id="325"/>
          </w:p>
        </w:tc>
      </w:tr>
      <w:tr w14:paraId="1D261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6680964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7A5E623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15" w:type="dxa"/>
            <w:vMerge w:val="restart"/>
            <w:tcBorders>
              <w:tl2br w:val="nil"/>
              <w:tr2bl w:val="nil"/>
            </w:tcBorders>
            <w:vAlign w:val="center"/>
          </w:tcPr>
          <w:p w14:paraId="19CE027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26" w:name="_Toc29758"/>
            <w:bookmarkStart w:id="327" w:name="_Toc7318"/>
            <w:bookmarkStart w:id="328" w:name="_Toc29805"/>
            <w:bookmarkStart w:id="329" w:name="_Toc31439"/>
            <w:bookmarkStart w:id="330" w:name="_Toc6381"/>
            <w:r>
              <w:rPr>
                <w:rFonts w:hint="default" w:ascii="Times New Roman" w:hAnsi="Times New Roman" w:cs="Times New Roman"/>
                <w:color w:val="auto"/>
                <w:sz w:val="21"/>
                <w:szCs w:val="21"/>
                <w:highlight w:val="none"/>
              </w:rPr>
              <w:t>地表水环境</w:t>
            </w:r>
            <w:bookmarkEnd w:id="326"/>
            <w:bookmarkEnd w:id="327"/>
            <w:bookmarkEnd w:id="328"/>
            <w:bookmarkEnd w:id="329"/>
            <w:bookmarkEnd w:id="330"/>
          </w:p>
        </w:tc>
        <w:tc>
          <w:tcPr>
            <w:tcW w:w="1112" w:type="dxa"/>
            <w:tcBorders>
              <w:tl2br w:val="nil"/>
              <w:tr2bl w:val="nil"/>
            </w:tcBorders>
            <w:vAlign w:val="center"/>
          </w:tcPr>
          <w:p w14:paraId="7680F8E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31" w:name="_Toc10972"/>
            <w:bookmarkStart w:id="332" w:name="_Toc2399"/>
            <w:bookmarkStart w:id="333" w:name="_Toc11951"/>
            <w:bookmarkStart w:id="334" w:name="_Toc20231"/>
            <w:bookmarkStart w:id="335" w:name="_Toc30118"/>
            <w:r>
              <w:rPr>
                <w:rFonts w:hint="default" w:ascii="Times New Roman" w:hAnsi="Times New Roman" w:cs="Times New Roman"/>
                <w:color w:val="auto"/>
                <w:sz w:val="21"/>
                <w:szCs w:val="21"/>
                <w:highlight w:val="none"/>
              </w:rPr>
              <w:t>水质</w:t>
            </w:r>
            <w:bookmarkEnd w:id="331"/>
            <w:bookmarkEnd w:id="332"/>
            <w:bookmarkEnd w:id="333"/>
            <w:bookmarkEnd w:id="334"/>
            <w:bookmarkEnd w:id="335"/>
          </w:p>
        </w:tc>
        <w:tc>
          <w:tcPr>
            <w:tcW w:w="6534" w:type="dxa"/>
            <w:tcBorders>
              <w:tl2br w:val="nil"/>
              <w:tr2bl w:val="nil"/>
            </w:tcBorders>
            <w:vAlign w:val="center"/>
          </w:tcPr>
          <w:p w14:paraId="2D1F401C">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firstLine="420" w:firstLineChars="200"/>
              <w:jc w:val="both"/>
              <w:textAlignment w:val="auto"/>
              <w:rPr>
                <w:rFonts w:hint="default" w:ascii="Times New Roman" w:hAnsi="Times New Roman" w:cs="Times New Roman"/>
                <w:color w:val="auto"/>
                <w:sz w:val="21"/>
                <w:szCs w:val="21"/>
                <w:highlight w:val="none"/>
              </w:rPr>
            </w:pPr>
            <w:bookmarkStart w:id="336" w:name="_Toc15576"/>
            <w:bookmarkStart w:id="337" w:name="_Toc18942"/>
            <w:bookmarkStart w:id="338" w:name="_Toc23925"/>
            <w:bookmarkStart w:id="339" w:name="_Toc12720"/>
            <w:bookmarkStart w:id="340" w:name="_Toc19878"/>
            <w:r>
              <w:rPr>
                <w:rFonts w:hint="default" w:ascii="Times New Roman" w:hAnsi="Times New Roman" w:eastAsia="宋体" w:cs="Times New Roman"/>
                <w:color w:val="auto"/>
                <w:sz w:val="21"/>
                <w:szCs w:val="21"/>
                <w:highlight w:val="none"/>
              </w:rPr>
              <w:t>pH、电导率、透明度、溶解氧、高锰酸盐指数、生化需氧量、氨氮、石油类、总氮、总磷、挥发酚、汞、铅、化学需氧量、铜、锌、氟化物、砷、镉、六价铬、氰化物、阴离子表面活性剂、硫化物、粪大肠菌群、全盐量、氧化还原电位</w:t>
            </w:r>
            <w:bookmarkEnd w:id="336"/>
            <w:bookmarkEnd w:id="337"/>
            <w:bookmarkEnd w:id="338"/>
            <w:bookmarkEnd w:id="339"/>
            <w:bookmarkEnd w:id="340"/>
          </w:p>
        </w:tc>
      </w:tr>
      <w:tr w14:paraId="11C29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6D5717F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6DEF2FC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15" w:type="dxa"/>
            <w:vMerge w:val="continue"/>
            <w:tcBorders>
              <w:tl2br w:val="nil"/>
              <w:tr2bl w:val="nil"/>
            </w:tcBorders>
            <w:vAlign w:val="center"/>
          </w:tcPr>
          <w:p w14:paraId="53AAF8C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112" w:type="dxa"/>
            <w:tcBorders>
              <w:tl2br w:val="nil"/>
              <w:tr2bl w:val="nil"/>
            </w:tcBorders>
            <w:vAlign w:val="center"/>
          </w:tcPr>
          <w:p w14:paraId="33CF05C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41" w:name="_Toc7585"/>
            <w:bookmarkStart w:id="342" w:name="_Toc7522"/>
            <w:bookmarkStart w:id="343" w:name="_Toc8675"/>
            <w:bookmarkStart w:id="344" w:name="_Toc20228"/>
            <w:bookmarkStart w:id="345" w:name="_Toc13823"/>
            <w:r>
              <w:rPr>
                <w:rFonts w:hint="default" w:ascii="Times New Roman" w:hAnsi="Times New Roman" w:cs="Times New Roman"/>
                <w:color w:val="auto"/>
                <w:sz w:val="21"/>
                <w:szCs w:val="21"/>
                <w:highlight w:val="none"/>
              </w:rPr>
              <w:t>水文情势</w:t>
            </w:r>
            <w:bookmarkEnd w:id="341"/>
            <w:bookmarkEnd w:id="342"/>
            <w:bookmarkEnd w:id="343"/>
            <w:bookmarkEnd w:id="344"/>
            <w:bookmarkEnd w:id="345"/>
          </w:p>
        </w:tc>
        <w:tc>
          <w:tcPr>
            <w:tcW w:w="6534" w:type="dxa"/>
            <w:tcBorders>
              <w:tl2br w:val="nil"/>
              <w:tr2bl w:val="nil"/>
            </w:tcBorders>
            <w:vAlign w:val="center"/>
          </w:tcPr>
          <w:p w14:paraId="142F2E8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46" w:name="_Toc30100"/>
            <w:bookmarkStart w:id="347" w:name="_Toc4201"/>
            <w:bookmarkStart w:id="348" w:name="_Toc12050"/>
            <w:bookmarkStart w:id="349" w:name="_Toc25521"/>
            <w:bookmarkStart w:id="350" w:name="_Toc21823"/>
            <w:r>
              <w:rPr>
                <w:rFonts w:hint="default" w:ascii="Times New Roman" w:hAnsi="Times New Roman" w:cs="Times New Roman"/>
                <w:color w:val="auto"/>
                <w:sz w:val="21"/>
                <w:szCs w:val="21"/>
                <w:highlight w:val="none"/>
                <w:lang w:val="en-US" w:eastAsia="zh-CN"/>
              </w:rPr>
              <w:t>水面宽</w:t>
            </w:r>
            <w:r>
              <w:rPr>
                <w:rFonts w:hint="default" w:ascii="Times New Roman" w:hAnsi="Times New Roman" w:cs="Times New Roman"/>
                <w:color w:val="auto"/>
                <w:sz w:val="21"/>
                <w:szCs w:val="21"/>
                <w:highlight w:val="none"/>
              </w:rPr>
              <w:t>、水量、径流过程、水位、水深、流速</w:t>
            </w:r>
            <w:bookmarkEnd w:id="346"/>
            <w:bookmarkEnd w:id="347"/>
            <w:bookmarkEnd w:id="348"/>
            <w:bookmarkEnd w:id="349"/>
            <w:bookmarkEnd w:id="350"/>
          </w:p>
        </w:tc>
      </w:tr>
      <w:tr w14:paraId="2EE03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08DF957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42D1072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27" w:type="dxa"/>
            <w:gridSpan w:val="2"/>
            <w:tcBorders>
              <w:tl2br w:val="nil"/>
              <w:tr2bl w:val="nil"/>
            </w:tcBorders>
            <w:vAlign w:val="center"/>
          </w:tcPr>
          <w:p w14:paraId="756EE93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51" w:name="_Toc15170"/>
            <w:bookmarkStart w:id="352" w:name="_Toc32256"/>
            <w:bookmarkStart w:id="353" w:name="_Toc21366"/>
            <w:bookmarkStart w:id="354" w:name="_Toc21870"/>
            <w:bookmarkStart w:id="355" w:name="_Toc26267"/>
            <w:r>
              <w:rPr>
                <w:rFonts w:hint="default" w:ascii="Times New Roman" w:hAnsi="Times New Roman" w:cs="Times New Roman"/>
                <w:color w:val="auto"/>
                <w:sz w:val="21"/>
                <w:szCs w:val="21"/>
                <w:highlight w:val="none"/>
              </w:rPr>
              <w:t>地下水环境</w:t>
            </w:r>
            <w:bookmarkEnd w:id="351"/>
            <w:bookmarkEnd w:id="352"/>
            <w:bookmarkEnd w:id="353"/>
            <w:bookmarkEnd w:id="354"/>
            <w:bookmarkEnd w:id="355"/>
          </w:p>
        </w:tc>
        <w:tc>
          <w:tcPr>
            <w:tcW w:w="6534" w:type="dxa"/>
            <w:tcBorders>
              <w:tl2br w:val="nil"/>
              <w:tr2bl w:val="nil"/>
            </w:tcBorders>
            <w:vAlign w:val="center"/>
          </w:tcPr>
          <w:p w14:paraId="0EAA857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56" w:name="_Toc2650"/>
            <w:bookmarkStart w:id="357" w:name="_Toc1110"/>
            <w:bookmarkStart w:id="358" w:name="_Toc6992"/>
            <w:bookmarkStart w:id="359" w:name="_Toc27532"/>
            <w:r>
              <w:rPr>
                <w:rFonts w:hint="default" w:ascii="Times New Roman" w:hAnsi="Times New Roman" w:cs="Times New Roman"/>
                <w:b w:val="0"/>
                <w:bCs w:val="0"/>
                <w:i w:val="0"/>
                <w:iCs w:val="0"/>
                <w:color w:val="auto"/>
                <w:sz w:val="21"/>
                <w:szCs w:val="21"/>
                <w:highlight w:val="none"/>
                <w:lang w:val="en-US" w:eastAsia="zh-CN"/>
              </w:rPr>
              <w:t>pH、总硬度、溶解性总固体、硫酸盐、氯化物、铁、锰、铜、锌、挥发性酚类、硝酸盐、亚硝酸盐、氨氮、总大肠菌群、细菌总数、K</w:t>
            </w:r>
            <w:r>
              <w:rPr>
                <w:rFonts w:hint="default" w:ascii="Times New Roman" w:hAnsi="Times New Roman" w:cs="Times New Roman"/>
                <w:b w:val="0"/>
                <w:bCs w:val="0"/>
                <w:i w:val="0"/>
                <w:iCs w:val="0"/>
                <w:color w:val="auto"/>
                <w:sz w:val="21"/>
                <w:szCs w:val="21"/>
                <w:highlight w:val="none"/>
                <w:vertAlign w:val="superscript"/>
                <w:lang w:val="en-US" w:eastAsia="zh-CN"/>
              </w:rPr>
              <w:t>+</w:t>
            </w:r>
            <w:r>
              <w:rPr>
                <w:rFonts w:hint="default" w:ascii="Times New Roman" w:hAnsi="Times New Roman" w:cs="Times New Roman"/>
                <w:b w:val="0"/>
                <w:bCs w:val="0"/>
                <w:i w:val="0"/>
                <w:iCs w:val="0"/>
                <w:color w:val="auto"/>
                <w:sz w:val="21"/>
                <w:szCs w:val="21"/>
                <w:highlight w:val="none"/>
                <w:lang w:val="en-US" w:eastAsia="zh-CN"/>
              </w:rPr>
              <w:t>、Na</w:t>
            </w:r>
            <w:r>
              <w:rPr>
                <w:rFonts w:hint="default" w:ascii="Times New Roman" w:hAnsi="Times New Roman" w:cs="Times New Roman"/>
                <w:b w:val="0"/>
                <w:bCs w:val="0"/>
                <w:i w:val="0"/>
                <w:iCs w:val="0"/>
                <w:color w:val="auto"/>
                <w:sz w:val="21"/>
                <w:szCs w:val="21"/>
                <w:highlight w:val="none"/>
                <w:vertAlign w:val="superscript"/>
                <w:lang w:val="en-US" w:eastAsia="zh-CN"/>
              </w:rPr>
              <w:t>+</w:t>
            </w:r>
            <w:r>
              <w:rPr>
                <w:rFonts w:hint="default" w:ascii="Times New Roman" w:hAnsi="Times New Roman" w:cs="Times New Roman"/>
                <w:b w:val="0"/>
                <w:bCs w:val="0"/>
                <w:i w:val="0"/>
                <w:iCs w:val="0"/>
                <w:color w:val="auto"/>
                <w:sz w:val="21"/>
                <w:szCs w:val="21"/>
                <w:highlight w:val="none"/>
                <w:lang w:val="en-US" w:eastAsia="zh-CN"/>
              </w:rPr>
              <w:t>、Ca</w:t>
            </w:r>
            <w:r>
              <w:rPr>
                <w:rFonts w:hint="default" w:ascii="Times New Roman" w:hAnsi="Times New Roman" w:cs="Times New Roman"/>
                <w:b w:val="0"/>
                <w:bCs w:val="0"/>
                <w:i w:val="0"/>
                <w:iCs w:val="0"/>
                <w:color w:val="auto"/>
                <w:sz w:val="21"/>
                <w:szCs w:val="21"/>
                <w:highlight w:val="none"/>
                <w:vertAlign w:val="superscript"/>
                <w:lang w:val="en-US" w:eastAsia="zh-CN"/>
              </w:rPr>
              <w:t>2+</w:t>
            </w:r>
            <w:r>
              <w:rPr>
                <w:rFonts w:hint="default" w:ascii="Times New Roman" w:hAnsi="Times New Roman" w:cs="Times New Roman"/>
                <w:b w:val="0"/>
                <w:bCs w:val="0"/>
                <w:i w:val="0"/>
                <w:iCs w:val="0"/>
                <w:color w:val="auto"/>
                <w:sz w:val="21"/>
                <w:szCs w:val="21"/>
                <w:highlight w:val="none"/>
                <w:lang w:val="en-US" w:eastAsia="zh-CN"/>
              </w:rPr>
              <w:t>、Mg</w:t>
            </w:r>
            <w:r>
              <w:rPr>
                <w:rFonts w:hint="default" w:ascii="Times New Roman" w:hAnsi="Times New Roman" w:cs="Times New Roman"/>
                <w:b w:val="0"/>
                <w:bCs w:val="0"/>
                <w:i w:val="0"/>
                <w:iCs w:val="0"/>
                <w:color w:val="auto"/>
                <w:sz w:val="21"/>
                <w:szCs w:val="21"/>
                <w:highlight w:val="none"/>
                <w:vertAlign w:val="superscript"/>
                <w:lang w:val="en-US" w:eastAsia="zh-CN"/>
              </w:rPr>
              <w:t>2+</w:t>
            </w:r>
            <w:r>
              <w:rPr>
                <w:rFonts w:hint="default" w:ascii="Times New Roman" w:hAnsi="Times New Roman" w:cs="Times New Roman"/>
                <w:b w:val="0"/>
                <w:bCs w:val="0"/>
                <w:i w:val="0"/>
                <w:iCs w:val="0"/>
                <w:color w:val="auto"/>
                <w:sz w:val="21"/>
                <w:szCs w:val="21"/>
                <w:highlight w:val="none"/>
                <w:lang w:val="en-US" w:eastAsia="zh-CN"/>
              </w:rPr>
              <w:t>、HCO</w:t>
            </w:r>
            <w:r>
              <w:rPr>
                <w:rFonts w:hint="default" w:ascii="Times New Roman" w:hAnsi="Times New Roman" w:cs="Times New Roman"/>
                <w:b w:val="0"/>
                <w:bCs w:val="0"/>
                <w:i w:val="0"/>
                <w:iCs w:val="0"/>
                <w:color w:val="auto"/>
                <w:sz w:val="21"/>
                <w:szCs w:val="21"/>
                <w:highlight w:val="none"/>
                <w:vertAlign w:val="subscript"/>
                <w:lang w:val="en-US" w:eastAsia="zh-CN"/>
              </w:rPr>
              <w:t>3</w:t>
            </w:r>
            <w:r>
              <w:rPr>
                <w:rFonts w:hint="default" w:ascii="Times New Roman" w:hAnsi="Times New Roman" w:cs="Times New Roman"/>
                <w:b w:val="0"/>
                <w:bCs w:val="0"/>
                <w:i w:val="0"/>
                <w:iCs w:val="0"/>
                <w:color w:val="auto"/>
                <w:sz w:val="21"/>
                <w:szCs w:val="21"/>
                <w:highlight w:val="none"/>
                <w:vertAlign w:val="superscript"/>
                <w:lang w:val="en-US" w:eastAsia="zh-CN"/>
              </w:rPr>
              <w:t>-</w:t>
            </w:r>
            <w:r>
              <w:rPr>
                <w:rFonts w:hint="default" w:ascii="Times New Roman" w:hAnsi="Times New Roman" w:cs="Times New Roman"/>
                <w:b w:val="0"/>
                <w:bCs w:val="0"/>
                <w:i w:val="0"/>
                <w:iCs w:val="0"/>
                <w:color w:val="auto"/>
                <w:sz w:val="21"/>
                <w:szCs w:val="21"/>
                <w:highlight w:val="none"/>
                <w:lang w:val="en-US" w:eastAsia="zh-CN"/>
              </w:rPr>
              <w:t>、CO</w:t>
            </w:r>
            <w:r>
              <w:rPr>
                <w:rFonts w:hint="default" w:ascii="Times New Roman" w:hAnsi="Times New Roman" w:cs="Times New Roman"/>
                <w:b w:val="0"/>
                <w:bCs w:val="0"/>
                <w:i w:val="0"/>
                <w:iCs w:val="0"/>
                <w:color w:val="auto"/>
                <w:sz w:val="21"/>
                <w:szCs w:val="21"/>
                <w:highlight w:val="none"/>
                <w:vertAlign w:val="subscript"/>
                <w:lang w:val="en-US" w:eastAsia="zh-CN"/>
              </w:rPr>
              <w:t>3</w:t>
            </w:r>
            <w:r>
              <w:rPr>
                <w:rFonts w:hint="default" w:ascii="Times New Roman" w:hAnsi="Times New Roman" w:cs="Times New Roman"/>
                <w:b w:val="0"/>
                <w:bCs w:val="0"/>
                <w:i w:val="0"/>
                <w:iCs w:val="0"/>
                <w:color w:val="auto"/>
                <w:sz w:val="21"/>
                <w:szCs w:val="21"/>
                <w:highlight w:val="none"/>
                <w:vertAlign w:val="superscript"/>
                <w:lang w:val="en-US" w:eastAsia="zh-CN"/>
              </w:rPr>
              <w:t>2-</w:t>
            </w:r>
            <w:r>
              <w:rPr>
                <w:rFonts w:hint="default" w:ascii="Times New Roman" w:hAnsi="Times New Roman" w:cs="Times New Roman"/>
                <w:b w:val="0"/>
                <w:bCs w:val="0"/>
                <w:i w:val="0"/>
                <w:iCs w:val="0"/>
                <w:color w:val="auto"/>
                <w:sz w:val="21"/>
                <w:szCs w:val="21"/>
                <w:highlight w:val="none"/>
                <w:lang w:val="en-US" w:eastAsia="zh-CN"/>
              </w:rPr>
              <w:t>、氰化物、砷、汞、铬（六价）、铅、氟化物</w:t>
            </w:r>
            <w:bookmarkEnd w:id="356"/>
            <w:bookmarkEnd w:id="357"/>
            <w:bookmarkEnd w:id="358"/>
            <w:bookmarkEnd w:id="359"/>
          </w:p>
        </w:tc>
      </w:tr>
      <w:tr w14:paraId="66FCC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63" w:type="dxa"/>
            <w:vMerge w:val="continue"/>
            <w:tcBorders>
              <w:tl2br w:val="nil"/>
              <w:tr2bl w:val="nil"/>
            </w:tcBorders>
            <w:vAlign w:val="center"/>
          </w:tcPr>
          <w:p w14:paraId="04125A9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01310B6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15" w:type="dxa"/>
            <w:vMerge w:val="restart"/>
            <w:tcBorders>
              <w:tl2br w:val="nil"/>
              <w:tr2bl w:val="nil"/>
            </w:tcBorders>
            <w:vAlign w:val="center"/>
          </w:tcPr>
          <w:p w14:paraId="1CFCDD8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60" w:name="_Toc1636"/>
            <w:bookmarkStart w:id="361" w:name="_Toc24100"/>
            <w:bookmarkStart w:id="362" w:name="_Toc16682"/>
            <w:bookmarkStart w:id="363" w:name="_Toc28439"/>
            <w:bookmarkStart w:id="364" w:name="_Toc10190"/>
            <w:r>
              <w:rPr>
                <w:rFonts w:hint="default" w:ascii="Times New Roman" w:hAnsi="Times New Roman" w:cs="Times New Roman"/>
                <w:color w:val="auto"/>
                <w:sz w:val="21"/>
                <w:szCs w:val="21"/>
                <w:highlight w:val="none"/>
              </w:rPr>
              <w:t>生态环境</w:t>
            </w:r>
            <w:bookmarkEnd w:id="360"/>
            <w:bookmarkEnd w:id="361"/>
            <w:bookmarkEnd w:id="362"/>
            <w:bookmarkEnd w:id="363"/>
            <w:bookmarkEnd w:id="364"/>
          </w:p>
        </w:tc>
        <w:tc>
          <w:tcPr>
            <w:tcW w:w="1112" w:type="dxa"/>
            <w:tcBorders>
              <w:tl2br w:val="nil"/>
              <w:tr2bl w:val="nil"/>
            </w:tcBorders>
            <w:vAlign w:val="center"/>
          </w:tcPr>
          <w:p w14:paraId="4D8F72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65" w:name="_Toc3346"/>
            <w:bookmarkStart w:id="366" w:name="_Toc15539"/>
            <w:bookmarkStart w:id="367" w:name="_Toc15782"/>
            <w:bookmarkStart w:id="368" w:name="_Toc7165"/>
            <w:bookmarkStart w:id="369" w:name="_Toc9574"/>
            <w:r>
              <w:rPr>
                <w:rFonts w:hint="default" w:ascii="Times New Roman" w:hAnsi="Times New Roman" w:cs="Times New Roman"/>
                <w:color w:val="auto"/>
                <w:sz w:val="21"/>
                <w:szCs w:val="21"/>
                <w:highlight w:val="none"/>
              </w:rPr>
              <w:t>生物</w:t>
            </w:r>
            <w:bookmarkEnd w:id="365"/>
            <w:bookmarkEnd w:id="366"/>
            <w:bookmarkEnd w:id="367"/>
            <w:bookmarkEnd w:id="368"/>
            <w:bookmarkEnd w:id="369"/>
          </w:p>
        </w:tc>
        <w:tc>
          <w:tcPr>
            <w:tcW w:w="6534" w:type="dxa"/>
            <w:tcBorders>
              <w:tl2br w:val="nil"/>
              <w:tr2bl w:val="nil"/>
            </w:tcBorders>
            <w:vAlign w:val="center"/>
          </w:tcPr>
          <w:p w14:paraId="7128A669">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370" w:name="_Toc15990"/>
            <w:r>
              <w:rPr>
                <w:rFonts w:hint="default" w:ascii="Times New Roman" w:hAnsi="Times New Roman" w:cs="Times New Roman"/>
                <w:color w:val="auto"/>
                <w:sz w:val="21"/>
                <w:szCs w:val="21"/>
                <w:highlight w:val="none"/>
              </w:rPr>
              <w:t>陆生动植物资源</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生物量、</w:t>
            </w:r>
            <w:r>
              <w:rPr>
                <w:rFonts w:hint="default" w:ascii="Times New Roman" w:hAnsi="Times New Roman" w:cs="Times New Roman"/>
                <w:color w:val="auto"/>
                <w:sz w:val="21"/>
                <w:szCs w:val="21"/>
                <w:highlight w:val="none"/>
              </w:rPr>
              <w:t>水生生物</w:t>
            </w:r>
            <w:bookmarkEnd w:id="370"/>
          </w:p>
        </w:tc>
      </w:tr>
      <w:tr w14:paraId="4CC86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53C8E54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62EC5E9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15" w:type="dxa"/>
            <w:vMerge w:val="continue"/>
            <w:tcBorders>
              <w:tl2br w:val="nil"/>
              <w:tr2bl w:val="nil"/>
            </w:tcBorders>
            <w:vAlign w:val="center"/>
          </w:tcPr>
          <w:p w14:paraId="3F2F6F0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112" w:type="dxa"/>
            <w:tcBorders>
              <w:tl2br w:val="nil"/>
              <w:tr2bl w:val="nil"/>
            </w:tcBorders>
            <w:vAlign w:val="center"/>
          </w:tcPr>
          <w:p w14:paraId="22BCC5F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71" w:name="_Toc17205"/>
            <w:bookmarkStart w:id="372" w:name="_Toc11038"/>
            <w:bookmarkStart w:id="373" w:name="_Toc9182"/>
            <w:bookmarkStart w:id="374" w:name="_Toc24460"/>
            <w:bookmarkStart w:id="375" w:name="_Toc29706"/>
            <w:r>
              <w:rPr>
                <w:rFonts w:hint="default" w:ascii="Times New Roman" w:hAnsi="Times New Roman" w:cs="Times New Roman"/>
                <w:color w:val="auto"/>
                <w:sz w:val="21"/>
                <w:szCs w:val="21"/>
                <w:highlight w:val="none"/>
              </w:rPr>
              <w:t>生态</w:t>
            </w:r>
            <w:bookmarkEnd w:id="371"/>
            <w:bookmarkEnd w:id="372"/>
            <w:bookmarkEnd w:id="373"/>
            <w:bookmarkEnd w:id="374"/>
            <w:bookmarkEnd w:id="375"/>
          </w:p>
          <w:p w14:paraId="274633C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76" w:name="_Toc19736"/>
            <w:bookmarkStart w:id="377" w:name="_Toc209"/>
            <w:bookmarkStart w:id="378" w:name="_Toc29588"/>
            <w:bookmarkStart w:id="379" w:name="_Toc15327"/>
            <w:bookmarkStart w:id="380" w:name="_Toc20866"/>
            <w:r>
              <w:rPr>
                <w:rFonts w:hint="default" w:ascii="Times New Roman" w:hAnsi="Times New Roman" w:cs="Times New Roman"/>
                <w:color w:val="auto"/>
                <w:sz w:val="21"/>
                <w:szCs w:val="21"/>
                <w:highlight w:val="none"/>
              </w:rPr>
              <w:t>系统</w:t>
            </w:r>
            <w:bookmarkEnd w:id="376"/>
            <w:bookmarkEnd w:id="377"/>
            <w:bookmarkEnd w:id="378"/>
            <w:bookmarkEnd w:id="379"/>
            <w:bookmarkEnd w:id="380"/>
          </w:p>
        </w:tc>
        <w:tc>
          <w:tcPr>
            <w:tcW w:w="6534" w:type="dxa"/>
            <w:tcBorders>
              <w:tl2br w:val="nil"/>
              <w:tr2bl w:val="nil"/>
            </w:tcBorders>
            <w:vAlign w:val="center"/>
          </w:tcPr>
          <w:p w14:paraId="23EB3856">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381" w:name="_Toc1591"/>
            <w:r>
              <w:rPr>
                <w:rFonts w:hint="default" w:ascii="Times New Roman" w:hAnsi="Times New Roman" w:cs="Times New Roman"/>
                <w:color w:val="auto"/>
                <w:sz w:val="21"/>
                <w:szCs w:val="21"/>
                <w:highlight w:val="none"/>
                <w:lang w:val="en-US" w:eastAsia="zh-CN"/>
              </w:rPr>
              <w:t>生态系统多样性、完整性</w:t>
            </w:r>
            <w:bookmarkEnd w:id="381"/>
          </w:p>
        </w:tc>
      </w:tr>
      <w:tr w14:paraId="476C4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3" w:type="dxa"/>
            <w:vMerge w:val="continue"/>
            <w:tcBorders>
              <w:tl2br w:val="nil"/>
              <w:tr2bl w:val="nil"/>
            </w:tcBorders>
            <w:vAlign w:val="center"/>
          </w:tcPr>
          <w:p w14:paraId="270DC80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55" w:type="dxa"/>
            <w:vMerge w:val="continue"/>
            <w:tcBorders>
              <w:tl2br w:val="nil"/>
              <w:tr2bl w:val="nil"/>
            </w:tcBorders>
            <w:vAlign w:val="center"/>
          </w:tcPr>
          <w:p w14:paraId="7A12D21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27" w:type="dxa"/>
            <w:gridSpan w:val="2"/>
            <w:tcBorders>
              <w:tl2br w:val="nil"/>
              <w:tr2bl w:val="nil"/>
            </w:tcBorders>
            <w:vAlign w:val="center"/>
          </w:tcPr>
          <w:p w14:paraId="7C85557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82" w:name="_Toc30830"/>
            <w:bookmarkStart w:id="383" w:name="_Toc7116"/>
            <w:bookmarkStart w:id="384" w:name="_Toc8704"/>
            <w:bookmarkStart w:id="385" w:name="_Toc10053"/>
            <w:bookmarkStart w:id="386" w:name="_Toc2975"/>
            <w:r>
              <w:rPr>
                <w:rFonts w:hint="default" w:ascii="Times New Roman" w:hAnsi="Times New Roman" w:cs="Times New Roman"/>
                <w:color w:val="auto"/>
                <w:sz w:val="21"/>
                <w:szCs w:val="21"/>
                <w:highlight w:val="none"/>
              </w:rPr>
              <w:t>社会环境</w:t>
            </w:r>
            <w:bookmarkEnd w:id="382"/>
            <w:bookmarkEnd w:id="383"/>
            <w:bookmarkEnd w:id="384"/>
            <w:bookmarkEnd w:id="385"/>
            <w:bookmarkEnd w:id="386"/>
          </w:p>
        </w:tc>
        <w:tc>
          <w:tcPr>
            <w:tcW w:w="6534" w:type="dxa"/>
            <w:tcBorders>
              <w:tl2br w:val="nil"/>
              <w:tr2bl w:val="nil"/>
            </w:tcBorders>
            <w:vAlign w:val="center"/>
          </w:tcPr>
          <w:p w14:paraId="02E41B2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87" w:name="_Toc208"/>
            <w:bookmarkStart w:id="388" w:name="_Toc5638"/>
            <w:bookmarkStart w:id="389" w:name="_Toc8454"/>
            <w:bookmarkStart w:id="390" w:name="_Toc22324"/>
            <w:bookmarkStart w:id="391" w:name="_Toc27050"/>
            <w:r>
              <w:rPr>
                <w:rFonts w:hint="default" w:ascii="Times New Roman" w:hAnsi="Times New Roman" w:cs="Times New Roman"/>
                <w:color w:val="auto"/>
                <w:sz w:val="21"/>
                <w:szCs w:val="21"/>
                <w:highlight w:val="none"/>
              </w:rPr>
              <w:t>区域社会经济可持续发展</w:t>
            </w:r>
            <w:bookmarkEnd w:id="387"/>
            <w:bookmarkEnd w:id="388"/>
            <w:bookmarkEnd w:id="389"/>
            <w:bookmarkEnd w:id="390"/>
            <w:bookmarkEnd w:id="391"/>
          </w:p>
        </w:tc>
      </w:tr>
      <w:bookmarkEnd w:id="185"/>
      <w:bookmarkEnd w:id="186"/>
    </w:tbl>
    <w:p w14:paraId="44FAC1B3">
      <w:pPr>
        <w:pStyle w:val="4"/>
        <w:rPr>
          <w:rFonts w:hint="default" w:ascii="Times New Roman" w:hAnsi="Times New Roman" w:cs="Times New Roman"/>
          <w:color w:val="auto"/>
          <w:sz w:val="28"/>
          <w:szCs w:val="28"/>
          <w:highlight w:val="none"/>
        </w:rPr>
      </w:pPr>
      <w:bookmarkStart w:id="392" w:name="_Toc10171"/>
      <w:bookmarkStart w:id="393" w:name="_Toc15134"/>
      <w:bookmarkStart w:id="394" w:name="_Toc147"/>
      <w:bookmarkStart w:id="395" w:name="_Toc27887"/>
      <w:bookmarkStart w:id="396" w:name="_Toc12506"/>
      <w:r>
        <w:rPr>
          <w:rFonts w:hint="default" w:ascii="Times New Roman" w:hAnsi="Times New Roman" w:cs="Times New Roman"/>
          <w:color w:val="auto"/>
          <w:sz w:val="28"/>
          <w:szCs w:val="28"/>
          <w:highlight w:val="none"/>
        </w:rPr>
        <w:t>1.4评价标准</w:t>
      </w:r>
      <w:bookmarkEnd w:id="392"/>
      <w:bookmarkEnd w:id="393"/>
      <w:bookmarkEnd w:id="394"/>
      <w:bookmarkEnd w:id="395"/>
      <w:bookmarkEnd w:id="396"/>
    </w:p>
    <w:p w14:paraId="2243845F">
      <w:pPr>
        <w:pStyle w:val="6"/>
        <w:rPr>
          <w:rFonts w:hint="default" w:ascii="Times New Roman" w:hAnsi="Times New Roman" w:cs="Times New Roman"/>
          <w:color w:val="auto"/>
          <w:sz w:val="28"/>
          <w:szCs w:val="28"/>
          <w:highlight w:val="none"/>
        </w:rPr>
      </w:pPr>
      <w:bookmarkStart w:id="397" w:name="_Toc26745"/>
      <w:bookmarkStart w:id="398" w:name="_Toc19840"/>
      <w:bookmarkStart w:id="399" w:name="_Toc10650"/>
      <w:r>
        <w:rPr>
          <w:rFonts w:hint="default" w:ascii="Times New Roman" w:hAnsi="Times New Roman" w:cs="Times New Roman"/>
          <w:color w:val="auto"/>
          <w:sz w:val="28"/>
          <w:szCs w:val="28"/>
          <w:highlight w:val="none"/>
        </w:rPr>
        <w:t>1.4.1环境质量标准</w:t>
      </w:r>
      <w:bookmarkEnd w:id="397"/>
      <w:bookmarkEnd w:id="398"/>
      <w:bookmarkEnd w:id="399"/>
    </w:p>
    <w:p w14:paraId="3ADF95F5">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（1）环境空气质量标准</w:t>
      </w:r>
    </w:p>
    <w:p w14:paraId="36BD2277">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工程所处区域属于农村地区，属于二类环境空气质量功能区，执行《环境空气质量标准》（GB3095-2012）中二级标准。具体值见表1.4-1。</w:t>
      </w:r>
    </w:p>
    <w:p w14:paraId="5DE0E3BA">
      <w:pP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表1.4-1《环境空气质量标准》</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GB3095-2012</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单位：μg/m</w:t>
      </w:r>
      <w:r>
        <w:rPr>
          <w:rFonts w:hint="default" w:ascii="Times New Roman" w:hAnsi="Times New Roman" w:cs="Times New Roman"/>
          <w:b/>
          <w:bCs/>
          <w:color w:val="auto"/>
          <w:sz w:val="24"/>
          <w:szCs w:val="24"/>
          <w:highlight w:val="none"/>
          <w:vertAlign w:val="superscript"/>
        </w:rPr>
        <w:t>3</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2719"/>
        <w:gridCol w:w="2086"/>
        <w:gridCol w:w="2146"/>
      </w:tblGrid>
      <w:tr w14:paraId="3788A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tcBorders>
              <w:tl2br w:val="nil"/>
              <w:tr2bl w:val="nil"/>
            </w:tcBorders>
            <w:vAlign w:val="center"/>
          </w:tcPr>
          <w:p w14:paraId="676785D2">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00" w:name="_Toc20061"/>
            <w:bookmarkStart w:id="401" w:name="_Toc9126"/>
            <w:bookmarkStart w:id="402" w:name="_Toc6577"/>
            <w:bookmarkStart w:id="403" w:name="_Toc16504"/>
            <w:bookmarkStart w:id="404" w:name="_Toc19039"/>
            <w:r>
              <w:rPr>
                <w:rFonts w:hint="default" w:ascii="Times New Roman" w:hAnsi="Times New Roman" w:cs="Times New Roman"/>
                <w:b/>
                <w:bCs/>
                <w:color w:val="auto"/>
                <w:sz w:val="21"/>
                <w:szCs w:val="21"/>
                <w:highlight w:val="none"/>
              </w:rPr>
              <w:t>评价因子</w:t>
            </w:r>
            <w:bookmarkEnd w:id="400"/>
            <w:bookmarkEnd w:id="401"/>
            <w:bookmarkEnd w:id="402"/>
            <w:bookmarkEnd w:id="403"/>
            <w:bookmarkEnd w:id="404"/>
          </w:p>
        </w:tc>
        <w:tc>
          <w:tcPr>
            <w:tcW w:w="1595" w:type="pct"/>
            <w:tcBorders>
              <w:tl2br w:val="nil"/>
              <w:tr2bl w:val="nil"/>
            </w:tcBorders>
            <w:vAlign w:val="center"/>
          </w:tcPr>
          <w:p w14:paraId="6B7A5C8C">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05" w:name="_Toc20854"/>
            <w:bookmarkStart w:id="406" w:name="_Toc13911"/>
            <w:bookmarkStart w:id="407" w:name="_Toc10550"/>
            <w:bookmarkStart w:id="408" w:name="_Toc5480"/>
            <w:bookmarkStart w:id="409" w:name="_Toc1779"/>
            <w:r>
              <w:rPr>
                <w:rFonts w:hint="default" w:ascii="Times New Roman" w:hAnsi="Times New Roman" w:cs="Times New Roman"/>
                <w:b/>
                <w:bCs/>
                <w:color w:val="auto"/>
                <w:sz w:val="21"/>
                <w:szCs w:val="21"/>
                <w:highlight w:val="none"/>
              </w:rPr>
              <w:t>平均时间</w:t>
            </w:r>
            <w:bookmarkEnd w:id="405"/>
            <w:bookmarkEnd w:id="406"/>
            <w:bookmarkEnd w:id="407"/>
            <w:bookmarkEnd w:id="408"/>
            <w:bookmarkEnd w:id="409"/>
          </w:p>
        </w:tc>
        <w:tc>
          <w:tcPr>
            <w:tcW w:w="1224" w:type="pct"/>
            <w:tcBorders>
              <w:tl2br w:val="nil"/>
              <w:tr2bl w:val="nil"/>
            </w:tcBorders>
            <w:vAlign w:val="center"/>
          </w:tcPr>
          <w:p w14:paraId="502B1F91">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10" w:name="_Toc56"/>
            <w:bookmarkStart w:id="411" w:name="_Toc25440"/>
            <w:bookmarkStart w:id="412" w:name="_Toc20119"/>
            <w:bookmarkStart w:id="413" w:name="_Toc11220"/>
            <w:bookmarkStart w:id="414" w:name="_Toc6337"/>
            <w:r>
              <w:rPr>
                <w:rFonts w:hint="default" w:ascii="Times New Roman" w:hAnsi="Times New Roman" w:cs="Times New Roman"/>
                <w:b/>
                <w:bCs/>
                <w:color w:val="auto"/>
                <w:sz w:val="21"/>
                <w:szCs w:val="21"/>
                <w:highlight w:val="none"/>
              </w:rPr>
              <w:t>浓度限值（二级）</w:t>
            </w:r>
            <w:bookmarkEnd w:id="410"/>
            <w:bookmarkEnd w:id="411"/>
            <w:bookmarkEnd w:id="412"/>
            <w:bookmarkEnd w:id="413"/>
            <w:bookmarkEnd w:id="414"/>
          </w:p>
        </w:tc>
        <w:tc>
          <w:tcPr>
            <w:tcW w:w="1259" w:type="pct"/>
            <w:tcBorders>
              <w:tl2br w:val="nil"/>
              <w:tr2bl w:val="nil"/>
            </w:tcBorders>
            <w:vAlign w:val="center"/>
          </w:tcPr>
          <w:p w14:paraId="29ABC5C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15" w:name="_Toc19972"/>
            <w:bookmarkStart w:id="416" w:name="_Toc30154"/>
            <w:bookmarkStart w:id="417" w:name="_Toc20631"/>
            <w:bookmarkStart w:id="418" w:name="_Toc5117"/>
            <w:bookmarkStart w:id="419" w:name="_Toc27404"/>
            <w:r>
              <w:rPr>
                <w:rFonts w:hint="default" w:ascii="Times New Roman" w:hAnsi="Times New Roman" w:cs="Times New Roman"/>
                <w:b/>
                <w:bCs/>
                <w:color w:val="auto"/>
                <w:sz w:val="21"/>
                <w:szCs w:val="21"/>
                <w:highlight w:val="none"/>
              </w:rPr>
              <w:t>备注</w:t>
            </w:r>
            <w:bookmarkEnd w:id="415"/>
            <w:bookmarkEnd w:id="416"/>
            <w:bookmarkEnd w:id="417"/>
            <w:bookmarkEnd w:id="418"/>
            <w:bookmarkEnd w:id="419"/>
          </w:p>
        </w:tc>
      </w:tr>
      <w:tr w14:paraId="212A7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restart"/>
            <w:tcBorders>
              <w:tl2br w:val="nil"/>
              <w:tr2bl w:val="nil"/>
            </w:tcBorders>
            <w:vAlign w:val="center"/>
          </w:tcPr>
          <w:p w14:paraId="4D1BEB0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20" w:name="_Toc22484"/>
            <w:bookmarkStart w:id="421" w:name="_Toc3935"/>
            <w:bookmarkStart w:id="422" w:name="_Toc9589"/>
            <w:bookmarkStart w:id="423" w:name="_Toc5536"/>
            <w:bookmarkStart w:id="424" w:name="_Toc28119"/>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bookmarkEnd w:id="420"/>
            <w:bookmarkEnd w:id="421"/>
            <w:bookmarkEnd w:id="422"/>
            <w:bookmarkEnd w:id="423"/>
            <w:bookmarkEnd w:id="424"/>
          </w:p>
        </w:tc>
        <w:tc>
          <w:tcPr>
            <w:tcW w:w="1595" w:type="pct"/>
            <w:tcBorders>
              <w:tl2br w:val="nil"/>
              <w:tr2bl w:val="nil"/>
            </w:tcBorders>
            <w:vAlign w:val="center"/>
          </w:tcPr>
          <w:p w14:paraId="1412330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25" w:name="_Toc21707"/>
            <w:bookmarkStart w:id="426" w:name="_Toc11811"/>
            <w:bookmarkStart w:id="427" w:name="_Toc16400"/>
            <w:bookmarkStart w:id="428" w:name="_Toc8997"/>
            <w:bookmarkStart w:id="429" w:name="_Toc249"/>
            <w:r>
              <w:rPr>
                <w:rFonts w:hint="default" w:ascii="Times New Roman" w:hAnsi="Times New Roman" w:cs="Times New Roman"/>
                <w:color w:val="auto"/>
                <w:sz w:val="21"/>
                <w:szCs w:val="21"/>
                <w:highlight w:val="none"/>
              </w:rPr>
              <w:t>年平均</w:t>
            </w:r>
            <w:bookmarkEnd w:id="425"/>
            <w:bookmarkEnd w:id="426"/>
            <w:bookmarkEnd w:id="427"/>
            <w:bookmarkEnd w:id="428"/>
            <w:bookmarkEnd w:id="429"/>
          </w:p>
        </w:tc>
        <w:tc>
          <w:tcPr>
            <w:tcW w:w="1224" w:type="pct"/>
            <w:tcBorders>
              <w:tl2br w:val="nil"/>
              <w:tr2bl w:val="nil"/>
            </w:tcBorders>
            <w:vAlign w:val="center"/>
          </w:tcPr>
          <w:p w14:paraId="6DAD16B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30" w:name="_Toc3100"/>
            <w:bookmarkStart w:id="431" w:name="_Toc17607"/>
            <w:bookmarkStart w:id="432" w:name="_Toc7817"/>
            <w:bookmarkStart w:id="433" w:name="_Toc11155"/>
            <w:bookmarkStart w:id="434" w:name="_Toc2587"/>
            <w:r>
              <w:rPr>
                <w:rFonts w:hint="default" w:ascii="Times New Roman" w:hAnsi="Times New Roman" w:cs="Times New Roman"/>
                <w:color w:val="auto"/>
                <w:sz w:val="21"/>
                <w:szCs w:val="21"/>
                <w:highlight w:val="none"/>
              </w:rPr>
              <w:t>60</w:t>
            </w:r>
            <w:bookmarkEnd w:id="430"/>
            <w:bookmarkEnd w:id="431"/>
            <w:bookmarkEnd w:id="432"/>
            <w:bookmarkEnd w:id="433"/>
            <w:bookmarkEnd w:id="434"/>
          </w:p>
        </w:tc>
        <w:tc>
          <w:tcPr>
            <w:tcW w:w="1259" w:type="pct"/>
            <w:vMerge w:val="restart"/>
            <w:tcBorders>
              <w:tl2br w:val="nil"/>
              <w:tr2bl w:val="nil"/>
            </w:tcBorders>
            <w:vAlign w:val="center"/>
          </w:tcPr>
          <w:p w14:paraId="0065E5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35" w:name="_Toc1144"/>
            <w:bookmarkStart w:id="436" w:name="_Toc16579"/>
            <w:bookmarkStart w:id="437" w:name="_Toc28915"/>
            <w:bookmarkStart w:id="438" w:name="_Toc15852"/>
            <w:bookmarkStart w:id="439" w:name="_Toc5568"/>
            <w:r>
              <w:rPr>
                <w:rFonts w:hint="default" w:ascii="Times New Roman" w:hAnsi="Times New Roman" w:cs="Times New Roman"/>
                <w:color w:val="auto"/>
                <w:sz w:val="21"/>
                <w:szCs w:val="21"/>
                <w:highlight w:val="none"/>
              </w:rPr>
              <w:t>《环境空气质量标准》（GB3095-2012）二级标准</w:t>
            </w:r>
            <w:bookmarkEnd w:id="435"/>
            <w:bookmarkEnd w:id="436"/>
            <w:bookmarkEnd w:id="437"/>
            <w:bookmarkEnd w:id="438"/>
            <w:bookmarkEnd w:id="439"/>
          </w:p>
        </w:tc>
      </w:tr>
      <w:tr w14:paraId="30B79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7706627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63235C9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40" w:name="_Toc6560"/>
            <w:bookmarkStart w:id="441" w:name="_Toc32460"/>
            <w:bookmarkStart w:id="442" w:name="_Toc984"/>
            <w:bookmarkStart w:id="443" w:name="_Toc1447"/>
            <w:bookmarkStart w:id="444" w:name="_Toc15095"/>
            <w:r>
              <w:rPr>
                <w:rFonts w:hint="default" w:ascii="Times New Roman" w:hAnsi="Times New Roman" w:cs="Times New Roman"/>
                <w:color w:val="auto"/>
                <w:sz w:val="21"/>
                <w:szCs w:val="21"/>
                <w:highlight w:val="none"/>
              </w:rPr>
              <w:t>24小时</w:t>
            </w:r>
            <w:bookmarkEnd w:id="440"/>
            <w:bookmarkEnd w:id="441"/>
            <w:bookmarkEnd w:id="442"/>
            <w:bookmarkEnd w:id="443"/>
            <w:bookmarkEnd w:id="444"/>
          </w:p>
        </w:tc>
        <w:tc>
          <w:tcPr>
            <w:tcW w:w="1224" w:type="pct"/>
            <w:tcBorders>
              <w:tl2br w:val="nil"/>
              <w:tr2bl w:val="nil"/>
            </w:tcBorders>
            <w:vAlign w:val="center"/>
          </w:tcPr>
          <w:p w14:paraId="5D4D202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45" w:name="_Toc4462"/>
            <w:bookmarkStart w:id="446" w:name="_Toc12739"/>
            <w:bookmarkStart w:id="447" w:name="_Toc12482"/>
            <w:bookmarkStart w:id="448" w:name="_Toc13254"/>
            <w:bookmarkStart w:id="449" w:name="_Toc30581"/>
            <w:r>
              <w:rPr>
                <w:rFonts w:hint="default" w:ascii="Times New Roman" w:hAnsi="Times New Roman" w:cs="Times New Roman"/>
                <w:color w:val="auto"/>
                <w:sz w:val="21"/>
                <w:szCs w:val="21"/>
                <w:highlight w:val="none"/>
              </w:rPr>
              <w:t>150</w:t>
            </w:r>
            <w:bookmarkEnd w:id="445"/>
            <w:bookmarkEnd w:id="446"/>
            <w:bookmarkEnd w:id="447"/>
            <w:bookmarkEnd w:id="448"/>
            <w:bookmarkEnd w:id="449"/>
          </w:p>
        </w:tc>
        <w:tc>
          <w:tcPr>
            <w:tcW w:w="1259" w:type="pct"/>
            <w:vMerge w:val="continue"/>
            <w:tcBorders>
              <w:tl2br w:val="nil"/>
              <w:tr2bl w:val="nil"/>
            </w:tcBorders>
            <w:vAlign w:val="center"/>
          </w:tcPr>
          <w:p w14:paraId="6E4971A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4C4B2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4BED085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0FFB2AD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50" w:name="_Toc30"/>
            <w:bookmarkStart w:id="451" w:name="_Toc10157"/>
            <w:bookmarkStart w:id="452" w:name="_Toc6611"/>
            <w:bookmarkStart w:id="453" w:name="_Toc11855"/>
            <w:bookmarkStart w:id="454" w:name="_Toc788"/>
            <w:r>
              <w:rPr>
                <w:rFonts w:hint="default" w:ascii="Times New Roman" w:hAnsi="Times New Roman" w:cs="Times New Roman"/>
                <w:color w:val="auto"/>
                <w:sz w:val="21"/>
                <w:szCs w:val="21"/>
                <w:highlight w:val="none"/>
              </w:rPr>
              <w:t>1小时平均</w:t>
            </w:r>
            <w:bookmarkEnd w:id="450"/>
            <w:bookmarkEnd w:id="451"/>
            <w:bookmarkEnd w:id="452"/>
            <w:bookmarkEnd w:id="453"/>
            <w:bookmarkEnd w:id="454"/>
          </w:p>
        </w:tc>
        <w:tc>
          <w:tcPr>
            <w:tcW w:w="1224" w:type="pct"/>
            <w:tcBorders>
              <w:tl2br w:val="nil"/>
              <w:tr2bl w:val="nil"/>
            </w:tcBorders>
            <w:vAlign w:val="center"/>
          </w:tcPr>
          <w:p w14:paraId="652DDD3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55" w:name="_Toc16383"/>
            <w:bookmarkStart w:id="456" w:name="_Toc9237"/>
            <w:bookmarkStart w:id="457" w:name="_Toc437"/>
            <w:bookmarkStart w:id="458" w:name="_Toc31767"/>
            <w:bookmarkStart w:id="459" w:name="_Toc12917"/>
            <w:r>
              <w:rPr>
                <w:rFonts w:hint="default" w:ascii="Times New Roman" w:hAnsi="Times New Roman" w:cs="Times New Roman"/>
                <w:color w:val="auto"/>
                <w:sz w:val="21"/>
                <w:szCs w:val="21"/>
                <w:highlight w:val="none"/>
              </w:rPr>
              <w:t>500</w:t>
            </w:r>
            <w:bookmarkEnd w:id="455"/>
            <w:bookmarkEnd w:id="456"/>
            <w:bookmarkEnd w:id="457"/>
            <w:bookmarkEnd w:id="458"/>
            <w:bookmarkEnd w:id="459"/>
          </w:p>
        </w:tc>
        <w:tc>
          <w:tcPr>
            <w:tcW w:w="1259" w:type="pct"/>
            <w:vMerge w:val="continue"/>
            <w:tcBorders>
              <w:tl2br w:val="nil"/>
              <w:tr2bl w:val="nil"/>
            </w:tcBorders>
            <w:vAlign w:val="center"/>
          </w:tcPr>
          <w:p w14:paraId="53792B1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22307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restart"/>
            <w:tcBorders>
              <w:tl2br w:val="nil"/>
              <w:tr2bl w:val="nil"/>
            </w:tcBorders>
            <w:vAlign w:val="center"/>
          </w:tcPr>
          <w:p w14:paraId="6BB99B1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60" w:name="_Toc16507"/>
            <w:bookmarkStart w:id="461" w:name="_Toc6720"/>
            <w:bookmarkStart w:id="462" w:name="_Toc13587"/>
            <w:bookmarkStart w:id="463" w:name="_Toc1291"/>
            <w:bookmarkStart w:id="464" w:name="_Toc5039"/>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bookmarkEnd w:id="460"/>
            <w:bookmarkEnd w:id="461"/>
            <w:bookmarkEnd w:id="462"/>
            <w:bookmarkEnd w:id="463"/>
            <w:bookmarkEnd w:id="464"/>
          </w:p>
        </w:tc>
        <w:tc>
          <w:tcPr>
            <w:tcW w:w="1595" w:type="pct"/>
            <w:tcBorders>
              <w:tl2br w:val="nil"/>
              <w:tr2bl w:val="nil"/>
            </w:tcBorders>
            <w:vAlign w:val="center"/>
          </w:tcPr>
          <w:p w14:paraId="2292157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65" w:name="_Toc14438"/>
            <w:bookmarkStart w:id="466" w:name="_Toc31729"/>
            <w:bookmarkStart w:id="467" w:name="_Toc190"/>
            <w:bookmarkStart w:id="468" w:name="_Toc30837"/>
            <w:bookmarkStart w:id="469" w:name="_Toc14391"/>
            <w:r>
              <w:rPr>
                <w:rFonts w:hint="default" w:ascii="Times New Roman" w:hAnsi="Times New Roman" w:cs="Times New Roman"/>
                <w:color w:val="auto"/>
                <w:sz w:val="21"/>
                <w:szCs w:val="21"/>
                <w:highlight w:val="none"/>
              </w:rPr>
              <w:t>年平均</w:t>
            </w:r>
            <w:bookmarkEnd w:id="465"/>
            <w:bookmarkEnd w:id="466"/>
            <w:bookmarkEnd w:id="467"/>
            <w:bookmarkEnd w:id="468"/>
            <w:bookmarkEnd w:id="469"/>
          </w:p>
        </w:tc>
        <w:tc>
          <w:tcPr>
            <w:tcW w:w="1224" w:type="pct"/>
            <w:tcBorders>
              <w:tl2br w:val="nil"/>
              <w:tr2bl w:val="nil"/>
            </w:tcBorders>
            <w:vAlign w:val="center"/>
          </w:tcPr>
          <w:p w14:paraId="010D11C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0" w:name="_Toc16159"/>
            <w:bookmarkStart w:id="471" w:name="_Toc14184"/>
            <w:bookmarkStart w:id="472" w:name="_Toc21389"/>
            <w:bookmarkStart w:id="473" w:name="_Toc18118"/>
            <w:bookmarkStart w:id="474" w:name="_Toc9536"/>
            <w:r>
              <w:rPr>
                <w:rFonts w:hint="default" w:ascii="Times New Roman" w:hAnsi="Times New Roman" w:cs="Times New Roman"/>
                <w:color w:val="auto"/>
                <w:sz w:val="21"/>
                <w:szCs w:val="21"/>
                <w:highlight w:val="none"/>
              </w:rPr>
              <w:t>40</w:t>
            </w:r>
            <w:bookmarkEnd w:id="470"/>
            <w:bookmarkEnd w:id="471"/>
            <w:bookmarkEnd w:id="472"/>
            <w:bookmarkEnd w:id="473"/>
            <w:bookmarkEnd w:id="474"/>
          </w:p>
        </w:tc>
        <w:tc>
          <w:tcPr>
            <w:tcW w:w="1259" w:type="pct"/>
            <w:vMerge w:val="continue"/>
            <w:tcBorders>
              <w:tl2br w:val="nil"/>
              <w:tr2bl w:val="nil"/>
            </w:tcBorders>
            <w:vAlign w:val="center"/>
          </w:tcPr>
          <w:p w14:paraId="0ED7C57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67783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13D4696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6D6126D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5" w:name="_Toc20530"/>
            <w:bookmarkStart w:id="476" w:name="_Toc10247"/>
            <w:bookmarkStart w:id="477" w:name="_Toc24721"/>
            <w:bookmarkStart w:id="478" w:name="_Toc21032"/>
            <w:bookmarkStart w:id="479" w:name="_Toc3523"/>
            <w:r>
              <w:rPr>
                <w:rFonts w:hint="default" w:ascii="Times New Roman" w:hAnsi="Times New Roman" w:cs="Times New Roman"/>
                <w:color w:val="auto"/>
                <w:sz w:val="21"/>
                <w:szCs w:val="21"/>
                <w:highlight w:val="none"/>
              </w:rPr>
              <w:t>24小时</w:t>
            </w:r>
            <w:bookmarkEnd w:id="475"/>
            <w:bookmarkEnd w:id="476"/>
            <w:bookmarkEnd w:id="477"/>
            <w:bookmarkEnd w:id="478"/>
            <w:bookmarkEnd w:id="479"/>
          </w:p>
        </w:tc>
        <w:tc>
          <w:tcPr>
            <w:tcW w:w="1224" w:type="pct"/>
            <w:tcBorders>
              <w:tl2br w:val="nil"/>
              <w:tr2bl w:val="nil"/>
            </w:tcBorders>
            <w:vAlign w:val="center"/>
          </w:tcPr>
          <w:p w14:paraId="493BB4B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0" w:name="_Toc21209"/>
            <w:bookmarkStart w:id="481" w:name="_Toc1261"/>
            <w:bookmarkStart w:id="482" w:name="_Toc17390"/>
            <w:bookmarkStart w:id="483" w:name="_Toc33"/>
            <w:bookmarkStart w:id="484" w:name="_Toc14569"/>
            <w:r>
              <w:rPr>
                <w:rFonts w:hint="default" w:ascii="Times New Roman" w:hAnsi="Times New Roman" w:cs="Times New Roman"/>
                <w:color w:val="auto"/>
                <w:sz w:val="21"/>
                <w:szCs w:val="21"/>
                <w:highlight w:val="none"/>
              </w:rPr>
              <w:t>80</w:t>
            </w:r>
            <w:bookmarkEnd w:id="480"/>
            <w:bookmarkEnd w:id="481"/>
            <w:bookmarkEnd w:id="482"/>
            <w:bookmarkEnd w:id="483"/>
            <w:bookmarkEnd w:id="484"/>
          </w:p>
        </w:tc>
        <w:tc>
          <w:tcPr>
            <w:tcW w:w="1259" w:type="pct"/>
            <w:vMerge w:val="continue"/>
            <w:tcBorders>
              <w:tl2br w:val="nil"/>
              <w:tr2bl w:val="nil"/>
            </w:tcBorders>
            <w:vAlign w:val="center"/>
          </w:tcPr>
          <w:p w14:paraId="0D4D346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54FD3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27A2097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53861B1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5" w:name="_Toc25204"/>
            <w:bookmarkStart w:id="486" w:name="_Toc17170"/>
            <w:bookmarkStart w:id="487" w:name="_Toc3343"/>
            <w:bookmarkStart w:id="488" w:name="_Toc22953"/>
            <w:bookmarkStart w:id="489" w:name="_Toc1827"/>
            <w:r>
              <w:rPr>
                <w:rFonts w:hint="default" w:ascii="Times New Roman" w:hAnsi="Times New Roman" w:cs="Times New Roman"/>
                <w:color w:val="auto"/>
                <w:sz w:val="21"/>
                <w:szCs w:val="21"/>
                <w:highlight w:val="none"/>
              </w:rPr>
              <w:t>1小时平均</w:t>
            </w:r>
            <w:bookmarkEnd w:id="485"/>
            <w:bookmarkEnd w:id="486"/>
            <w:bookmarkEnd w:id="487"/>
            <w:bookmarkEnd w:id="488"/>
            <w:bookmarkEnd w:id="489"/>
          </w:p>
        </w:tc>
        <w:tc>
          <w:tcPr>
            <w:tcW w:w="1224" w:type="pct"/>
            <w:tcBorders>
              <w:tl2br w:val="nil"/>
              <w:tr2bl w:val="nil"/>
            </w:tcBorders>
            <w:vAlign w:val="center"/>
          </w:tcPr>
          <w:p w14:paraId="6566A45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0" w:name="_Toc5341"/>
            <w:bookmarkStart w:id="491" w:name="_Toc31739"/>
            <w:bookmarkStart w:id="492" w:name="_Toc31516"/>
            <w:bookmarkStart w:id="493" w:name="_Toc15989"/>
            <w:bookmarkStart w:id="494" w:name="_Toc18524"/>
            <w:r>
              <w:rPr>
                <w:rFonts w:hint="default" w:ascii="Times New Roman" w:hAnsi="Times New Roman" w:cs="Times New Roman"/>
                <w:color w:val="auto"/>
                <w:sz w:val="21"/>
                <w:szCs w:val="21"/>
                <w:highlight w:val="none"/>
              </w:rPr>
              <w:t>200</w:t>
            </w:r>
            <w:bookmarkEnd w:id="490"/>
            <w:bookmarkEnd w:id="491"/>
            <w:bookmarkEnd w:id="492"/>
            <w:bookmarkEnd w:id="493"/>
            <w:bookmarkEnd w:id="494"/>
          </w:p>
        </w:tc>
        <w:tc>
          <w:tcPr>
            <w:tcW w:w="1259" w:type="pct"/>
            <w:vMerge w:val="continue"/>
            <w:tcBorders>
              <w:tl2br w:val="nil"/>
              <w:tr2bl w:val="nil"/>
            </w:tcBorders>
            <w:vAlign w:val="center"/>
          </w:tcPr>
          <w:p w14:paraId="4C94A56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2C0AA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restart"/>
            <w:tcBorders>
              <w:tl2br w:val="nil"/>
              <w:tr2bl w:val="nil"/>
            </w:tcBorders>
            <w:vAlign w:val="center"/>
          </w:tcPr>
          <w:p w14:paraId="0150C6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5" w:name="_Toc13531"/>
            <w:bookmarkStart w:id="496" w:name="_Toc9025"/>
            <w:bookmarkStart w:id="497" w:name="_Toc22293"/>
            <w:bookmarkStart w:id="498" w:name="_Toc14682"/>
            <w:bookmarkStart w:id="499" w:name="_Toc8914"/>
            <w:r>
              <w:rPr>
                <w:rFonts w:hint="default" w:ascii="Times New Roman" w:hAnsi="Times New Roman" w:cs="Times New Roman"/>
                <w:color w:val="auto"/>
                <w:sz w:val="21"/>
                <w:szCs w:val="21"/>
                <w:highlight w:val="none"/>
              </w:rPr>
              <w:t>CO</w:t>
            </w:r>
            <w:bookmarkEnd w:id="495"/>
            <w:bookmarkEnd w:id="496"/>
            <w:bookmarkEnd w:id="497"/>
            <w:bookmarkEnd w:id="498"/>
            <w:bookmarkEnd w:id="499"/>
          </w:p>
        </w:tc>
        <w:tc>
          <w:tcPr>
            <w:tcW w:w="1595" w:type="pct"/>
            <w:tcBorders>
              <w:tl2br w:val="nil"/>
              <w:tr2bl w:val="nil"/>
            </w:tcBorders>
            <w:vAlign w:val="center"/>
          </w:tcPr>
          <w:p w14:paraId="2E6B8E2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00" w:name="_Toc4176"/>
            <w:bookmarkStart w:id="501" w:name="_Toc29522"/>
            <w:bookmarkStart w:id="502" w:name="_Toc5749"/>
            <w:bookmarkStart w:id="503" w:name="_Toc27927"/>
            <w:bookmarkStart w:id="504" w:name="_Toc11802"/>
            <w:r>
              <w:rPr>
                <w:rFonts w:hint="default" w:ascii="Times New Roman" w:hAnsi="Times New Roman" w:cs="Times New Roman"/>
                <w:color w:val="auto"/>
                <w:sz w:val="21"/>
                <w:szCs w:val="21"/>
                <w:highlight w:val="none"/>
              </w:rPr>
              <w:t>24小时</w:t>
            </w:r>
            <w:bookmarkEnd w:id="500"/>
            <w:bookmarkEnd w:id="501"/>
            <w:bookmarkEnd w:id="502"/>
            <w:bookmarkEnd w:id="503"/>
            <w:bookmarkEnd w:id="504"/>
          </w:p>
        </w:tc>
        <w:tc>
          <w:tcPr>
            <w:tcW w:w="1224" w:type="pct"/>
            <w:tcBorders>
              <w:tl2br w:val="nil"/>
              <w:tr2bl w:val="nil"/>
            </w:tcBorders>
            <w:vAlign w:val="center"/>
          </w:tcPr>
          <w:p w14:paraId="2D1CD31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05" w:name="_Toc30810"/>
            <w:bookmarkStart w:id="506" w:name="_Toc12520"/>
            <w:bookmarkStart w:id="507" w:name="_Toc25921"/>
            <w:bookmarkStart w:id="508" w:name="_Toc3688"/>
            <w:bookmarkStart w:id="509" w:name="_Toc20107"/>
            <w:r>
              <w:rPr>
                <w:rFonts w:hint="default" w:ascii="Times New Roman" w:hAnsi="Times New Roman" w:cs="Times New Roman"/>
                <w:color w:val="auto"/>
                <w:sz w:val="21"/>
                <w:szCs w:val="21"/>
                <w:highlight w:val="none"/>
              </w:rPr>
              <w:t>4000</w:t>
            </w:r>
            <w:bookmarkEnd w:id="505"/>
            <w:bookmarkEnd w:id="506"/>
            <w:bookmarkEnd w:id="507"/>
            <w:bookmarkEnd w:id="508"/>
            <w:bookmarkEnd w:id="509"/>
          </w:p>
        </w:tc>
        <w:tc>
          <w:tcPr>
            <w:tcW w:w="1259" w:type="pct"/>
            <w:vMerge w:val="continue"/>
            <w:tcBorders>
              <w:tl2br w:val="nil"/>
              <w:tr2bl w:val="nil"/>
            </w:tcBorders>
            <w:vAlign w:val="center"/>
          </w:tcPr>
          <w:p w14:paraId="2069C71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7B06E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0C8AD76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281FC4B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10" w:name="_Toc2326"/>
            <w:bookmarkStart w:id="511" w:name="_Toc15187"/>
            <w:bookmarkStart w:id="512" w:name="_Toc18036"/>
            <w:bookmarkStart w:id="513" w:name="_Toc5874"/>
            <w:bookmarkStart w:id="514" w:name="_Toc23081"/>
            <w:r>
              <w:rPr>
                <w:rFonts w:hint="default" w:ascii="Times New Roman" w:hAnsi="Times New Roman" w:cs="Times New Roman"/>
                <w:color w:val="auto"/>
                <w:sz w:val="21"/>
                <w:szCs w:val="21"/>
                <w:highlight w:val="none"/>
              </w:rPr>
              <w:t>1小时平均</w:t>
            </w:r>
            <w:bookmarkEnd w:id="510"/>
            <w:bookmarkEnd w:id="511"/>
            <w:bookmarkEnd w:id="512"/>
            <w:bookmarkEnd w:id="513"/>
            <w:bookmarkEnd w:id="514"/>
          </w:p>
        </w:tc>
        <w:tc>
          <w:tcPr>
            <w:tcW w:w="1224" w:type="pct"/>
            <w:tcBorders>
              <w:tl2br w:val="nil"/>
              <w:tr2bl w:val="nil"/>
            </w:tcBorders>
            <w:vAlign w:val="center"/>
          </w:tcPr>
          <w:p w14:paraId="479AF9F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15" w:name="_Toc11356"/>
            <w:bookmarkStart w:id="516" w:name="_Toc19269"/>
            <w:bookmarkStart w:id="517" w:name="_Toc558"/>
            <w:bookmarkStart w:id="518" w:name="_Toc6030"/>
            <w:bookmarkStart w:id="519" w:name="_Toc25933"/>
            <w:r>
              <w:rPr>
                <w:rFonts w:hint="default" w:ascii="Times New Roman" w:hAnsi="Times New Roman" w:cs="Times New Roman"/>
                <w:color w:val="auto"/>
                <w:sz w:val="21"/>
                <w:szCs w:val="21"/>
                <w:highlight w:val="none"/>
              </w:rPr>
              <w:t>10000</w:t>
            </w:r>
            <w:bookmarkEnd w:id="515"/>
            <w:bookmarkEnd w:id="516"/>
            <w:bookmarkEnd w:id="517"/>
            <w:bookmarkEnd w:id="518"/>
            <w:bookmarkEnd w:id="519"/>
          </w:p>
        </w:tc>
        <w:tc>
          <w:tcPr>
            <w:tcW w:w="1259" w:type="pct"/>
            <w:vMerge w:val="continue"/>
            <w:tcBorders>
              <w:tl2br w:val="nil"/>
              <w:tr2bl w:val="nil"/>
            </w:tcBorders>
            <w:vAlign w:val="center"/>
          </w:tcPr>
          <w:p w14:paraId="514AD55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5CF16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restart"/>
            <w:tcBorders>
              <w:tl2br w:val="nil"/>
              <w:tr2bl w:val="nil"/>
            </w:tcBorders>
            <w:vAlign w:val="center"/>
          </w:tcPr>
          <w:p w14:paraId="69296D7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20" w:name="_Toc8938"/>
            <w:bookmarkStart w:id="521" w:name="_Toc10791"/>
            <w:bookmarkStart w:id="522" w:name="_Toc2839"/>
            <w:bookmarkStart w:id="523" w:name="_Toc29556"/>
            <w:bookmarkStart w:id="524" w:name="_Toc24442"/>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bookmarkEnd w:id="520"/>
            <w:bookmarkEnd w:id="521"/>
            <w:bookmarkEnd w:id="522"/>
            <w:bookmarkEnd w:id="523"/>
            <w:bookmarkEnd w:id="524"/>
          </w:p>
        </w:tc>
        <w:tc>
          <w:tcPr>
            <w:tcW w:w="1595" w:type="pct"/>
            <w:tcBorders>
              <w:tl2br w:val="nil"/>
              <w:tr2bl w:val="nil"/>
            </w:tcBorders>
            <w:vAlign w:val="center"/>
          </w:tcPr>
          <w:p w14:paraId="11F6CDD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25" w:name="_Toc20080"/>
            <w:bookmarkStart w:id="526" w:name="_Toc19570"/>
            <w:bookmarkStart w:id="527" w:name="_Toc22693"/>
            <w:bookmarkStart w:id="528" w:name="_Toc12995"/>
            <w:bookmarkStart w:id="529" w:name="_Toc21193"/>
            <w:r>
              <w:rPr>
                <w:rFonts w:hint="default" w:ascii="Times New Roman" w:hAnsi="Times New Roman" w:cs="Times New Roman"/>
                <w:color w:val="auto"/>
                <w:sz w:val="21"/>
                <w:szCs w:val="21"/>
                <w:highlight w:val="none"/>
              </w:rPr>
              <w:t>日最大8小时平均</w:t>
            </w:r>
            <w:bookmarkEnd w:id="525"/>
            <w:bookmarkEnd w:id="526"/>
            <w:bookmarkEnd w:id="527"/>
            <w:bookmarkEnd w:id="528"/>
            <w:bookmarkEnd w:id="529"/>
          </w:p>
        </w:tc>
        <w:tc>
          <w:tcPr>
            <w:tcW w:w="1224" w:type="pct"/>
            <w:tcBorders>
              <w:tl2br w:val="nil"/>
              <w:tr2bl w:val="nil"/>
            </w:tcBorders>
            <w:vAlign w:val="center"/>
          </w:tcPr>
          <w:p w14:paraId="3053995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30" w:name="_Toc8388"/>
            <w:bookmarkStart w:id="531" w:name="_Toc21486"/>
            <w:bookmarkStart w:id="532" w:name="_Toc253"/>
            <w:bookmarkStart w:id="533" w:name="_Toc22445"/>
            <w:bookmarkStart w:id="534" w:name="_Toc10821"/>
            <w:r>
              <w:rPr>
                <w:rFonts w:hint="default" w:ascii="Times New Roman" w:hAnsi="Times New Roman" w:cs="Times New Roman"/>
                <w:color w:val="auto"/>
                <w:sz w:val="21"/>
                <w:szCs w:val="21"/>
                <w:highlight w:val="none"/>
              </w:rPr>
              <w:t>160</w:t>
            </w:r>
            <w:bookmarkEnd w:id="530"/>
            <w:bookmarkEnd w:id="531"/>
            <w:bookmarkEnd w:id="532"/>
            <w:bookmarkEnd w:id="533"/>
            <w:bookmarkEnd w:id="534"/>
          </w:p>
        </w:tc>
        <w:tc>
          <w:tcPr>
            <w:tcW w:w="1259" w:type="pct"/>
            <w:vMerge w:val="continue"/>
            <w:tcBorders>
              <w:tl2br w:val="nil"/>
              <w:tr2bl w:val="nil"/>
            </w:tcBorders>
            <w:vAlign w:val="center"/>
          </w:tcPr>
          <w:p w14:paraId="6FFAFB4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16C48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3331200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6D047C4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35" w:name="_Toc23982"/>
            <w:bookmarkStart w:id="536" w:name="_Toc17609"/>
            <w:bookmarkStart w:id="537" w:name="_Toc21905"/>
            <w:bookmarkStart w:id="538" w:name="_Toc14729"/>
            <w:bookmarkStart w:id="539" w:name="_Toc5503"/>
            <w:r>
              <w:rPr>
                <w:rFonts w:hint="default" w:ascii="Times New Roman" w:hAnsi="Times New Roman" w:cs="Times New Roman"/>
                <w:color w:val="auto"/>
                <w:sz w:val="21"/>
                <w:szCs w:val="21"/>
                <w:highlight w:val="none"/>
              </w:rPr>
              <w:t>1小时平均</w:t>
            </w:r>
            <w:bookmarkEnd w:id="535"/>
            <w:bookmarkEnd w:id="536"/>
            <w:bookmarkEnd w:id="537"/>
            <w:bookmarkEnd w:id="538"/>
            <w:bookmarkEnd w:id="539"/>
          </w:p>
        </w:tc>
        <w:tc>
          <w:tcPr>
            <w:tcW w:w="1224" w:type="pct"/>
            <w:tcBorders>
              <w:tl2br w:val="nil"/>
              <w:tr2bl w:val="nil"/>
            </w:tcBorders>
            <w:vAlign w:val="center"/>
          </w:tcPr>
          <w:p w14:paraId="2896E5E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40" w:name="_Toc3212"/>
            <w:bookmarkStart w:id="541" w:name="_Toc12035"/>
            <w:bookmarkStart w:id="542" w:name="_Toc15083"/>
            <w:bookmarkStart w:id="543" w:name="_Toc29949"/>
            <w:bookmarkStart w:id="544" w:name="_Toc23406"/>
            <w:r>
              <w:rPr>
                <w:rFonts w:hint="default" w:ascii="Times New Roman" w:hAnsi="Times New Roman" w:cs="Times New Roman"/>
                <w:color w:val="auto"/>
                <w:sz w:val="21"/>
                <w:szCs w:val="21"/>
                <w:highlight w:val="none"/>
              </w:rPr>
              <w:t>200</w:t>
            </w:r>
            <w:bookmarkEnd w:id="540"/>
            <w:bookmarkEnd w:id="541"/>
            <w:bookmarkEnd w:id="542"/>
            <w:bookmarkEnd w:id="543"/>
            <w:bookmarkEnd w:id="544"/>
          </w:p>
        </w:tc>
        <w:tc>
          <w:tcPr>
            <w:tcW w:w="1259" w:type="pct"/>
            <w:vMerge w:val="continue"/>
            <w:tcBorders>
              <w:tl2br w:val="nil"/>
              <w:tr2bl w:val="nil"/>
            </w:tcBorders>
            <w:vAlign w:val="center"/>
          </w:tcPr>
          <w:p w14:paraId="175BEEC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22C9A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restart"/>
            <w:tcBorders>
              <w:tl2br w:val="nil"/>
              <w:tr2bl w:val="nil"/>
            </w:tcBorders>
            <w:vAlign w:val="center"/>
          </w:tcPr>
          <w:p w14:paraId="369CB2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45" w:name="_Toc7895"/>
            <w:bookmarkStart w:id="546" w:name="_Toc20579"/>
            <w:bookmarkStart w:id="547" w:name="_Toc7760"/>
            <w:bookmarkStart w:id="548" w:name="_Toc27814"/>
            <w:bookmarkStart w:id="549" w:name="_Toc7875"/>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bookmarkEnd w:id="545"/>
            <w:bookmarkEnd w:id="546"/>
            <w:bookmarkEnd w:id="547"/>
            <w:bookmarkEnd w:id="548"/>
            <w:bookmarkEnd w:id="549"/>
          </w:p>
        </w:tc>
        <w:tc>
          <w:tcPr>
            <w:tcW w:w="1595" w:type="pct"/>
            <w:tcBorders>
              <w:tl2br w:val="nil"/>
              <w:tr2bl w:val="nil"/>
            </w:tcBorders>
            <w:vAlign w:val="center"/>
          </w:tcPr>
          <w:p w14:paraId="005DDCE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50" w:name="_Toc7014"/>
            <w:bookmarkStart w:id="551" w:name="_Toc30657"/>
            <w:bookmarkStart w:id="552" w:name="_Toc23679"/>
            <w:bookmarkStart w:id="553" w:name="_Toc6636"/>
            <w:bookmarkStart w:id="554" w:name="_Toc23731"/>
            <w:r>
              <w:rPr>
                <w:rFonts w:hint="default" w:ascii="Times New Roman" w:hAnsi="Times New Roman" w:cs="Times New Roman"/>
                <w:color w:val="auto"/>
                <w:sz w:val="21"/>
                <w:szCs w:val="21"/>
                <w:highlight w:val="none"/>
              </w:rPr>
              <w:t>年平均</w:t>
            </w:r>
            <w:bookmarkEnd w:id="550"/>
            <w:bookmarkEnd w:id="551"/>
            <w:bookmarkEnd w:id="552"/>
            <w:bookmarkEnd w:id="553"/>
            <w:bookmarkEnd w:id="554"/>
          </w:p>
        </w:tc>
        <w:tc>
          <w:tcPr>
            <w:tcW w:w="1224" w:type="pct"/>
            <w:tcBorders>
              <w:tl2br w:val="nil"/>
              <w:tr2bl w:val="nil"/>
            </w:tcBorders>
            <w:vAlign w:val="center"/>
          </w:tcPr>
          <w:p w14:paraId="458CAFC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55" w:name="_Toc21822"/>
            <w:bookmarkStart w:id="556" w:name="_Toc31108"/>
            <w:bookmarkStart w:id="557" w:name="_Toc8040"/>
            <w:bookmarkStart w:id="558" w:name="_Toc19591"/>
            <w:bookmarkStart w:id="559" w:name="_Toc4243"/>
            <w:r>
              <w:rPr>
                <w:rFonts w:hint="default" w:ascii="Times New Roman" w:hAnsi="Times New Roman" w:cs="Times New Roman"/>
                <w:color w:val="auto"/>
                <w:sz w:val="21"/>
                <w:szCs w:val="21"/>
                <w:highlight w:val="none"/>
              </w:rPr>
              <w:t>70</w:t>
            </w:r>
            <w:bookmarkEnd w:id="555"/>
            <w:bookmarkEnd w:id="556"/>
            <w:bookmarkEnd w:id="557"/>
            <w:bookmarkEnd w:id="558"/>
            <w:bookmarkEnd w:id="559"/>
          </w:p>
        </w:tc>
        <w:tc>
          <w:tcPr>
            <w:tcW w:w="1259" w:type="pct"/>
            <w:vMerge w:val="continue"/>
            <w:tcBorders>
              <w:tl2br w:val="nil"/>
              <w:tr2bl w:val="nil"/>
            </w:tcBorders>
            <w:vAlign w:val="center"/>
          </w:tcPr>
          <w:p w14:paraId="74B332A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3A1BB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738503A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0EA0735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60" w:name="_Toc14531"/>
            <w:bookmarkStart w:id="561" w:name="_Toc2443"/>
            <w:bookmarkStart w:id="562" w:name="_Toc4920"/>
            <w:bookmarkStart w:id="563" w:name="_Toc10681"/>
            <w:bookmarkStart w:id="564" w:name="_Toc12257"/>
            <w:r>
              <w:rPr>
                <w:rFonts w:hint="default" w:ascii="Times New Roman" w:hAnsi="Times New Roman" w:cs="Times New Roman"/>
                <w:color w:val="auto"/>
                <w:sz w:val="21"/>
                <w:szCs w:val="21"/>
                <w:highlight w:val="none"/>
              </w:rPr>
              <w:t>24小时</w:t>
            </w:r>
            <w:bookmarkEnd w:id="560"/>
            <w:bookmarkEnd w:id="561"/>
            <w:bookmarkEnd w:id="562"/>
            <w:bookmarkEnd w:id="563"/>
            <w:bookmarkEnd w:id="564"/>
          </w:p>
        </w:tc>
        <w:tc>
          <w:tcPr>
            <w:tcW w:w="1224" w:type="pct"/>
            <w:tcBorders>
              <w:tl2br w:val="nil"/>
              <w:tr2bl w:val="nil"/>
            </w:tcBorders>
            <w:vAlign w:val="center"/>
          </w:tcPr>
          <w:p w14:paraId="3490452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65" w:name="_Toc1561"/>
            <w:bookmarkStart w:id="566" w:name="_Toc11764"/>
            <w:bookmarkStart w:id="567" w:name="_Toc23676"/>
            <w:bookmarkStart w:id="568" w:name="_Toc2570"/>
            <w:bookmarkStart w:id="569" w:name="_Toc863"/>
            <w:r>
              <w:rPr>
                <w:rFonts w:hint="default" w:ascii="Times New Roman" w:hAnsi="Times New Roman" w:cs="Times New Roman"/>
                <w:color w:val="auto"/>
                <w:sz w:val="21"/>
                <w:szCs w:val="21"/>
                <w:highlight w:val="none"/>
              </w:rPr>
              <w:t>150</w:t>
            </w:r>
            <w:bookmarkEnd w:id="565"/>
            <w:bookmarkEnd w:id="566"/>
            <w:bookmarkEnd w:id="567"/>
            <w:bookmarkEnd w:id="568"/>
            <w:bookmarkEnd w:id="569"/>
          </w:p>
        </w:tc>
        <w:tc>
          <w:tcPr>
            <w:tcW w:w="1259" w:type="pct"/>
            <w:vMerge w:val="continue"/>
            <w:tcBorders>
              <w:tl2br w:val="nil"/>
              <w:tr2bl w:val="nil"/>
            </w:tcBorders>
            <w:vAlign w:val="center"/>
          </w:tcPr>
          <w:p w14:paraId="21F3ADC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7CE59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restart"/>
            <w:tcBorders>
              <w:tl2br w:val="nil"/>
              <w:tr2bl w:val="nil"/>
            </w:tcBorders>
            <w:vAlign w:val="center"/>
          </w:tcPr>
          <w:p w14:paraId="1A18B2A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70" w:name="_Toc12010"/>
            <w:bookmarkStart w:id="571" w:name="_Toc3563"/>
            <w:bookmarkStart w:id="572" w:name="_Toc21173"/>
            <w:bookmarkStart w:id="573" w:name="_Toc2760"/>
            <w:bookmarkStart w:id="574" w:name="_Toc11902"/>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bookmarkEnd w:id="570"/>
            <w:bookmarkEnd w:id="571"/>
            <w:bookmarkEnd w:id="572"/>
            <w:bookmarkEnd w:id="573"/>
            <w:bookmarkEnd w:id="574"/>
          </w:p>
        </w:tc>
        <w:tc>
          <w:tcPr>
            <w:tcW w:w="1595" w:type="pct"/>
            <w:tcBorders>
              <w:tl2br w:val="nil"/>
              <w:tr2bl w:val="nil"/>
            </w:tcBorders>
            <w:vAlign w:val="center"/>
          </w:tcPr>
          <w:p w14:paraId="0F75728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75" w:name="_Toc18248"/>
            <w:bookmarkStart w:id="576" w:name="_Toc7734"/>
            <w:bookmarkStart w:id="577" w:name="_Toc3205"/>
            <w:bookmarkStart w:id="578" w:name="_Toc29832"/>
            <w:bookmarkStart w:id="579" w:name="_Toc7245"/>
            <w:r>
              <w:rPr>
                <w:rFonts w:hint="default" w:ascii="Times New Roman" w:hAnsi="Times New Roman" w:cs="Times New Roman"/>
                <w:color w:val="auto"/>
                <w:sz w:val="21"/>
                <w:szCs w:val="21"/>
                <w:highlight w:val="none"/>
              </w:rPr>
              <w:t>年平均</w:t>
            </w:r>
            <w:bookmarkEnd w:id="575"/>
            <w:bookmarkEnd w:id="576"/>
            <w:bookmarkEnd w:id="577"/>
            <w:bookmarkEnd w:id="578"/>
            <w:bookmarkEnd w:id="579"/>
          </w:p>
        </w:tc>
        <w:tc>
          <w:tcPr>
            <w:tcW w:w="1224" w:type="pct"/>
            <w:tcBorders>
              <w:tl2br w:val="nil"/>
              <w:tr2bl w:val="nil"/>
            </w:tcBorders>
            <w:vAlign w:val="center"/>
          </w:tcPr>
          <w:p w14:paraId="4526685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80" w:name="_Toc13679"/>
            <w:bookmarkStart w:id="581" w:name="_Toc6110"/>
            <w:bookmarkStart w:id="582" w:name="_Toc32592"/>
            <w:bookmarkStart w:id="583" w:name="_Toc23373"/>
            <w:bookmarkStart w:id="584" w:name="_Toc25610"/>
            <w:r>
              <w:rPr>
                <w:rFonts w:hint="default" w:ascii="Times New Roman" w:hAnsi="Times New Roman" w:cs="Times New Roman"/>
                <w:color w:val="auto"/>
                <w:sz w:val="21"/>
                <w:szCs w:val="21"/>
                <w:highlight w:val="none"/>
              </w:rPr>
              <w:t>35</w:t>
            </w:r>
            <w:bookmarkEnd w:id="580"/>
            <w:bookmarkEnd w:id="581"/>
            <w:bookmarkEnd w:id="582"/>
            <w:bookmarkEnd w:id="583"/>
            <w:bookmarkEnd w:id="584"/>
          </w:p>
        </w:tc>
        <w:tc>
          <w:tcPr>
            <w:tcW w:w="1259" w:type="pct"/>
            <w:vMerge w:val="continue"/>
            <w:tcBorders>
              <w:tl2br w:val="nil"/>
              <w:tr2bl w:val="nil"/>
            </w:tcBorders>
            <w:vAlign w:val="center"/>
          </w:tcPr>
          <w:p w14:paraId="6182008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62280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vMerge w:val="continue"/>
            <w:tcBorders>
              <w:tl2br w:val="nil"/>
              <w:tr2bl w:val="nil"/>
            </w:tcBorders>
            <w:vAlign w:val="center"/>
          </w:tcPr>
          <w:p w14:paraId="5E0F3E4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595" w:type="pct"/>
            <w:tcBorders>
              <w:tl2br w:val="nil"/>
              <w:tr2bl w:val="nil"/>
            </w:tcBorders>
            <w:vAlign w:val="center"/>
          </w:tcPr>
          <w:p w14:paraId="6F8B77E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85" w:name="_Toc27205"/>
            <w:bookmarkStart w:id="586" w:name="_Toc17185"/>
            <w:bookmarkStart w:id="587" w:name="_Toc9639"/>
            <w:bookmarkStart w:id="588" w:name="_Toc2341"/>
            <w:bookmarkStart w:id="589" w:name="_Toc17511"/>
            <w:r>
              <w:rPr>
                <w:rFonts w:hint="default" w:ascii="Times New Roman" w:hAnsi="Times New Roman" w:cs="Times New Roman"/>
                <w:color w:val="auto"/>
                <w:sz w:val="21"/>
                <w:szCs w:val="21"/>
                <w:highlight w:val="none"/>
              </w:rPr>
              <w:t>24小时</w:t>
            </w:r>
            <w:bookmarkEnd w:id="585"/>
            <w:bookmarkEnd w:id="586"/>
            <w:bookmarkEnd w:id="587"/>
            <w:bookmarkEnd w:id="588"/>
            <w:bookmarkEnd w:id="589"/>
          </w:p>
        </w:tc>
        <w:tc>
          <w:tcPr>
            <w:tcW w:w="1224" w:type="pct"/>
            <w:tcBorders>
              <w:tl2br w:val="nil"/>
              <w:tr2bl w:val="nil"/>
            </w:tcBorders>
            <w:vAlign w:val="center"/>
          </w:tcPr>
          <w:p w14:paraId="3FCA676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90" w:name="_Toc24236"/>
            <w:bookmarkStart w:id="591" w:name="_Toc27258"/>
            <w:bookmarkStart w:id="592" w:name="_Toc10303"/>
            <w:bookmarkStart w:id="593" w:name="_Toc4120"/>
            <w:bookmarkStart w:id="594" w:name="_Toc23489"/>
            <w:r>
              <w:rPr>
                <w:rFonts w:hint="default" w:ascii="Times New Roman" w:hAnsi="Times New Roman" w:cs="Times New Roman"/>
                <w:color w:val="auto"/>
                <w:sz w:val="21"/>
                <w:szCs w:val="21"/>
                <w:highlight w:val="none"/>
              </w:rPr>
              <w:t>75</w:t>
            </w:r>
            <w:bookmarkEnd w:id="590"/>
            <w:bookmarkEnd w:id="591"/>
            <w:bookmarkEnd w:id="592"/>
            <w:bookmarkEnd w:id="593"/>
            <w:bookmarkEnd w:id="594"/>
          </w:p>
        </w:tc>
        <w:tc>
          <w:tcPr>
            <w:tcW w:w="1259" w:type="pct"/>
            <w:vMerge w:val="continue"/>
            <w:tcBorders>
              <w:tl2br w:val="nil"/>
              <w:tr2bl w:val="nil"/>
            </w:tcBorders>
            <w:vAlign w:val="center"/>
          </w:tcPr>
          <w:p w14:paraId="4A99C18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65533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20" w:type="pct"/>
            <w:tcBorders>
              <w:tl2br w:val="nil"/>
              <w:tr2bl w:val="nil"/>
            </w:tcBorders>
            <w:vAlign w:val="center"/>
          </w:tcPr>
          <w:p w14:paraId="0D04A36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595" w:name="_Toc23719"/>
            <w:bookmarkStart w:id="596" w:name="_Toc199"/>
            <w:bookmarkStart w:id="597" w:name="_Toc11017"/>
            <w:bookmarkStart w:id="598" w:name="_Toc21637"/>
            <w:bookmarkStart w:id="599" w:name="_Toc17329"/>
            <w:r>
              <w:rPr>
                <w:rFonts w:hint="default" w:ascii="Times New Roman" w:hAnsi="Times New Roman" w:cs="Times New Roman"/>
                <w:color w:val="auto"/>
                <w:sz w:val="21"/>
                <w:szCs w:val="21"/>
                <w:highlight w:val="none"/>
              </w:rPr>
              <w:t>TSP</w:t>
            </w:r>
            <w:bookmarkEnd w:id="595"/>
            <w:bookmarkEnd w:id="596"/>
            <w:bookmarkEnd w:id="597"/>
            <w:bookmarkEnd w:id="598"/>
            <w:bookmarkEnd w:id="599"/>
          </w:p>
        </w:tc>
        <w:tc>
          <w:tcPr>
            <w:tcW w:w="1595" w:type="pct"/>
            <w:tcBorders>
              <w:tl2br w:val="nil"/>
              <w:tr2bl w:val="nil"/>
            </w:tcBorders>
            <w:vAlign w:val="center"/>
          </w:tcPr>
          <w:p w14:paraId="03354F5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00" w:name="_Toc19203"/>
            <w:bookmarkStart w:id="601" w:name="_Toc4948"/>
            <w:bookmarkStart w:id="602" w:name="_Toc7013"/>
            <w:bookmarkStart w:id="603" w:name="_Toc30318"/>
            <w:bookmarkStart w:id="604" w:name="_Toc21459"/>
            <w:r>
              <w:rPr>
                <w:rFonts w:hint="default" w:ascii="Times New Roman" w:hAnsi="Times New Roman" w:cs="Times New Roman"/>
                <w:color w:val="auto"/>
                <w:sz w:val="21"/>
                <w:szCs w:val="21"/>
                <w:highlight w:val="none"/>
              </w:rPr>
              <w:t>24小时平均</w:t>
            </w:r>
            <w:bookmarkEnd w:id="600"/>
            <w:bookmarkEnd w:id="601"/>
            <w:bookmarkEnd w:id="602"/>
            <w:bookmarkEnd w:id="603"/>
            <w:bookmarkEnd w:id="604"/>
          </w:p>
        </w:tc>
        <w:tc>
          <w:tcPr>
            <w:tcW w:w="1224" w:type="pct"/>
            <w:tcBorders>
              <w:tl2br w:val="nil"/>
              <w:tr2bl w:val="nil"/>
            </w:tcBorders>
            <w:vAlign w:val="center"/>
          </w:tcPr>
          <w:p w14:paraId="65251E1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05" w:name="_Toc13609"/>
            <w:bookmarkStart w:id="606" w:name="_Toc20699"/>
            <w:bookmarkStart w:id="607" w:name="_Toc12842"/>
            <w:bookmarkStart w:id="608" w:name="_Toc11227"/>
            <w:bookmarkStart w:id="609" w:name="_Toc22612"/>
            <w:r>
              <w:rPr>
                <w:rFonts w:hint="default" w:ascii="Times New Roman" w:hAnsi="Times New Roman" w:cs="Times New Roman"/>
                <w:color w:val="auto"/>
                <w:sz w:val="21"/>
                <w:szCs w:val="21"/>
                <w:highlight w:val="none"/>
              </w:rPr>
              <w:t>300</w:t>
            </w:r>
            <w:bookmarkEnd w:id="605"/>
            <w:bookmarkEnd w:id="606"/>
            <w:bookmarkEnd w:id="607"/>
            <w:bookmarkEnd w:id="608"/>
            <w:bookmarkEnd w:id="609"/>
          </w:p>
        </w:tc>
        <w:tc>
          <w:tcPr>
            <w:tcW w:w="1259" w:type="pct"/>
            <w:vMerge w:val="continue"/>
            <w:tcBorders>
              <w:tl2br w:val="nil"/>
              <w:tr2bl w:val="nil"/>
            </w:tcBorders>
            <w:vAlign w:val="center"/>
          </w:tcPr>
          <w:p w14:paraId="588A829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bl>
    <w:p w14:paraId="5DA6AEB2">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（2）地表水环境质量标准</w:t>
      </w:r>
    </w:p>
    <w:p w14:paraId="5C1F3633">
      <w:pPr>
        <w:jc w:val="both"/>
        <w:rPr>
          <w:rFonts w:hint="default" w:ascii="Times New Roman" w:hAnsi="Times New Roman" w:cs="Times New Roman"/>
          <w:snapToGrid w:val="0"/>
          <w:color w:val="auto"/>
          <w:sz w:val="24"/>
          <w:szCs w:val="24"/>
          <w:highlight w:val="none"/>
        </w:rPr>
      </w:pPr>
      <w:r>
        <w:rPr>
          <w:rFonts w:hint="eastAsia" w:cs="Times New Roman"/>
          <w:color w:val="auto"/>
          <w:sz w:val="24"/>
          <w:szCs w:val="24"/>
          <w:highlight w:val="none"/>
          <w:lang w:val="en-US" w:eastAsia="zh-CN"/>
        </w:rPr>
        <w:t>本工程</w:t>
      </w:r>
      <w:r>
        <w:rPr>
          <w:rFonts w:hint="default" w:ascii="Times New Roman" w:hAnsi="Times New Roman" w:cs="Times New Roman"/>
          <w:color w:val="auto"/>
          <w:sz w:val="24"/>
          <w:szCs w:val="24"/>
          <w:highlight w:val="none"/>
          <w:lang w:val="en-US" w:eastAsia="zh-CN"/>
        </w:rPr>
        <w:t>主要进行</w:t>
      </w:r>
      <w:r>
        <w:rPr>
          <w:rFonts w:hint="default" w:ascii="Times New Roman" w:hAnsi="Times New Roman" w:cs="Times New Roman"/>
          <w:color w:val="auto"/>
          <w:sz w:val="24"/>
          <w:szCs w:val="24"/>
          <w:highlight w:val="none"/>
          <w:lang w:eastAsia="zh-CN"/>
        </w:rPr>
        <w:t>彭阳县茹河（小河段）河道治理工程</w:t>
      </w:r>
      <w:r>
        <w:rPr>
          <w:rFonts w:hint="default" w:ascii="Times New Roman" w:hAnsi="Times New Roman" w:cs="Times New Roman"/>
          <w:snapToGrid w:val="0"/>
          <w:color w:val="auto"/>
          <w:sz w:val="24"/>
          <w:szCs w:val="24"/>
          <w:highlight w:val="none"/>
        </w:rPr>
        <w:t>。</w:t>
      </w:r>
      <w:r>
        <w:rPr>
          <w:rFonts w:hint="default" w:ascii="Times New Roman" w:hAnsi="Times New Roman" w:cs="Times New Roman"/>
          <w:snapToGrid w:val="0"/>
          <w:color w:val="auto"/>
          <w:sz w:val="24"/>
          <w:szCs w:val="24"/>
          <w:highlight w:val="none"/>
          <w:lang w:val="en-US" w:eastAsia="zh-CN"/>
        </w:rPr>
        <w:t>项目</w:t>
      </w:r>
      <w:r>
        <w:rPr>
          <w:rFonts w:hint="default" w:ascii="Times New Roman" w:hAnsi="Times New Roman" w:cs="Times New Roman"/>
          <w:snapToGrid w:val="0"/>
          <w:color w:val="auto"/>
          <w:sz w:val="24"/>
          <w:szCs w:val="24"/>
          <w:highlight w:val="none"/>
        </w:rPr>
        <w:t>茹河</w:t>
      </w:r>
      <w:r>
        <w:rPr>
          <w:rFonts w:hint="default" w:ascii="Times New Roman" w:hAnsi="Times New Roman" w:cs="Times New Roman"/>
          <w:snapToGrid w:val="0"/>
          <w:color w:val="auto"/>
          <w:sz w:val="24"/>
          <w:szCs w:val="24"/>
          <w:highlight w:val="none"/>
          <w:lang w:val="en-US" w:eastAsia="zh-CN"/>
        </w:rPr>
        <w:t>沟圈</w:t>
      </w:r>
      <w:r>
        <w:rPr>
          <w:rFonts w:hint="default" w:ascii="Times New Roman" w:hAnsi="Times New Roman" w:eastAsia="宋体" w:cs="Times New Roman"/>
          <w:color w:val="auto"/>
          <w:sz w:val="24"/>
          <w:szCs w:val="24"/>
          <w:highlight w:val="none"/>
          <w:lang w:val="en-US" w:eastAsia="zh-CN"/>
        </w:rPr>
        <w:t>断面</w:t>
      </w:r>
      <w:r>
        <w:rPr>
          <w:rFonts w:hint="default" w:ascii="Times New Roman" w:hAnsi="Times New Roman" w:cs="Times New Roman"/>
          <w:snapToGrid w:val="0"/>
          <w:color w:val="auto"/>
          <w:sz w:val="24"/>
          <w:szCs w:val="24"/>
          <w:highlight w:val="none"/>
          <w:lang w:val="en-US" w:eastAsia="zh-CN"/>
        </w:rPr>
        <w:t>水质</w:t>
      </w:r>
      <w:r>
        <w:rPr>
          <w:rFonts w:hint="default" w:ascii="Times New Roman" w:hAnsi="Times New Roman" w:cs="Times New Roman"/>
          <w:snapToGrid w:val="0"/>
          <w:color w:val="auto"/>
          <w:sz w:val="24"/>
          <w:szCs w:val="24"/>
          <w:highlight w:val="none"/>
        </w:rPr>
        <w:t>执行《地表水环境质量标准》（GB3838-2002）中</w:t>
      </w:r>
      <w:r>
        <w:rPr>
          <w:rFonts w:hint="eastAsia" w:cs="Times New Roman"/>
          <w:snapToGrid w:val="0"/>
          <w:color w:val="auto"/>
          <w:sz w:val="24"/>
          <w:szCs w:val="24"/>
          <w:highlight w:val="none"/>
          <w:lang w:eastAsia="zh-CN"/>
        </w:rPr>
        <w:t>Ⅲ类</w:t>
      </w:r>
      <w:r>
        <w:rPr>
          <w:rFonts w:hint="default" w:ascii="Times New Roman" w:hAnsi="Times New Roman" w:cs="Times New Roman"/>
          <w:snapToGrid w:val="0"/>
          <w:color w:val="auto"/>
          <w:sz w:val="24"/>
          <w:szCs w:val="24"/>
          <w:highlight w:val="none"/>
        </w:rPr>
        <w:t>水质标准。</w:t>
      </w:r>
    </w:p>
    <w:p w14:paraId="7EB62E64">
      <w:pPr>
        <w:jc w:val="both"/>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地表水环境质量评价因子执行标准见表1.4-2。</w:t>
      </w:r>
    </w:p>
    <w:p w14:paraId="471BBC43">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表1.4-2《地表水环境质量标准》（GB3838-2002）单位：mg/L</w:t>
      </w:r>
    </w:p>
    <w:tbl>
      <w:tblPr>
        <w:tblStyle w:val="31"/>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450"/>
        <w:gridCol w:w="4070"/>
      </w:tblGrid>
      <w:tr w14:paraId="6969EE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2611" w:type="pct"/>
            <w:tcBorders>
              <w:tl2br w:val="nil"/>
              <w:tr2bl w:val="nil"/>
            </w:tcBorders>
            <w:tcMar>
              <w:top w:w="10" w:type="dxa"/>
              <w:bottom w:w="10" w:type="dxa"/>
            </w:tcMar>
            <w:vAlign w:val="center"/>
          </w:tcPr>
          <w:p w14:paraId="02765DD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10" w:name="_Toc13217"/>
            <w:bookmarkStart w:id="611" w:name="_Toc12797"/>
            <w:bookmarkStart w:id="612" w:name="_Toc17921"/>
            <w:bookmarkStart w:id="613" w:name="_Toc18508"/>
            <w:bookmarkStart w:id="614" w:name="_Toc16039"/>
            <w:r>
              <w:rPr>
                <w:rFonts w:hint="default" w:ascii="Times New Roman" w:hAnsi="Times New Roman" w:cs="Times New Roman"/>
                <w:b/>
                <w:bCs/>
                <w:color w:val="auto"/>
                <w:sz w:val="21"/>
                <w:szCs w:val="21"/>
                <w:highlight w:val="none"/>
              </w:rPr>
              <w:t>项目</w:t>
            </w:r>
            <w:bookmarkEnd w:id="610"/>
            <w:bookmarkEnd w:id="611"/>
            <w:bookmarkEnd w:id="612"/>
            <w:bookmarkEnd w:id="613"/>
            <w:bookmarkEnd w:id="614"/>
          </w:p>
        </w:tc>
        <w:tc>
          <w:tcPr>
            <w:tcW w:w="2388" w:type="pct"/>
            <w:tcBorders>
              <w:tl2br w:val="nil"/>
              <w:tr2bl w:val="nil"/>
            </w:tcBorders>
            <w:vAlign w:val="center"/>
          </w:tcPr>
          <w:p w14:paraId="78C85313">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15" w:name="_Toc528"/>
            <w:bookmarkStart w:id="616" w:name="_Toc15551"/>
            <w:bookmarkStart w:id="617" w:name="_Toc13184"/>
            <w:bookmarkStart w:id="618" w:name="_Toc13938"/>
            <w:bookmarkStart w:id="619" w:name="_Toc1836"/>
            <w:r>
              <w:rPr>
                <w:rFonts w:hint="eastAsia" w:cs="Times New Roman"/>
                <w:b/>
                <w:bCs/>
                <w:color w:val="auto"/>
                <w:sz w:val="21"/>
                <w:szCs w:val="21"/>
                <w:highlight w:val="none"/>
                <w:lang w:eastAsia="zh-CN"/>
              </w:rPr>
              <w:t>Ⅲ类</w:t>
            </w:r>
            <w:r>
              <w:rPr>
                <w:rFonts w:hint="default" w:ascii="Times New Roman" w:hAnsi="Times New Roman" w:cs="Times New Roman"/>
                <w:b/>
                <w:bCs/>
                <w:color w:val="auto"/>
                <w:sz w:val="21"/>
                <w:szCs w:val="21"/>
                <w:highlight w:val="none"/>
              </w:rPr>
              <w:t>标准</w:t>
            </w:r>
            <w:bookmarkEnd w:id="615"/>
            <w:bookmarkEnd w:id="616"/>
            <w:bookmarkEnd w:id="617"/>
            <w:bookmarkEnd w:id="618"/>
            <w:bookmarkEnd w:id="619"/>
          </w:p>
        </w:tc>
      </w:tr>
      <w:tr w14:paraId="7B029F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5F147E2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20" w:name="_Toc8171"/>
            <w:bookmarkStart w:id="621" w:name="_Toc23877"/>
            <w:bookmarkStart w:id="622" w:name="_Toc15544"/>
            <w:bookmarkStart w:id="623" w:name="_Toc25317"/>
            <w:bookmarkStart w:id="624" w:name="_Toc775"/>
            <w:r>
              <w:rPr>
                <w:rFonts w:hint="default" w:ascii="Times New Roman" w:hAnsi="Times New Roman" w:cs="Times New Roman"/>
                <w:color w:val="auto"/>
                <w:sz w:val="21"/>
                <w:szCs w:val="21"/>
                <w:highlight w:val="none"/>
              </w:rPr>
              <w:t>pH</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无量纲</w:t>
            </w:r>
            <w:r>
              <w:rPr>
                <w:rFonts w:hint="eastAsia" w:cs="Times New Roman"/>
                <w:color w:val="auto"/>
                <w:sz w:val="21"/>
                <w:szCs w:val="21"/>
                <w:highlight w:val="none"/>
                <w:lang w:eastAsia="zh-CN"/>
              </w:rPr>
              <w:t>）</w:t>
            </w:r>
            <w:bookmarkEnd w:id="620"/>
            <w:bookmarkEnd w:id="621"/>
            <w:bookmarkEnd w:id="622"/>
            <w:bookmarkEnd w:id="623"/>
            <w:bookmarkEnd w:id="624"/>
          </w:p>
        </w:tc>
        <w:tc>
          <w:tcPr>
            <w:tcW w:w="2388" w:type="pct"/>
            <w:tcBorders>
              <w:tl2br w:val="nil"/>
              <w:tr2bl w:val="nil"/>
            </w:tcBorders>
            <w:vAlign w:val="center"/>
          </w:tcPr>
          <w:p w14:paraId="4BF8099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25" w:name="_Toc19303"/>
            <w:bookmarkStart w:id="626" w:name="_Toc15605"/>
            <w:bookmarkStart w:id="627" w:name="_Toc28933"/>
            <w:bookmarkStart w:id="628" w:name="_Toc30875"/>
            <w:r>
              <w:rPr>
                <w:rFonts w:hint="default" w:ascii="Times New Roman" w:hAnsi="Times New Roman" w:cs="Times New Roman"/>
                <w:color w:val="auto"/>
                <w:sz w:val="21"/>
                <w:szCs w:val="21"/>
                <w:highlight w:val="none"/>
              </w:rPr>
              <w:t>6</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9</w:t>
            </w:r>
            <w:bookmarkEnd w:id="625"/>
            <w:bookmarkEnd w:id="626"/>
            <w:bookmarkEnd w:id="627"/>
            <w:bookmarkEnd w:id="628"/>
          </w:p>
        </w:tc>
      </w:tr>
      <w:tr w14:paraId="716C01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24408F0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29" w:name="_Toc30472"/>
            <w:bookmarkStart w:id="630" w:name="_Toc30983"/>
            <w:bookmarkStart w:id="631" w:name="_Toc28352"/>
            <w:bookmarkStart w:id="632" w:name="_Toc13671"/>
            <w:bookmarkStart w:id="633" w:name="_Toc10514"/>
            <w:r>
              <w:rPr>
                <w:rFonts w:hint="default" w:ascii="Times New Roman" w:hAnsi="Times New Roman" w:cs="Times New Roman"/>
                <w:color w:val="auto"/>
                <w:sz w:val="21"/>
                <w:szCs w:val="21"/>
                <w:highlight w:val="none"/>
              </w:rPr>
              <w:t>溶解氧</w:t>
            </w:r>
            <w:bookmarkEnd w:id="629"/>
            <w:r>
              <w:rPr>
                <w:rFonts w:hint="default" w:ascii="Times New Roman" w:hAnsi="Times New Roman" w:eastAsia="宋体" w:cs="Times New Roman"/>
                <w:i w:val="0"/>
                <w:iCs w:val="0"/>
                <w:caps w:val="0"/>
                <w:color w:val="auto"/>
                <w:spacing w:val="0"/>
                <w:sz w:val="21"/>
                <w:szCs w:val="21"/>
                <w:highlight w:val="none"/>
                <w:shd w:val="clear" w:fill="FFFFFF"/>
              </w:rPr>
              <w:t>≥</w:t>
            </w:r>
            <w:bookmarkEnd w:id="630"/>
            <w:bookmarkEnd w:id="631"/>
            <w:bookmarkEnd w:id="632"/>
            <w:bookmarkEnd w:id="633"/>
          </w:p>
        </w:tc>
        <w:tc>
          <w:tcPr>
            <w:tcW w:w="2388" w:type="pct"/>
            <w:tcBorders>
              <w:tl2br w:val="nil"/>
              <w:tr2bl w:val="nil"/>
            </w:tcBorders>
            <w:vAlign w:val="center"/>
          </w:tcPr>
          <w:p w14:paraId="365C917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634" w:name="_Toc16331"/>
            <w:bookmarkStart w:id="635" w:name="_Toc16072"/>
            <w:bookmarkStart w:id="636" w:name="_Toc16014"/>
            <w:bookmarkStart w:id="637" w:name="_Toc14867"/>
            <w:r>
              <w:rPr>
                <w:rFonts w:hint="default" w:ascii="Times New Roman" w:hAnsi="Times New Roman" w:cs="Times New Roman"/>
                <w:color w:val="auto"/>
                <w:sz w:val="21"/>
                <w:szCs w:val="21"/>
                <w:highlight w:val="none"/>
                <w:lang w:val="en-US" w:eastAsia="zh-CN"/>
              </w:rPr>
              <w:t>5</w:t>
            </w:r>
            <w:bookmarkEnd w:id="634"/>
            <w:bookmarkEnd w:id="635"/>
            <w:bookmarkEnd w:id="636"/>
            <w:bookmarkEnd w:id="637"/>
          </w:p>
        </w:tc>
      </w:tr>
      <w:tr w14:paraId="15A21C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47BA9EC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38" w:name="_Toc4812"/>
            <w:bookmarkStart w:id="639" w:name="_Toc20065"/>
            <w:bookmarkStart w:id="640" w:name="_Toc3064"/>
            <w:bookmarkStart w:id="641" w:name="_Toc22571"/>
            <w:bookmarkStart w:id="642" w:name="_Toc24173"/>
            <w:r>
              <w:rPr>
                <w:rFonts w:hint="default" w:ascii="Times New Roman" w:hAnsi="Times New Roman" w:cs="Times New Roman"/>
                <w:color w:val="auto"/>
                <w:sz w:val="21"/>
                <w:szCs w:val="21"/>
                <w:highlight w:val="none"/>
              </w:rPr>
              <w:t>高锰酸盐指数</w:t>
            </w:r>
            <w:bookmarkEnd w:id="638"/>
            <w:r>
              <w:rPr>
                <w:rFonts w:hint="default" w:ascii="Times New Roman" w:hAnsi="Times New Roman" w:cs="Times New Roman"/>
                <w:color w:val="auto"/>
                <w:sz w:val="21"/>
                <w:szCs w:val="21"/>
                <w:highlight w:val="none"/>
              </w:rPr>
              <w:t>≤</w:t>
            </w:r>
            <w:bookmarkEnd w:id="639"/>
            <w:bookmarkEnd w:id="640"/>
            <w:bookmarkEnd w:id="641"/>
            <w:bookmarkEnd w:id="642"/>
          </w:p>
        </w:tc>
        <w:tc>
          <w:tcPr>
            <w:tcW w:w="2388" w:type="pct"/>
            <w:tcBorders>
              <w:tl2br w:val="nil"/>
              <w:tr2bl w:val="nil"/>
            </w:tcBorders>
            <w:vAlign w:val="center"/>
          </w:tcPr>
          <w:p w14:paraId="4CCED47C">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43" w:name="_Toc8228"/>
            <w:r>
              <w:rPr>
                <w:rFonts w:hint="default" w:ascii="Times New Roman" w:hAnsi="Times New Roman" w:cs="Times New Roman"/>
                <w:color w:val="auto"/>
                <w:sz w:val="21"/>
                <w:szCs w:val="21"/>
                <w:highlight w:val="none"/>
                <w:lang w:val="en-US" w:eastAsia="zh-CN"/>
              </w:rPr>
              <w:t>6</w:t>
            </w:r>
            <w:bookmarkEnd w:id="643"/>
          </w:p>
        </w:tc>
      </w:tr>
      <w:tr w14:paraId="16E3E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24F8AA2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44" w:name="_Toc13818"/>
            <w:bookmarkStart w:id="645" w:name="_Toc15400"/>
            <w:bookmarkStart w:id="646" w:name="_Toc22044"/>
            <w:bookmarkStart w:id="647" w:name="_Toc24461"/>
            <w:bookmarkStart w:id="648" w:name="_Toc14520"/>
            <w:r>
              <w:rPr>
                <w:rFonts w:hint="default" w:ascii="Times New Roman" w:hAnsi="Times New Roman" w:cs="Times New Roman"/>
                <w:color w:val="auto"/>
                <w:sz w:val="21"/>
                <w:szCs w:val="21"/>
                <w:highlight w:val="none"/>
              </w:rPr>
              <w:t>CODcr</w:t>
            </w:r>
            <w:bookmarkEnd w:id="644"/>
            <w:r>
              <w:rPr>
                <w:rFonts w:hint="default" w:ascii="Times New Roman" w:hAnsi="Times New Roman" w:cs="Times New Roman"/>
                <w:color w:val="auto"/>
                <w:sz w:val="21"/>
                <w:szCs w:val="21"/>
                <w:highlight w:val="none"/>
              </w:rPr>
              <w:t>≤</w:t>
            </w:r>
            <w:bookmarkEnd w:id="645"/>
            <w:bookmarkEnd w:id="646"/>
            <w:bookmarkEnd w:id="647"/>
            <w:bookmarkEnd w:id="648"/>
          </w:p>
        </w:tc>
        <w:tc>
          <w:tcPr>
            <w:tcW w:w="2388" w:type="pct"/>
            <w:tcBorders>
              <w:tl2br w:val="nil"/>
              <w:tr2bl w:val="nil"/>
            </w:tcBorders>
            <w:vAlign w:val="center"/>
          </w:tcPr>
          <w:p w14:paraId="347C12C5">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49" w:name="_Toc17698"/>
            <w:r>
              <w:rPr>
                <w:rFonts w:hint="default" w:ascii="Times New Roman" w:hAnsi="Times New Roman" w:cs="Times New Roman"/>
                <w:color w:val="auto"/>
                <w:sz w:val="21"/>
                <w:szCs w:val="21"/>
                <w:highlight w:val="none"/>
                <w:lang w:val="en-US" w:eastAsia="zh-CN"/>
              </w:rPr>
              <w:t>20</w:t>
            </w:r>
            <w:bookmarkEnd w:id="649"/>
          </w:p>
        </w:tc>
      </w:tr>
      <w:tr w14:paraId="543176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051CA38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50" w:name="_Toc7312"/>
            <w:bookmarkStart w:id="651" w:name="_Toc2604"/>
            <w:bookmarkStart w:id="652" w:name="_Toc10649"/>
            <w:bookmarkStart w:id="653" w:name="_Toc14742"/>
            <w:bookmarkStart w:id="654" w:name="_Toc17562"/>
            <w:r>
              <w:rPr>
                <w:rFonts w:hint="default" w:ascii="Times New Roman" w:hAnsi="Times New Roman" w:cs="Times New Roman"/>
                <w:color w:val="auto"/>
                <w:sz w:val="21"/>
                <w:szCs w:val="21"/>
                <w:highlight w:val="none"/>
              </w:rPr>
              <w:t>BOD5</w:t>
            </w:r>
            <w:bookmarkEnd w:id="650"/>
            <w:r>
              <w:rPr>
                <w:rFonts w:hint="default" w:ascii="Times New Roman" w:hAnsi="Times New Roman" w:cs="Times New Roman"/>
                <w:color w:val="auto"/>
                <w:sz w:val="21"/>
                <w:szCs w:val="21"/>
                <w:highlight w:val="none"/>
              </w:rPr>
              <w:t>≤</w:t>
            </w:r>
            <w:bookmarkEnd w:id="651"/>
            <w:bookmarkEnd w:id="652"/>
            <w:bookmarkEnd w:id="653"/>
            <w:bookmarkEnd w:id="654"/>
          </w:p>
        </w:tc>
        <w:tc>
          <w:tcPr>
            <w:tcW w:w="2388" w:type="pct"/>
            <w:tcBorders>
              <w:tl2br w:val="nil"/>
              <w:tr2bl w:val="nil"/>
            </w:tcBorders>
            <w:vAlign w:val="center"/>
          </w:tcPr>
          <w:p w14:paraId="1E61A4D1">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55" w:name="_Toc13867"/>
            <w:r>
              <w:rPr>
                <w:rFonts w:hint="default" w:ascii="Times New Roman" w:hAnsi="Times New Roman" w:cs="Times New Roman"/>
                <w:color w:val="auto"/>
                <w:sz w:val="21"/>
                <w:szCs w:val="21"/>
                <w:highlight w:val="none"/>
                <w:lang w:val="en-US" w:eastAsia="zh-CN"/>
              </w:rPr>
              <w:t>4</w:t>
            </w:r>
            <w:bookmarkEnd w:id="655"/>
          </w:p>
        </w:tc>
      </w:tr>
      <w:tr w14:paraId="5340C0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18E8178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56" w:name="_Toc7162"/>
            <w:bookmarkStart w:id="657" w:name="_Toc28234"/>
            <w:bookmarkStart w:id="658" w:name="_Toc3983"/>
            <w:bookmarkStart w:id="659" w:name="_Toc32089"/>
            <w:bookmarkStart w:id="660" w:name="_Toc15957"/>
            <w:r>
              <w:rPr>
                <w:rFonts w:hint="default" w:ascii="Times New Roman" w:hAnsi="Times New Roman" w:cs="Times New Roman"/>
                <w:color w:val="auto"/>
                <w:sz w:val="21"/>
                <w:szCs w:val="21"/>
                <w:highlight w:val="none"/>
              </w:rPr>
              <w:t>氨氮</w:t>
            </w:r>
            <w:bookmarkEnd w:id="656"/>
            <w:r>
              <w:rPr>
                <w:rFonts w:hint="default" w:ascii="Times New Roman" w:hAnsi="Times New Roman" w:cs="Times New Roman"/>
                <w:color w:val="auto"/>
                <w:sz w:val="21"/>
                <w:szCs w:val="21"/>
                <w:highlight w:val="none"/>
              </w:rPr>
              <w:t>≤</w:t>
            </w:r>
            <w:bookmarkEnd w:id="657"/>
            <w:bookmarkEnd w:id="658"/>
            <w:bookmarkEnd w:id="659"/>
            <w:bookmarkEnd w:id="660"/>
          </w:p>
        </w:tc>
        <w:tc>
          <w:tcPr>
            <w:tcW w:w="2388" w:type="pct"/>
            <w:tcBorders>
              <w:tl2br w:val="nil"/>
              <w:tr2bl w:val="nil"/>
            </w:tcBorders>
            <w:vAlign w:val="center"/>
          </w:tcPr>
          <w:p w14:paraId="0ED8945C">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61" w:name="_Toc6187"/>
            <w:r>
              <w:rPr>
                <w:rFonts w:hint="default" w:ascii="Times New Roman" w:hAnsi="Times New Roman" w:cs="Times New Roman"/>
                <w:color w:val="auto"/>
                <w:sz w:val="21"/>
                <w:szCs w:val="21"/>
                <w:highlight w:val="none"/>
                <w:lang w:val="en-US" w:eastAsia="zh-CN"/>
              </w:rPr>
              <w:t>1.0</w:t>
            </w:r>
            <w:bookmarkEnd w:id="661"/>
          </w:p>
        </w:tc>
      </w:tr>
      <w:tr w14:paraId="3B3857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70570DC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62" w:name="_Toc9595"/>
            <w:bookmarkStart w:id="663" w:name="_Toc32760"/>
            <w:bookmarkStart w:id="664" w:name="_Toc9033"/>
            <w:bookmarkStart w:id="665" w:name="_Toc7586"/>
            <w:bookmarkStart w:id="666" w:name="_Toc26668"/>
            <w:r>
              <w:rPr>
                <w:rFonts w:hint="default" w:ascii="Times New Roman" w:hAnsi="Times New Roman" w:cs="Times New Roman"/>
                <w:color w:val="auto"/>
                <w:sz w:val="21"/>
                <w:szCs w:val="21"/>
                <w:highlight w:val="none"/>
              </w:rPr>
              <w:t>总磷</w:t>
            </w:r>
            <w:bookmarkEnd w:id="662"/>
            <w:r>
              <w:rPr>
                <w:rFonts w:hint="default" w:ascii="Times New Roman" w:hAnsi="Times New Roman" w:cs="Times New Roman"/>
                <w:color w:val="auto"/>
                <w:sz w:val="21"/>
                <w:szCs w:val="21"/>
                <w:highlight w:val="none"/>
              </w:rPr>
              <w:t>≤</w:t>
            </w:r>
            <w:bookmarkEnd w:id="663"/>
            <w:bookmarkEnd w:id="664"/>
            <w:bookmarkEnd w:id="665"/>
            <w:bookmarkEnd w:id="666"/>
          </w:p>
        </w:tc>
        <w:tc>
          <w:tcPr>
            <w:tcW w:w="2388" w:type="pct"/>
            <w:tcBorders>
              <w:tl2br w:val="nil"/>
              <w:tr2bl w:val="nil"/>
            </w:tcBorders>
            <w:vAlign w:val="center"/>
          </w:tcPr>
          <w:p w14:paraId="78B7F0B5">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67" w:name="_Toc28710"/>
            <w:r>
              <w:rPr>
                <w:rFonts w:hint="default" w:ascii="Times New Roman" w:hAnsi="Times New Roman" w:cs="Times New Roman"/>
                <w:color w:val="auto"/>
                <w:sz w:val="21"/>
                <w:szCs w:val="21"/>
                <w:highlight w:val="none"/>
                <w:lang w:val="en-US" w:eastAsia="zh-CN"/>
              </w:rPr>
              <w:t>0.2</w:t>
            </w:r>
            <w:bookmarkEnd w:id="667"/>
          </w:p>
        </w:tc>
      </w:tr>
      <w:tr w14:paraId="537D67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459C656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68" w:name="_Toc2112"/>
            <w:bookmarkStart w:id="669" w:name="_Toc8565"/>
            <w:bookmarkStart w:id="670" w:name="_Toc22758"/>
            <w:bookmarkStart w:id="671" w:name="_Toc21329"/>
            <w:bookmarkStart w:id="672" w:name="_Toc28434"/>
            <w:r>
              <w:rPr>
                <w:rFonts w:hint="default" w:ascii="Times New Roman" w:hAnsi="Times New Roman" w:cs="Times New Roman"/>
                <w:color w:val="auto"/>
                <w:sz w:val="21"/>
                <w:szCs w:val="21"/>
                <w:highlight w:val="none"/>
              </w:rPr>
              <w:t>总氮</w:t>
            </w:r>
            <w:bookmarkEnd w:id="668"/>
            <w:r>
              <w:rPr>
                <w:rFonts w:hint="default" w:ascii="Times New Roman" w:hAnsi="Times New Roman" w:cs="Times New Roman"/>
                <w:color w:val="auto"/>
                <w:sz w:val="21"/>
                <w:szCs w:val="21"/>
                <w:highlight w:val="none"/>
              </w:rPr>
              <w:t>≤</w:t>
            </w:r>
            <w:bookmarkEnd w:id="669"/>
            <w:bookmarkEnd w:id="670"/>
            <w:bookmarkEnd w:id="671"/>
            <w:bookmarkEnd w:id="672"/>
          </w:p>
        </w:tc>
        <w:tc>
          <w:tcPr>
            <w:tcW w:w="2388" w:type="pct"/>
            <w:tcBorders>
              <w:tl2br w:val="nil"/>
              <w:tr2bl w:val="nil"/>
            </w:tcBorders>
            <w:vAlign w:val="center"/>
          </w:tcPr>
          <w:p w14:paraId="329A11E7">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73" w:name="_Toc1320"/>
            <w:r>
              <w:rPr>
                <w:rFonts w:hint="default" w:ascii="Times New Roman" w:hAnsi="Times New Roman" w:cs="Times New Roman"/>
                <w:color w:val="auto"/>
                <w:sz w:val="21"/>
                <w:szCs w:val="21"/>
                <w:highlight w:val="none"/>
                <w:lang w:val="en-US" w:eastAsia="zh-CN"/>
              </w:rPr>
              <w:t>1.0</w:t>
            </w:r>
            <w:bookmarkEnd w:id="673"/>
          </w:p>
        </w:tc>
      </w:tr>
      <w:tr w14:paraId="4B51EF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13D708A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74" w:name="_Toc8461"/>
            <w:bookmarkStart w:id="675" w:name="_Toc13994"/>
            <w:bookmarkStart w:id="676" w:name="_Toc27095"/>
            <w:bookmarkStart w:id="677" w:name="_Toc7253"/>
            <w:bookmarkStart w:id="678" w:name="_Toc7677"/>
            <w:r>
              <w:rPr>
                <w:rFonts w:hint="default" w:ascii="Times New Roman" w:hAnsi="Times New Roman" w:cs="Times New Roman"/>
                <w:color w:val="auto"/>
                <w:sz w:val="21"/>
                <w:szCs w:val="21"/>
                <w:highlight w:val="none"/>
              </w:rPr>
              <w:t>铜</w:t>
            </w:r>
            <w:bookmarkEnd w:id="674"/>
            <w:r>
              <w:rPr>
                <w:rFonts w:hint="default" w:ascii="Times New Roman" w:hAnsi="Times New Roman" w:cs="Times New Roman"/>
                <w:color w:val="auto"/>
                <w:sz w:val="21"/>
                <w:szCs w:val="21"/>
                <w:highlight w:val="none"/>
              </w:rPr>
              <w:t>≤</w:t>
            </w:r>
            <w:bookmarkEnd w:id="675"/>
            <w:bookmarkEnd w:id="676"/>
            <w:bookmarkEnd w:id="677"/>
            <w:bookmarkEnd w:id="678"/>
          </w:p>
        </w:tc>
        <w:tc>
          <w:tcPr>
            <w:tcW w:w="2388" w:type="pct"/>
            <w:tcBorders>
              <w:tl2br w:val="nil"/>
              <w:tr2bl w:val="nil"/>
            </w:tcBorders>
            <w:vAlign w:val="center"/>
          </w:tcPr>
          <w:p w14:paraId="52B28DEF">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79" w:name="_Toc21653"/>
            <w:r>
              <w:rPr>
                <w:rFonts w:hint="default" w:ascii="Times New Roman" w:hAnsi="Times New Roman" w:cs="Times New Roman"/>
                <w:color w:val="auto"/>
                <w:sz w:val="21"/>
                <w:szCs w:val="21"/>
                <w:highlight w:val="none"/>
                <w:lang w:val="en-US" w:eastAsia="zh-CN"/>
              </w:rPr>
              <w:t>1.0</w:t>
            </w:r>
            <w:bookmarkEnd w:id="679"/>
          </w:p>
        </w:tc>
      </w:tr>
      <w:tr w14:paraId="7761AF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15560FF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80" w:name="_Toc12177"/>
            <w:bookmarkStart w:id="681" w:name="_Toc30976"/>
            <w:bookmarkStart w:id="682" w:name="_Toc10044"/>
            <w:bookmarkStart w:id="683" w:name="_Toc28739"/>
            <w:bookmarkStart w:id="684" w:name="_Toc14270"/>
            <w:r>
              <w:rPr>
                <w:rFonts w:hint="default" w:ascii="Times New Roman" w:hAnsi="Times New Roman" w:cs="Times New Roman"/>
                <w:color w:val="auto"/>
                <w:sz w:val="21"/>
                <w:szCs w:val="21"/>
                <w:highlight w:val="none"/>
              </w:rPr>
              <w:t>锌</w:t>
            </w:r>
            <w:bookmarkEnd w:id="680"/>
            <w:r>
              <w:rPr>
                <w:rFonts w:hint="default" w:ascii="Times New Roman" w:hAnsi="Times New Roman" w:cs="Times New Roman"/>
                <w:color w:val="auto"/>
                <w:sz w:val="21"/>
                <w:szCs w:val="21"/>
                <w:highlight w:val="none"/>
              </w:rPr>
              <w:t>≤</w:t>
            </w:r>
            <w:bookmarkEnd w:id="681"/>
            <w:bookmarkEnd w:id="682"/>
            <w:bookmarkEnd w:id="683"/>
            <w:bookmarkEnd w:id="684"/>
          </w:p>
        </w:tc>
        <w:tc>
          <w:tcPr>
            <w:tcW w:w="2388" w:type="pct"/>
            <w:tcBorders>
              <w:tl2br w:val="nil"/>
              <w:tr2bl w:val="nil"/>
            </w:tcBorders>
            <w:vAlign w:val="center"/>
          </w:tcPr>
          <w:p w14:paraId="1199BBA9">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color w:val="auto"/>
                <w:sz w:val="21"/>
                <w:szCs w:val="21"/>
                <w:highlight w:val="none"/>
              </w:rPr>
            </w:pPr>
            <w:bookmarkStart w:id="685" w:name="_Toc30302"/>
            <w:r>
              <w:rPr>
                <w:rFonts w:hint="default" w:ascii="Times New Roman" w:hAnsi="Times New Roman" w:cs="Times New Roman"/>
                <w:color w:val="auto"/>
                <w:sz w:val="21"/>
                <w:szCs w:val="21"/>
                <w:highlight w:val="none"/>
                <w:lang w:val="en-US" w:eastAsia="zh-CN"/>
              </w:rPr>
              <w:t>1.0</w:t>
            </w:r>
            <w:bookmarkEnd w:id="685"/>
          </w:p>
        </w:tc>
      </w:tr>
      <w:tr w14:paraId="60C212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25D497B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86" w:name="_Toc28816"/>
            <w:bookmarkStart w:id="687" w:name="_Toc11747"/>
            <w:bookmarkStart w:id="688" w:name="_Toc16612"/>
            <w:bookmarkStart w:id="689" w:name="_Toc4115"/>
            <w:bookmarkStart w:id="690" w:name="_Toc17929"/>
            <w:r>
              <w:rPr>
                <w:rFonts w:hint="default" w:ascii="Times New Roman" w:hAnsi="Times New Roman" w:cs="Times New Roman"/>
                <w:color w:val="auto"/>
                <w:sz w:val="21"/>
                <w:szCs w:val="21"/>
                <w:highlight w:val="none"/>
              </w:rPr>
              <w:t>氟化物</w:t>
            </w:r>
            <w:bookmarkEnd w:id="686"/>
            <w:r>
              <w:rPr>
                <w:rFonts w:hint="default" w:ascii="Times New Roman" w:hAnsi="Times New Roman" w:cs="Times New Roman"/>
                <w:color w:val="auto"/>
                <w:sz w:val="21"/>
                <w:szCs w:val="21"/>
                <w:highlight w:val="none"/>
              </w:rPr>
              <w:t>≤</w:t>
            </w:r>
            <w:bookmarkEnd w:id="687"/>
            <w:bookmarkEnd w:id="688"/>
            <w:bookmarkEnd w:id="689"/>
            <w:bookmarkEnd w:id="690"/>
          </w:p>
        </w:tc>
        <w:tc>
          <w:tcPr>
            <w:tcW w:w="2388" w:type="pct"/>
            <w:tcBorders>
              <w:tl2br w:val="nil"/>
              <w:tr2bl w:val="nil"/>
            </w:tcBorders>
            <w:vAlign w:val="center"/>
          </w:tcPr>
          <w:p w14:paraId="68014430">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color w:val="auto"/>
                <w:sz w:val="21"/>
                <w:szCs w:val="21"/>
                <w:highlight w:val="none"/>
              </w:rPr>
            </w:pPr>
            <w:bookmarkStart w:id="691" w:name="_Toc11000"/>
            <w:r>
              <w:rPr>
                <w:rFonts w:hint="default" w:ascii="Times New Roman" w:hAnsi="Times New Roman" w:cs="Times New Roman"/>
                <w:color w:val="auto"/>
                <w:sz w:val="21"/>
                <w:szCs w:val="21"/>
                <w:highlight w:val="none"/>
                <w:lang w:val="en-US" w:eastAsia="zh-CN"/>
              </w:rPr>
              <w:t>1.0</w:t>
            </w:r>
            <w:bookmarkEnd w:id="691"/>
          </w:p>
        </w:tc>
      </w:tr>
      <w:tr w14:paraId="387B68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441F515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92" w:name="_Toc8981"/>
            <w:bookmarkStart w:id="693" w:name="_Toc2792"/>
            <w:bookmarkStart w:id="694" w:name="_Toc23054"/>
            <w:bookmarkStart w:id="695" w:name="_Toc20900"/>
            <w:bookmarkStart w:id="696" w:name="_Toc32263"/>
            <w:r>
              <w:rPr>
                <w:rFonts w:hint="default" w:ascii="Times New Roman" w:hAnsi="Times New Roman" w:cs="Times New Roman"/>
                <w:color w:val="auto"/>
                <w:sz w:val="21"/>
                <w:szCs w:val="21"/>
                <w:highlight w:val="none"/>
              </w:rPr>
              <w:t>硒</w:t>
            </w:r>
            <w:bookmarkEnd w:id="692"/>
            <w:r>
              <w:rPr>
                <w:rFonts w:hint="default" w:ascii="Times New Roman" w:hAnsi="Times New Roman" w:cs="Times New Roman"/>
                <w:color w:val="auto"/>
                <w:sz w:val="21"/>
                <w:szCs w:val="21"/>
                <w:highlight w:val="none"/>
              </w:rPr>
              <w:t>≤</w:t>
            </w:r>
            <w:bookmarkEnd w:id="693"/>
            <w:bookmarkEnd w:id="694"/>
            <w:bookmarkEnd w:id="695"/>
            <w:bookmarkEnd w:id="696"/>
          </w:p>
        </w:tc>
        <w:tc>
          <w:tcPr>
            <w:tcW w:w="2388" w:type="pct"/>
            <w:tcBorders>
              <w:tl2br w:val="nil"/>
              <w:tr2bl w:val="nil"/>
            </w:tcBorders>
            <w:vAlign w:val="center"/>
          </w:tcPr>
          <w:p w14:paraId="35F418FC">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697" w:name="_Toc11840"/>
            <w:r>
              <w:rPr>
                <w:rFonts w:hint="default" w:ascii="Times New Roman" w:hAnsi="Times New Roman" w:cs="Times New Roman"/>
                <w:color w:val="auto"/>
                <w:sz w:val="21"/>
                <w:szCs w:val="21"/>
                <w:highlight w:val="none"/>
                <w:lang w:val="en-US" w:eastAsia="zh-CN"/>
              </w:rPr>
              <w:t>0.01</w:t>
            </w:r>
            <w:bookmarkEnd w:id="697"/>
          </w:p>
        </w:tc>
      </w:tr>
      <w:tr w14:paraId="1FEC79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1EA482A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98" w:name="_Toc7273"/>
            <w:bookmarkStart w:id="699" w:name="_Toc8608"/>
            <w:bookmarkStart w:id="700" w:name="_Toc28959"/>
            <w:bookmarkStart w:id="701" w:name="_Toc8422"/>
            <w:bookmarkStart w:id="702" w:name="_Toc4192"/>
            <w:r>
              <w:rPr>
                <w:rFonts w:hint="default" w:ascii="Times New Roman" w:hAnsi="Times New Roman" w:cs="Times New Roman"/>
                <w:color w:val="auto"/>
                <w:sz w:val="21"/>
                <w:szCs w:val="21"/>
                <w:highlight w:val="none"/>
              </w:rPr>
              <w:t>砷</w:t>
            </w:r>
            <w:bookmarkEnd w:id="698"/>
            <w:r>
              <w:rPr>
                <w:rFonts w:hint="default" w:ascii="Times New Roman" w:hAnsi="Times New Roman" w:cs="Times New Roman"/>
                <w:color w:val="auto"/>
                <w:sz w:val="21"/>
                <w:szCs w:val="21"/>
                <w:highlight w:val="none"/>
              </w:rPr>
              <w:t>≤</w:t>
            </w:r>
            <w:bookmarkEnd w:id="699"/>
            <w:bookmarkEnd w:id="700"/>
            <w:bookmarkEnd w:id="701"/>
            <w:bookmarkEnd w:id="702"/>
          </w:p>
        </w:tc>
        <w:tc>
          <w:tcPr>
            <w:tcW w:w="2388" w:type="pct"/>
            <w:tcBorders>
              <w:tl2br w:val="nil"/>
              <w:tr2bl w:val="nil"/>
            </w:tcBorders>
            <w:vAlign w:val="center"/>
          </w:tcPr>
          <w:p w14:paraId="3FBEF282">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03" w:name="_Toc4925"/>
            <w:r>
              <w:rPr>
                <w:rFonts w:hint="default" w:ascii="Times New Roman" w:hAnsi="Times New Roman" w:cs="Times New Roman"/>
                <w:color w:val="auto"/>
                <w:sz w:val="21"/>
                <w:szCs w:val="21"/>
                <w:highlight w:val="none"/>
                <w:lang w:val="en-US" w:eastAsia="zh-CN"/>
              </w:rPr>
              <w:t>0.05</w:t>
            </w:r>
            <w:bookmarkEnd w:id="703"/>
          </w:p>
        </w:tc>
      </w:tr>
      <w:tr w14:paraId="484D2D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12A3CFF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4" w:name="_Toc2173"/>
            <w:bookmarkStart w:id="705" w:name="_Toc14450"/>
            <w:bookmarkStart w:id="706" w:name="_Toc19317"/>
            <w:bookmarkStart w:id="707" w:name="_Toc18374"/>
            <w:bookmarkStart w:id="708" w:name="_Toc21444"/>
            <w:r>
              <w:rPr>
                <w:rFonts w:hint="default" w:ascii="Times New Roman" w:hAnsi="Times New Roman" w:cs="Times New Roman"/>
                <w:color w:val="auto"/>
                <w:sz w:val="21"/>
                <w:szCs w:val="21"/>
                <w:highlight w:val="none"/>
              </w:rPr>
              <w:t>汞</w:t>
            </w:r>
            <w:bookmarkEnd w:id="704"/>
            <w:r>
              <w:rPr>
                <w:rFonts w:hint="default" w:ascii="Times New Roman" w:hAnsi="Times New Roman" w:cs="Times New Roman"/>
                <w:color w:val="auto"/>
                <w:sz w:val="21"/>
                <w:szCs w:val="21"/>
                <w:highlight w:val="none"/>
              </w:rPr>
              <w:t>≤</w:t>
            </w:r>
            <w:bookmarkEnd w:id="705"/>
            <w:bookmarkEnd w:id="706"/>
            <w:bookmarkEnd w:id="707"/>
            <w:bookmarkEnd w:id="708"/>
          </w:p>
        </w:tc>
        <w:tc>
          <w:tcPr>
            <w:tcW w:w="2388" w:type="pct"/>
            <w:tcBorders>
              <w:tl2br w:val="nil"/>
              <w:tr2bl w:val="nil"/>
            </w:tcBorders>
            <w:vAlign w:val="center"/>
          </w:tcPr>
          <w:p w14:paraId="154CEBEB">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09" w:name="_Toc22310"/>
            <w:r>
              <w:rPr>
                <w:rFonts w:hint="default" w:ascii="Times New Roman" w:hAnsi="Times New Roman" w:cs="Times New Roman"/>
                <w:color w:val="auto"/>
                <w:sz w:val="21"/>
                <w:szCs w:val="21"/>
                <w:highlight w:val="none"/>
                <w:lang w:val="en-US" w:eastAsia="zh-CN"/>
              </w:rPr>
              <w:t>0.00005</w:t>
            </w:r>
            <w:bookmarkEnd w:id="709"/>
          </w:p>
        </w:tc>
      </w:tr>
      <w:tr w14:paraId="03787E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26CEBF4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0" w:name="_Toc8936"/>
            <w:bookmarkStart w:id="711" w:name="_Toc19246"/>
            <w:bookmarkStart w:id="712" w:name="_Toc30278"/>
            <w:bookmarkStart w:id="713" w:name="_Toc24488"/>
            <w:bookmarkStart w:id="714" w:name="_Toc538"/>
            <w:r>
              <w:rPr>
                <w:rFonts w:hint="default" w:ascii="Times New Roman" w:hAnsi="Times New Roman" w:cs="Times New Roman"/>
                <w:color w:val="auto"/>
                <w:sz w:val="21"/>
                <w:szCs w:val="21"/>
                <w:highlight w:val="none"/>
              </w:rPr>
              <w:t>镉</w:t>
            </w:r>
            <w:bookmarkEnd w:id="710"/>
            <w:r>
              <w:rPr>
                <w:rFonts w:hint="default" w:ascii="Times New Roman" w:hAnsi="Times New Roman" w:cs="Times New Roman"/>
                <w:color w:val="auto"/>
                <w:sz w:val="21"/>
                <w:szCs w:val="21"/>
                <w:highlight w:val="none"/>
              </w:rPr>
              <w:t>≤</w:t>
            </w:r>
            <w:bookmarkEnd w:id="711"/>
            <w:bookmarkEnd w:id="712"/>
            <w:bookmarkEnd w:id="713"/>
            <w:bookmarkEnd w:id="714"/>
          </w:p>
        </w:tc>
        <w:tc>
          <w:tcPr>
            <w:tcW w:w="2388" w:type="pct"/>
            <w:tcBorders>
              <w:tl2br w:val="nil"/>
              <w:tr2bl w:val="nil"/>
            </w:tcBorders>
            <w:vAlign w:val="center"/>
          </w:tcPr>
          <w:p w14:paraId="639FB424">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15" w:name="_Toc25791"/>
            <w:r>
              <w:rPr>
                <w:rFonts w:hint="default" w:ascii="Times New Roman" w:hAnsi="Times New Roman" w:cs="Times New Roman"/>
                <w:color w:val="auto"/>
                <w:sz w:val="21"/>
                <w:szCs w:val="21"/>
                <w:highlight w:val="none"/>
                <w:lang w:val="en-US" w:eastAsia="zh-CN"/>
              </w:rPr>
              <w:t>0.005</w:t>
            </w:r>
            <w:bookmarkEnd w:id="715"/>
          </w:p>
        </w:tc>
      </w:tr>
      <w:tr w14:paraId="7D84FA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44F2EAA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6" w:name="_Toc21684"/>
            <w:bookmarkStart w:id="717" w:name="_Toc1391"/>
            <w:bookmarkStart w:id="718" w:name="_Toc4393"/>
            <w:bookmarkStart w:id="719" w:name="_Toc15635"/>
            <w:bookmarkStart w:id="720" w:name="_Toc2641"/>
            <w:r>
              <w:rPr>
                <w:rFonts w:hint="default" w:ascii="Times New Roman" w:hAnsi="Times New Roman" w:cs="Times New Roman"/>
                <w:color w:val="auto"/>
                <w:sz w:val="21"/>
                <w:szCs w:val="21"/>
                <w:highlight w:val="none"/>
              </w:rPr>
              <w:t>铬</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六价</w:t>
            </w:r>
            <w:r>
              <w:rPr>
                <w:rFonts w:hint="eastAsia" w:cs="Times New Roman"/>
                <w:color w:val="auto"/>
                <w:sz w:val="21"/>
                <w:szCs w:val="21"/>
                <w:highlight w:val="none"/>
                <w:lang w:eastAsia="zh-CN"/>
              </w:rPr>
              <w:t>）</w:t>
            </w:r>
            <w:bookmarkEnd w:id="716"/>
            <w:r>
              <w:rPr>
                <w:rFonts w:hint="default" w:ascii="Times New Roman" w:hAnsi="Times New Roman" w:cs="Times New Roman"/>
                <w:color w:val="auto"/>
                <w:sz w:val="21"/>
                <w:szCs w:val="21"/>
                <w:highlight w:val="none"/>
              </w:rPr>
              <w:t>≤</w:t>
            </w:r>
            <w:bookmarkEnd w:id="717"/>
            <w:bookmarkEnd w:id="718"/>
            <w:bookmarkEnd w:id="719"/>
            <w:bookmarkEnd w:id="720"/>
          </w:p>
        </w:tc>
        <w:tc>
          <w:tcPr>
            <w:tcW w:w="2388" w:type="pct"/>
            <w:tcBorders>
              <w:tl2br w:val="nil"/>
              <w:tr2bl w:val="nil"/>
            </w:tcBorders>
            <w:vAlign w:val="center"/>
          </w:tcPr>
          <w:p w14:paraId="5C5D255A">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21" w:name="_Toc12951"/>
            <w:r>
              <w:rPr>
                <w:rFonts w:hint="default" w:ascii="Times New Roman" w:hAnsi="Times New Roman" w:cs="Times New Roman"/>
                <w:color w:val="auto"/>
                <w:sz w:val="21"/>
                <w:szCs w:val="21"/>
                <w:highlight w:val="none"/>
                <w:lang w:val="en-US" w:eastAsia="zh-CN"/>
              </w:rPr>
              <w:t>0.05</w:t>
            </w:r>
            <w:bookmarkEnd w:id="721"/>
          </w:p>
        </w:tc>
      </w:tr>
      <w:tr w14:paraId="44E4B8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7D313C1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2" w:name="_Toc17787"/>
            <w:bookmarkStart w:id="723" w:name="_Toc18674"/>
            <w:bookmarkStart w:id="724" w:name="_Toc3479"/>
            <w:bookmarkStart w:id="725" w:name="_Toc800"/>
            <w:bookmarkStart w:id="726" w:name="_Toc26511"/>
            <w:r>
              <w:rPr>
                <w:rFonts w:hint="default" w:ascii="Times New Roman" w:hAnsi="Times New Roman" w:cs="Times New Roman"/>
                <w:color w:val="auto"/>
                <w:sz w:val="21"/>
                <w:szCs w:val="21"/>
                <w:highlight w:val="none"/>
              </w:rPr>
              <w:t>铅</w:t>
            </w:r>
            <w:bookmarkEnd w:id="722"/>
            <w:r>
              <w:rPr>
                <w:rFonts w:hint="default" w:ascii="Times New Roman" w:hAnsi="Times New Roman" w:cs="Times New Roman"/>
                <w:color w:val="auto"/>
                <w:sz w:val="21"/>
                <w:szCs w:val="21"/>
                <w:highlight w:val="none"/>
              </w:rPr>
              <w:t>≤</w:t>
            </w:r>
            <w:bookmarkEnd w:id="723"/>
            <w:bookmarkEnd w:id="724"/>
            <w:bookmarkEnd w:id="725"/>
            <w:bookmarkEnd w:id="726"/>
          </w:p>
        </w:tc>
        <w:tc>
          <w:tcPr>
            <w:tcW w:w="2388" w:type="pct"/>
            <w:tcBorders>
              <w:tl2br w:val="nil"/>
              <w:tr2bl w:val="nil"/>
            </w:tcBorders>
            <w:vAlign w:val="center"/>
          </w:tcPr>
          <w:p w14:paraId="6EEFEFAE">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27" w:name="_Toc16289"/>
            <w:r>
              <w:rPr>
                <w:rFonts w:hint="default" w:ascii="Times New Roman" w:hAnsi="Times New Roman" w:cs="Times New Roman"/>
                <w:color w:val="auto"/>
                <w:sz w:val="21"/>
                <w:szCs w:val="21"/>
                <w:highlight w:val="none"/>
                <w:lang w:val="en-US" w:eastAsia="zh-CN"/>
              </w:rPr>
              <w:t>0.05</w:t>
            </w:r>
            <w:bookmarkEnd w:id="727"/>
          </w:p>
        </w:tc>
      </w:tr>
      <w:tr w14:paraId="056FA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7124454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8" w:name="_Toc8886"/>
            <w:bookmarkStart w:id="729" w:name="_Toc9745"/>
            <w:bookmarkStart w:id="730" w:name="_Toc14750"/>
            <w:bookmarkStart w:id="731" w:name="_Toc7858"/>
            <w:bookmarkStart w:id="732" w:name="_Toc27729"/>
            <w:r>
              <w:rPr>
                <w:rFonts w:hint="default" w:ascii="Times New Roman" w:hAnsi="Times New Roman" w:cs="Times New Roman"/>
                <w:color w:val="auto"/>
                <w:sz w:val="21"/>
                <w:szCs w:val="21"/>
                <w:highlight w:val="none"/>
              </w:rPr>
              <w:t>氰化物</w:t>
            </w:r>
            <w:bookmarkEnd w:id="728"/>
            <w:r>
              <w:rPr>
                <w:rFonts w:hint="default" w:ascii="Times New Roman" w:hAnsi="Times New Roman" w:cs="Times New Roman"/>
                <w:color w:val="auto"/>
                <w:sz w:val="21"/>
                <w:szCs w:val="21"/>
                <w:highlight w:val="none"/>
              </w:rPr>
              <w:t>≤</w:t>
            </w:r>
            <w:bookmarkEnd w:id="729"/>
            <w:bookmarkEnd w:id="730"/>
            <w:bookmarkEnd w:id="731"/>
            <w:bookmarkEnd w:id="732"/>
          </w:p>
        </w:tc>
        <w:tc>
          <w:tcPr>
            <w:tcW w:w="2388" w:type="pct"/>
            <w:tcBorders>
              <w:tl2br w:val="nil"/>
              <w:tr2bl w:val="nil"/>
            </w:tcBorders>
            <w:vAlign w:val="center"/>
          </w:tcPr>
          <w:p w14:paraId="271EE244">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33" w:name="_Toc25323"/>
            <w:r>
              <w:rPr>
                <w:rFonts w:hint="default" w:ascii="Times New Roman" w:hAnsi="Times New Roman" w:cs="Times New Roman"/>
                <w:color w:val="auto"/>
                <w:sz w:val="21"/>
                <w:szCs w:val="21"/>
                <w:highlight w:val="none"/>
                <w:lang w:val="en-US" w:eastAsia="zh-CN"/>
              </w:rPr>
              <w:t>0.2</w:t>
            </w:r>
            <w:bookmarkEnd w:id="733"/>
          </w:p>
        </w:tc>
      </w:tr>
      <w:tr w14:paraId="163C9A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18A4C7E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34" w:name="_Toc13858"/>
            <w:bookmarkStart w:id="735" w:name="_Toc9310"/>
            <w:bookmarkStart w:id="736" w:name="_Toc19235"/>
            <w:bookmarkStart w:id="737" w:name="_Toc21295"/>
            <w:bookmarkStart w:id="738" w:name="_Toc9421"/>
            <w:r>
              <w:rPr>
                <w:rFonts w:hint="default" w:ascii="Times New Roman" w:hAnsi="Times New Roman" w:cs="Times New Roman"/>
                <w:color w:val="auto"/>
                <w:sz w:val="21"/>
                <w:szCs w:val="21"/>
                <w:highlight w:val="none"/>
              </w:rPr>
              <w:t>挥发酚</w:t>
            </w:r>
            <w:bookmarkEnd w:id="734"/>
            <w:r>
              <w:rPr>
                <w:rFonts w:hint="default" w:ascii="Times New Roman" w:hAnsi="Times New Roman" w:cs="Times New Roman"/>
                <w:color w:val="auto"/>
                <w:sz w:val="21"/>
                <w:szCs w:val="21"/>
                <w:highlight w:val="none"/>
              </w:rPr>
              <w:t>≤</w:t>
            </w:r>
            <w:bookmarkEnd w:id="735"/>
            <w:bookmarkEnd w:id="736"/>
            <w:bookmarkEnd w:id="737"/>
            <w:bookmarkEnd w:id="738"/>
          </w:p>
        </w:tc>
        <w:tc>
          <w:tcPr>
            <w:tcW w:w="2388" w:type="pct"/>
            <w:tcBorders>
              <w:tl2br w:val="nil"/>
              <w:tr2bl w:val="nil"/>
            </w:tcBorders>
            <w:vAlign w:val="center"/>
          </w:tcPr>
          <w:p w14:paraId="5CE3D988">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39" w:name="_Toc9777"/>
            <w:r>
              <w:rPr>
                <w:rFonts w:hint="default" w:ascii="Times New Roman" w:hAnsi="Times New Roman" w:cs="Times New Roman"/>
                <w:color w:val="auto"/>
                <w:sz w:val="21"/>
                <w:szCs w:val="21"/>
                <w:highlight w:val="none"/>
                <w:lang w:val="en-US" w:eastAsia="zh-CN"/>
              </w:rPr>
              <w:t>0.005</w:t>
            </w:r>
            <w:bookmarkEnd w:id="739"/>
          </w:p>
        </w:tc>
      </w:tr>
      <w:tr w14:paraId="2544A1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5EB9183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0" w:name="_Toc27813"/>
            <w:bookmarkStart w:id="741" w:name="_Toc24386"/>
            <w:bookmarkStart w:id="742" w:name="_Toc29329"/>
            <w:bookmarkStart w:id="743" w:name="_Toc732"/>
            <w:bookmarkStart w:id="744" w:name="_Toc7060"/>
            <w:r>
              <w:rPr>
                <w:rFonts w:hint="default" w:ascii="Times New Roman" w:hAnsi="Times New Roman" w:cs="Times New Roman"/>
                <w:color w:val="auto"/>
                <w:sz w:val="21"/>
                <w:szCs w:val="21"/>
                <w:highlight w:val="none"/>
              </w:rPr>
              <w:t>石油类</w:t>
            </w:r>
            <w:bookmarkEnd w:id="740"/>
            <w:r>
              <w:rPr>
                <w:rFonts w:hint="default" w:ascii="Times New Roman" w:hAnsi="Times New Roman" w:cs="Times New Roman"/>
                <w:color w:val="auto"/>
                <w:sz w:val="21"/>
                <w:szCs w:val="21"/>
                <w:highlight w:val="none"/>
              </w:rPr>
              <w:t>≤</w:t>
            </w:r>
            <w:bookmarkEnd w:id="741"/>
            <w:bookmarkEnd w:id="742"/>
            <w:bookmarkEnd w:id="743"/>
            <w:bookmarkEnd w:id="744"/>
          </w:p>
        </w:tc>
        <w:tc>
          <w:tcPr>
            <w:tcW w:w="2388" w:type="pct"/>
            <w:tcBorders>
              <w:tl2br w:val="nil"/>
              <w:tr2bl w:val="nil"/>
            </w:tcBorders>
            <w:vAlign w:val="center"/>
          </w:tcPr>
          <w:p w14:paraId="0F4C0D9B">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45" w:name="_Toc12149"/>
            <w:r>
              <w:rPr>
                <w:rFonts w:hint="default" w:ascii="Times New Roman" w:hAnsi="Times New Roman" w:cs="Times New Roman"/>
                <w:color w:val="auto"/>
                <w:sz w:val="21"/>
                <w:szCs w:val="21"/>
                <w:highlight w:val="none"/>
                <w:lang w:val="en-US" w:eastAsia="zh-CN"/>
              </w:rPr>
              <w:t>0.05</w:t>
            </w:r>
            <w:bookmarkEnd w:id="745"/>
          </w:p>
        </w:tc>
      </w:tr>
      <w:tr w14:paraId="351796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1378307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6" w:name="_Toc14627"/>
            <w:bookmarkStart w:id="747" w:name="_Toc9051"/>
            <w:bookmarkStart w:id="748" w:name="_Toc26395"/>
            <w:bookmarkStart w:id="749" w:name="_Toc15258"/>
            <w:bookmarkStart w:id="750" w:name="_Toc20916"/>
            <w:r>
              <w:rPr>
                <w:rFonts w:hint="default" w:ascii="Times New Roman" w:hAnsi="Times New Roman" w:cs="Times New Roman"/>
                <w:color w:val="auto"/>
                <w:sz w:val="21"/>
                <w:szCs w:val="21"/>
                <w:highlight w:val="none"/>
              </w:rPr>
              <w:t>阴离子表面活性剂</w:t>
            </w:r>
            <w:bookmarkEnd w:id="746"/>
            <w:r>
              <w:rPr>
                <w:rFonts w:hint="default" w:ascii="Times New Roman" w:hAnsi="Times New Roman" w:cs="Times New Roman"/>
                <w:color w:val="auto"/>
                <w:sz w:val="21"/>
                <w:szCs w:val="21"/>
                <w:highlight w:val="none"/>
              </w:rPr>
              <w:t>≤</w:t>
            </w:r>
            <w:bookmarkEnd w:id="747"/>
            <w:bookmarkEnd w:id="748"/>
            <w:bookmarkEnd w:id="749"/>
            <w:bookmarkEnd w:id="750"/>
          </w:p>
        </w:tc>
        <w:tc>
          <w:tcPr>
            <w:tcW w:w="2388" w:type="pct"/>
            <w:tcBorders>
              <w:tl2br w:val="nil"/>
              <w:tr2bl w:val="nil"/>
            </w:tcBorders>
            <w:vAlign w:val="center"/>
          </w:tcPr>
          <w:p w14:paraId="66354695">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51" w:name="_Toc7827"/>
            <w:r>
              <w:rPr>
                <w:rFonts w:hint="default" w:ascii="Times New Roman" w:hAnsi="Times New Roman" w:cs="Times New Roman"/>
                <w:color w:val="auto"/>
                <w:sz w:val="21"/>
                <w:szCs w:val="21"/>
                <w:highlight w:val="none"/>
                <w:lang w:val="en-US" w:eastAsia="zh-CN"/>
              </w:rPr>
              <w:t>0.2</w:t>
            </w:r>
            <w:bookmarkEnd w:id="751"/>
          </w:p>
        </w:tc>
      </w:tr>
      <w:tr w14:paraId="0D187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60E1C7D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2" w:name="_Toc23322"/>
            <w:bookmarkStart w:id="753" w:name="_Toc22410"/>
            <w:bookmarkStart w:id="754" w:name="_Toc7376"/>
            <w:bookmarkStart w:id="755" w:name="_Toc1586"/>
            <w:bookmarkStart w:id="756" w:name="_Toc24410"/>
            <w:r>
              <w:rPr>
                <w:rFonts w:hint="default" w:ascii="Times New Roman" w:hAnsi="Times New Roman" w:cs="Times New Roman"/>
                <w:color w:val="auto"/>
                <w:sz w:val="21"/>
                <w:szCs w:val="21"/>
                <w:highlight w:val="none"/>
              </w:rPr>
              <w:t>硫化物</w:t>
            </w:r>
            <w:bookmarkEnd w:id="752"/>
            <w:r>
              <w:rPr>
                <w:rFonts w:hint="default" w:ascii="Times New Roman" w:hAnsi="Times New Roman" w:cs="Times New Roman"/>
                <w:color w:val="auto"/>
                <w:sz w:val="21"/>
                <w:szCs w:val="21"/>
                <w:highlight w:val="none"/>
              </w:rPr>
              <w:t>≤</w:t>
            </w:r>
            <w:bookmarkEnd w:id="753"/>
            <w:bookmarkEnd w:id="754"/>
            <w:bookmarkEnd w:id="755"/>
            <w:bookmarkEnd w:id="756"/>
          </w:p>
        </w:tc>
        <w:tc>
          <w:tcPr>
            <w:tcW w:w="2388" w:type="pct"/>
            <w:tcBorders>
              <w:tl2br w:val="nil"/>
              <w:tr2bl w:val="nil"/>
            </w:tcBorders>
            <w:vAlign w:val="center"/>
          </w:tcPr>
          <w:p w14:paraId="3955AAB1">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57" w:name="_Toc31505"/>
            <w:r>
              <w:rPr>
                <w:rFonts w:hint="default" w:ascii="Times New Roman" w:hAnsi="Times New Roman" w:cs="Times New Roman"/>
                <w:color w:val="auto"/>
                <w:sz w:val="21"/>
                <w:szCs w:val="21"/>
                <w:highlight w:val="none"/>
                <w:lang w:val="en-US" w:eastAsia="zh-CN"/>
              </w:rPr>
              <w:t>0.2</w:t>
            </w:r>
            <w:bookmarkEnd w:id="757"/>
          </w:p>
        </w:tc>
      </w:tr>
      <w:tr w14:paraId="3CD07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11" w:type="pct"/>
            <w:tcBorders>
              <w:tl2br w:val="nil"/>
              <w:tr2bl w:val="nil"/>
            </w:tcBorders>
            <w:tcMar>
              <w:top w:w="10" w:type="dxa"/>
              <w:bottom w:w="10" w:type="dxa"/>
            </w:tcMar>
            <w:vAlign w:val="center"/>
          </w:tcPr>
          <w:p w14:paraId="06AAA13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8" w:name="_Toc3839"/>
            <w:bookmarkStart w:id="759" w:name="_Toc23127"/>
            <w:bookmarkStart w:id="760" w:name="_Toc26615"/>
            <w:bookmarkStart w:id="761" w:name="_Toc9572"/>
            <w:bookmarkStart w:id="762" w:name="_Toc32439"/>
            <w:r>
              <w:rPr>
                <w:rFonts w:hint="default" w:ascii="Times New Roman" w:hAnsi="Times New Roman" w:cs="Times New Roman"/>
                <w:color w:val="auto"/>
                <w:sz w:val="21"/>
                <w:szCs w:val="21"/>
                <w:highlight w:val="none"/>
              </w:rPr>
              <w:t>粪大肠菌群（个/L）</w:t>
            </w:r>
            <w:bookmarkEnd w:id="758"/>
            <w:r>
              <w:rPr>
                <w:rFonts w:hint="default" w:ascii="Times New Roman" w:hAnsi="Times New Roman" w:cs="Times New Roman"/>
                <w:color w:val="auto"/>
                <w:sz w:val="21"/>
                <w:szCs w:val="21"/>
                <w:highlight w:val="none"/>
              </w:rPr>
              <w:t>≤</w:t>
            </w:r>
            <w:bookmarkEnd w:id="759"/>
            <w:bookmarkEnd w:id="760"/>
            <w:bookmarkEnd w:id="761"/>
            <w:bookmarkEnd w:id="762"/>
          </w:p>
        </w:tc>
        <w:tc>
          <w:tcPr>
            <w:tcW w:w="2388" w:type="pct"/>
            <w:tcBorders>
              <w:tl2br w:val="nil"/>
              <w:tr2bl w:val="nil"/>
            </w:tcBorders>
            <w:vAlign w:val="center"/>
          </w:tcPr>
          <w:p w14:paraId="264DD79C">
            <w:pPr>
              <w:pStyle w:val="29"/>
              <w:suppressLineNumbers w:val="0"/>
              <w:bidi w:val="0"/>
              <w:spacing w:beforeAutospacing="0" w:afterAutospacing="0"/>
              <w:ind w:left="0" w:right="0"/>
              <w:outlineLvl w:val="9"/>
              <w:rPr>
                <w:rFonts w:hint="default" w:ascii="Times New Roman" w:hAnsi="Times New Roman" w:eastAsia="宋体" w:cs="Times New Roman"/>
                <w:color w:val="auto"/>
                <w:sz w:val="21"/>
                <w:szCs w:val="21"/>
                <w:highlight w:val="none"/>
                <w:lang w:val="en-US" w:eastAsia="zh-CN"/>
              </w:rPr>
            </w:pPr>
            <w:bookmarkStart w:id="763" w:name="_Toc26217"/>
            <w:r>
              <w:rPr>
                <w:rFonts w:hint="default" w:ascii="Times New Roman" w:hAnsi="Times New Roman" w:cs="Times New Roman"/>
                <w:color w:val="auto"/>
                <w:sz w:val="21"/>
                <w:szCs w:val="21"/>
                <w:highlight w:val="none"/>
                <w:lang w:val="en-US" w:eastAsia="zh-CN"/>
              </w:rPr>
              <w:t>10000</w:t>
            </w:r>
            <w:bookmarkEnd w:id="763"/>
          </w:p>
        </w:tc>
      </w:tr>
    </w:tbl>
    <w:p w14:paraId="4F0CC8D8">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（3）地下水环境质量标准</w:t>
      </w:r>
    </w:p>
    <w:p w14:paraId="389B2283">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区域地下水执行《地下水质量标准》</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GB/T14848-2017</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中Ⅲ类标准。具体见表1.4-3。</w:t>
      </w:r>
    </w:p>
    <w:p w14:paraId="3482E9BB">
      <w:pP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表1.4-3《地下水质量标准》（GB/T14848-2017）Ⅲ类标准</w:t>
      </w:r>
    </w:p>
    <w:p w14:paraId="7101F06A">
      <w:pPr>
        <w:ind w:left="0" w:leftChars="0" w:firstLine="0" w:firstLineChars="0"/>
        <w:jc w:val="right"/>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4"/>
          <w:szCs w:val="24"/>
          <w:highlight w:val="none"/>
        </w:rPr>
        <w:t>单位：mg/L，pH无量纲</w:t>
      </w:r>
    </w:p>
    <w:tbl>
      <w:tblPr>
        <w:tblStyle w:val="31"/>
        <w:tblW w:w="83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292"/>
        <w:gridCol w:w="1446"/>
        <w:gridCol w:w="3314"/>
        <w:gridCol w:w="1284"/>
      </w:tblGrid>
      <w:tr w14:paraId="5950F9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tblHeader/>
          <w:jc w:val="center"/>
        </w:trPr>
        <w:tc>
          <w:tcPr>
            <w:tcW w:w="2292" w:type="dxa"/>
            <w:tcBorders>
              <w:tl2br w:val="nil"/>
              <w:tr2bl w:val="nil"/>
            </w:tcBorders>
            <w:tcMar>
              <w:top w:w="15" w:type="dxa"/>
              <w:left w:w="15" w:type="dxa"/>
              <w:right w:w="15" w:type="dxa"/>
            </w:tcMar>
            <w:vAlign w:val="center"/>
          </w:tcPr>
          <w:p w14:paraId="5051AF9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764" w:name="_Toc8596"/>
            <w:bookmarkStart w:id="765" w:name="_Toc17872"/>
            <w:bookmarkStart w:id="766" w:name="_Toc7354"/>
            <w:bookmarkStart w:id="767" w:name="_Toc14931"/>
            <w:r>
              <w:rPr>
                <w:rFonts w:hint="default" w:ascii="Times New Roman" w:hAnsi="Times New Roman" w:cs="Times New Roman"/>
                <w:b/>
                <w:bCs/>
                <w:color w:val="auto"/>
                <w:sz w:val="21"/>
                <w:szCs w:val="21"/>
                <w:highlight w:val="none"/>
              </w:rPr>
              <w:t>检测项目</w:t>
            </w:r>
            <w:bookmarkEnd w:id="764"/>
            <w:bookmarkEnd w:id="765"/>
            <w:bookmarkEnd w:id="766"/>
            <w:bookmarkEnd w:id="767"/>
          </w:p>
        </w:tc>
        <w:tc>
          <w:tcPr>
            <w:tcW w:w="1446" w:type="dxa"/>
            <w:tcBorders>
              <w:tl2br w:val="nil"/>
              <w:tr2bl w:val="nil"/>
            </w:tcBorders>
            <w:tcMar>
              <w:top w:w="15" w:type="dxa"/>
              <w:left w:w="15" w:type="dxa"/>
              <w:right w:w="15" w:type="dxa"/>
            </w:tcMar>
            <w:vAlign w:val="center"/>
          </w:tcPr>
          <w:p w14:paraId="29C55EB6">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768" w:name="_Toc14067"/>
            <w:bookmarkStart w:id="769" w:name="_Toc11326"/>
            <w:bookmarkStart w:id="770" w:name="_Toc31490"/>
            <w:bookmarkStart w:id="771" w:name="_Toc8811"/>
            <w:r>
              <w:rPr>
                <w:rFonts w:hint="default" w:ascii="Times New Roman" w:hAnsi="Times New Roman" w:cs="Times New Roman"/>
                <w:b/>
                <w:bCs/>
                <w:color w:val="auto"/>
                <w:sz w:val="21"/>
                <w:szCs w:val="21"/>
                <w:highlight w:val="none"/>
              </w:rPr>
              <w:t>地下水类</w:t>
            </w:r>
            <w:bookmarkEnd w:id="768"/>
            <w:bookmarkEnd w:id="769"/>
            <w:bookmarkEnd w:id="770"/>
            <w:bookmarkEnd w:id="771"/>
          </w:p>
        </w:tc>
        <w:tc>
          <w:tcPr>
            <w:tcW w:w="3314" w:type="dxa"/>
            <w:tcBorders>
              <w:tl2br w:val="nil"/>
              <w:tr2bl w:val="nil"/>
            </w:tcBorders>
            <w:tcMar>
              <w:top w:w="15" w:type="dxa"/>
              <w:left w:w="15" w:type="dxa"/>
              <w:right w:w="15" w:type="dxa"/>
            </w:tcMar>
            <w:vAlign w:val="center"/>
          </w:tcPr>
          <w:p w14:paraId="2496952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772" w:name="_Toc24238"/>
            <w:bookmarkStart w:id="773" w:name="_Toc19548"/>
            <w:bookmarkStart w:id="774" w:name="_Toc30762"/>
            <w:bookmarkStart w:id="775" w:name="_Toc32710"/>
            <w:r>
              <w:rPr>
                <w:rFonts w:hint="default" w:ascii="Times New Roman" w:hAnsi="Times New Roman" w:cs="Times New Roman"/>
                <w:b/>
                <w:bCs/>
                <w:color w:val="auto"/>
                <w:sz w:val="21"/>
                <w:szCs w:val="21"/>
                <w:highlight w:val="none"/>
              </w:rPr>
              <w:t>检测项目</w:t>
            </w:r>
            <w:bookmarkEnd w:id="772"/>
            <w:bookmarkEnd w:id="773"/>
            <w:bookmarkEnd w:id="774"/>
            <w:bookmarkEnd w:id="775"/>
          </w:p>
        </w:tc>
        <w:tc>
          <w:tcPr>
            <w:tcW w:w="1284" w:type="dxa"/>
            <w:tcBorders>
              <w:tl2br w:val="nil"/>
              <w:tr2bl w:val="nil"/>
            </w:tcBorders>
            <w:tcMar>
              <w:top w:w="15" w:type="dxa"/>
              <w:left w:w="15" w:type="dxa"/>
              <w:right w:w="15" w:type="dxa"/>
            </w:tcMar>
            <w:vAlign w:val="center"/>
          </w:tcPr>
          <w:p w14:paraId="6ADBB6C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776" w:name="_Toc26176"/>
            <w:bookmarkStart w:id="777" w:name="_Toc8408"/>
            <w:bookmarkStart w:id="778" w:name="_Toc5894"/>
            <w:bookmarkStart w:id="779" w:name="_Toc8429"/>
            <w:r>
              <w:rPr>
                <w:rFonts w:hint="default" w:ascii="Times New Roman" w:hAnsi="Times New Roman" w:cs="Times New Roman"/>
                <w:b/>
                <w:bCs/>
                <w:color w:val="auto"/>
                <w:sz w:val="21"/>
                <w:szCs w:val="21"/>
                <w:highlight w:val="none"/>
              </w:rPr>
              <w:t>地下水类</w:t>
            </w:r>
            <w:bookmarkEnd w:id="776"/>
            <w:bookmarkEnd w:id="777"/>
            <w:bookmarkEnd w:id="778"/>
            <w:bookmarkEnd w:id="779"/>
          </w:p>
        </w:tc>
      </w:tr>
      <w:tr w14:paraId="088D7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tcMar>
              <w:top w:w="15" w:type="dxa"/>
              <w:left w:w="15" w:type="dxa"/>
              <w:right w:w="15" w:type="dxa"/>
            </w:tcMar>
            <w:vAlign w:val="center"/>
          </w:tcPr>
          <w:p w14:paraId="0226926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80" w:name="_Toc28772"/>
            <w:bookmarkStart w:id="781" w:name="_Toc12971"/>
            <w:bookmarkStart w:id="782" w:name="_Toc14092"/>
            <w:bookmarkStart w:id="783" w:name="_Toc7691"/>
            <w:r>
              <w:rPr>
                <w:rFonts w:hint="default" w:ascii="Times New Roman" w:hAnsi="Times New Roman" w:cs="Times New Roman"/>
                <w:color w:val="auto"/>
                <w:sz w:val="21"/>
                <w:szCs w:val="21"/>
                <w:highlight w:val="none"/>
              </w:rPr>
              <w:t>pH</w:t>
            </w:r>
            <w:bookmarkEnd w:id="780"/>
            <w:bookmarkEnd w:id="781"/>
            <w:bookmarkEnd w:id="782"/>
            <w:bookmarkEnd w:id="783"/>
          </w:p>
        </w:tc>
        <w:tc>
          <w:tcPr>
            <w:tcW w:w="1446" w:type="dxa"/>
            <w:tcBorders>
              <w:tl2br w:val="nil"/>
              <w:tr2bl w:val="nil"/>
            </w:tcBorders>
            <w:tcMar>
              <w:top w:w="15" w:type="dxa"/>
              <w:left w:w="15" w:type="dxa"/>
              <w:right w:w="15" w:type="dxa"/>
            </w:tcMar>
            <w:vAlign w:val="center"/>
          </w:tcPr>
          <w:p w14:paraId="6571B2B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84" w:name="_Toc11675"/>
            <w:bookmarkStart w:id="785" w:name="_Toc12330"/>
            <w:bookmarkStart w:id="786" w:name="_Toc11499"/>
            <w:bookmarkStart w:id="787" w:name="_Toc14014"/>
            <w:r>
              <w:rPr>
                <w:rFonts w:hint="default" w:ascii="Times New Roman" w:hAnsi="Times New Roman" w:cs="Times New Roman"/>
                <w:color w:val="auto"/>
                <w:sz w:val="21"/>
                <w:szCs w:val="21"/>
                <w:highlight w:val="none"/>
              </w:rPr>
              <w:t>6.5~8.5</w:t>
            </w:r>
            <w:bookmarkEnd w:id="784"/>
            <w:bookmarkEnd w:id="785"/>
            <w:bookmarkEnd w:id="786"/>
            <w:bookmarkEnd w:id="787"/>
          </w:p>
        </w:tc>
        <w:tc>
          <w:tcPr>
            <w:tcW w:w="3314" w:type="dxa"/>
            <w:tcBorders>
              <w:tl2br w:val="nil"/>
              <w:tr2bl w:val="nil"/>
            </w:tcBorders>
            <w:tcMar>
              <w:top w:w="15" w:type="dxa"/>
              <w:left w:w="15" w:type="dxa"/>
              <w:right w:w="15" w:type="dxa"/>
            </w:tcMar>
            <w:vAlign w:val="center"/>
          </w:tcPr>
          <w:p w14:paraId="7463C22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88" w:name="_Toc26751"/>
            <w:bookmarkStart w:id="789" w:name="_Toc28042"/>
            <w:bookmarkStart w:id="790" w:name="_Toc13499"/>
            <w:bookmarkStart w:id="791" w:name="_Toc12309"/>
            <w:r>
              <w:rPr>
                <w:rFonts w:hint="default" w:ascii="Times New Roman" w:hAnsi="Times New Roman" w:cs="Times New Roman"/>
                <w:color w:val="auto"/>
                <w:sz w:val="21"/>
                <w:szCs w:val="21"/>
                <w:highlight w:val="none"/>
              </w:rPr>
              <w:t>氟化物</w:t>
            </w:r>
            <w:bookmarkEnd w:id="788"/>
            <w:bookmarkEnd w:id="789"/>
            <w:bookmarkEnd w:id="790"/>
            <w:bookmarkEnd w:id="791"/>
          </w:p>
        </w:tc>
        <w:tc>
          <w:tcPr>
            <w:tcW w:w="1284" w:type="dxa"/>
            <w:tcBorders>
              <w:tl2br w:val="nil"/>
              <w:tr2bl w:val="nil"/>
            </w:tcBorders>
            <w:tcMar>
              <w:top w:w="15" w:type="dxa"/>
              <w:left w:w="15" w:type="dxa"/>
              <w:right w:w="15" w:type="dxa"/>
            </w:tcMar>
            <w:vAlign w:val="center"/>
          </w:tcPr>
          <w:p w14:paraId="42306F6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92" w:name="_Toc7282"/>
            <w:bookmarkStart w:id="793" w:name="_Toc4075"/>
            <w:bookmarkStart w:id="794" w:name="_Toc19227"/>
            <w:bookmarkStart w:id="795" w:name="_Toc27056"/>
            <w:r>
              <w:rPr>
                <w:rFonts w:hint="default" w:ascii="Times New Roman" w:hAnsi="Times New Roman" w:cs="Times New Roman"/>
                <w:color w:val="auto"/>
                <w:sz w:val="21"/>
                <w:szCs w:val="21"/>
                <w:highlight w:val="none"/>
              </w:rPr>
              <w:t>≤1.00</w:t>
            </w:r>
            <w:bookmarkEnd w:id="792"/>
            <w:bookmarkEnd w:id="793"/>
            <w:bookmarkEnd w:id="794"/>
            <w:bookmarkEnd w:id="795"/>
          </w:p>
        </w:tc>
      </w:tr>
      <w:tr w14:paraId="7E9229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tcMar>
              <w:top w:w="15" w:type="dxa"/>
              <w:left w:w="15" w:type="dxa"/>
              <w:right w:w="15" w:type="dxa"/>
            </w:tcMar>
            <w:vAlign w:val="center"/>
          </w:tcPr>
          <w:p w14:paraId="3398E7C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96" w:name="_Toc16976"/>
            <w:bookmarkStart w:id="797" w:name="_Toc9083"/>
            <w:bookmarkStart w:id="798" w:name="_Toc30721"/>
            <w:bookmarkStart w:id="799" w:name="_Toc3356"/>
            <w:r>
              <w:rPr>
                <w:rFonts w:hint="default" w:ascii="Times New Roman" w:hAnsi="Times New Roman" w:cs="Times New Roman"/>
                <w:color w:val="auto"/>
                <w:sz w:val="21"/>
                <w:szCs w:val="21"/>
                <w:highlight w:val="none"/>
              </w:rPr>
              <w:t>氨氮（以N计）</w:t>
            </w:r>
            <w:bookmarkEnd w:id="796"/>
            <w:bookmarkEnd w:id="797"/>
            <w:bookmarkEnd w:id="798"/>
            <w:bookmarkEnd w:id="799"/>
          </w:p>
        </w:tc>
        <w:tc>
          <w:tcPr>
            <w:tcW w:w="1446" w:type="dxa"/>
            <w:tcBorders>
              <w:tl2br w:val="nil"/>
              <w:tr2bl w:val="nil"/>
            </w:tcBorders>
            <w:tcMar>
              <w:top w:w="15" w:type="dxa"/>
              <w:left w:w="15" w:type="dxa"/>
              <w:right w:w="15" w:type="dxa"/>
            </w:tcMar>
            <w:vAlign w:val="center"/>
          </w:tcPr>
          <w:p w14:paraId="086F84C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00" w:name="_Toc29357"/>
            <w:bookmarkStart w:id="801" w:name="_Toc24148"/>
            <w:bookmarkStart w:id="802" w:name="_Toc32041"/>
            <w:bookmarkStart w:id="803" w:name="_Toc13905"/>
            <w:r>
              <w:rPr>
                <w:rFonts w:hint="default" w:ascii="Times New Roman" w:hAnsi="Times New Roman" w:cs="Times New Roman"/>
                <w:color w:val="auto"/>
                <w:sz w:val="21"/>
                <w:szCs w:val="21"/>
                <w:highlight w:val="none"/>
              </w:rPr>
              <w:t>≤0.50</w:t>
            </w:r>
            <w:bookmarkEnd w:id="800"/>
            <w:bookmarkEnd w:id="801"/>
            <w:bookmarkEnd w:id="802"/>
            <w:bookmarkEnd w:id="803"/>
          </w:p>
        </w:tc>
        <w:tc>
          <w:tcPr>
            <w:tcW w:w="3314" w:type="dxa"/>
            <w:tcBorders>
              <w:tl2br w:val="nil"/>
              <w:tr2bl w:val="nil"/>
            </w:tcBorders>
            <w:tcMar>
              <w:top w:w="15" w:type="dxa"/>
              <w:left w:w="15" w:type="dxa"/>
              <w:right w:w="15" w:type="dxa"/>
            </w:tcMar>
            <w:vAlign w:val="center"/>
          </w:tcPr>
          <w:p w14:paraId="0D9DDCF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04" w:name="_Toc30784"/>
            <w:bookmarkStart w:id="805" w:name="_Toc18885"/>
            <w:bookmarkStart w:id="806" w:name="_Toc32625"/>
            <w:bookmarkStart w:id="807" w:name="_Toc10526"/>
            <w:r>
              <w:rPr>
                <w:rFonts w:hint="default" w:ascii="Times New Roman" w:hAnsi="Times New Roman" w:cs="Times New Roman"/>
                <w:color w:val="auto"/>
                <w:sz w:val="21"/>
                <w:szCs w:val="21"/>
                <w:highlight w:val="none"/>
              </w:rPr>
              <w:t>镉</w:t>
            </w:r>
            <w:bookmarkEnd w:id="804"/>
            <w:bookmarkEnd w:id="805"/>
            <w:bookmarkEnd w:id="806"/>
            <w:bookmarkEnd w:id="807"/>
          </w:p>
        </w:tc>
        <w:tc>
          <w:tcPr>
            <w:tcW w:w="1284" w:type="dxa"/>
            <w:tcBorders>
              <w:tl2br w:val="nil"/>
              <w:tr2bl w:val="nil"/>
            </w:tcBorders>
            <w:tcMar>
              <w:top w:w="15" w:type="dxa"/>
              <w:left w:w="15" w:type="dxa"/>
              <w:right w:w="15" w:type="dxa"/>
            </w:tcMar>
            <w:vAlign w:val="center"/>
          </w:tcPr>
          <w:p w14:paraId="0A6A64E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08" w:name="_Toc29405"/>
            <w:bookmarkStart w:id="809" w:name="_Toc22196"/>
            <w:bookmarkStart w:id="810" w:name="_Toc25012"/>
            <w:bookmarkStart w:id="811" w:name="_Toc751"/>
            <w:r>
              <w:rPr>
                <w:rFonts w:hint="default" w:ascii="Times New Roman" w:hAnsi="Times New Roman" w:cs="Times New Roman"/>
                <w:color w:val="auto"/>
                <w:sz w:val="21"/>
                <w:szCs w:val="21"/>
                <w:highlight w:val="none"/>
              </w:rPr>
              <w:t>≤0.005</w:t>
            </w:r>
            <w:bookmarkEnd w:id="808"/>
            <w:bookmarkEnd w:id="809"/>
            <w:bookmarkEnd w:id="810"/>
            <w:bookmarkEnd w:id="811"/>
          </w:p>
        </w:tc>
      </w:tr>
      <w:tr w14:paraId="6E5C0F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122D986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12" w:name="_Toc6852"/>
            <w:bookmarkStart w:id="813" w:name="_Toc28962"/>
            <w:bookmarkStart w:id="814" w:name="_Toc17122"/>
            <w:bookmarkStart w:id="815" w:name="_Toc30690"/>
            <w:r>
              <w:rPr>
                <w:rFonts w:hint="default" w:ascii="Times New Roman" w:hAnsi="Times New Roman" w:cs="Times New Roman"/>
                <w:color w:val="auto"/>
                <w:sz w:val="21"/>
                <w:szCs w:val="21"/>
                <w:highlight w:val="none"/>
              </w:rPr>
              <w:t>硝酸盐（以N计）</w:t>
            </w:r>
            <w:bookmarkEnd w:id="812"/>
            <w:bookmarkEnd w:id="813"/>
            <w:bookmarkEnd w:id="814"/>
            <w:bookmarkEnd w:id="815"/>
          </w:p>
        </w:tc>
        <w:tc>
          <w:tcPr>
            <w:tcW w:w="1446" w:type="dxa"/>
            <w:tcBorders>
              <w:tl2br w:val="nil"/>
              <w:tr2bl w:val="nil"/>
            </w:tcBorders>
            <w:vAlign w:val="center"/>
          </w:tcPr>
          <w:p w14:paraId="1AE39E2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16" w:name="_Toc26376"/>
            <w:bookmarkStart w:id="817" w:name="_Toc7081"/>
            <w:bookmarkStart w:id="818" w:name="_Toc24492"/>
            <w:bookmarkStart w:id="819" w:name="_Toc24037"/>
            <w:r>
              <w:rPr>
                <w:rFonts w:hint="default" w:ascii="Times New Roman" w:hAnsi="Times New Roman" w:cs="Times New Roman"/>
                <w:color w:val="auto"/>
                <w:sz w:val="21"/>
                <w:szCs w:val="21"/>
                <w:highlight w:val="none"/>
              </w:rPr>
              <w:t>≤20.0</w:t>
            </w:r>
            <w:bookmarkEnd w:id="816"/>
            <w:bookmarkEnd w:id="817"/>
            <w:bookmarkEnd w:id="818"/>
            <w:bookmarkEnd w:id="819"/>
          </w:p>
        </w:tc>
        <w:tc>
          <w:tcPr>
            <w:tcW w:w="3314" w:type="dxa"/>
            <w:tcBorders>
              <w:tl2br w:val="nil"/>
              <w:tr2bl w:val="nil"/>
            </w:tcBorders>
            <w:vAlign w:val="center"/>
          </w:tcPr>
          <w:p w14:paraId="7A97559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20" w:name="_Toc22634"/>
            <w:bookmarkStart w:id="821" w:name="_Toc9105"/>
            <w:bookmarkStart w:id="822" w:name="_Toc10758"/>
            <w:bookmarkStart w:id="823" w:name="_Toc10392"/>
            <w:r>
              <w:rPr>
                <w:rFonts w:hint="default" w:ascii="Times New Roman" w:hAnsi="Times New Roman" w:cs="Times New Roman"/>
                <w:color w:val="auto"/>
                <w:sz w:val="21"/>
                <w:szCs w:val="21"/>
                <w:highlight w:val="none"/>
              </w:rPr>
              <w:t>铁</w:t>
            </w:r>
            <w:bookmarkEnd w:id="820"/>
            <w:bookmarkEnd w:id="821"/>
            <w:bookmarkEnd w:id="822"/>
            <w:bookmarkEnd w:id="823"/>
          </w:p>
        </w:tc>
        <w:tc>
          <w:tcPr>
            <w:tcW w:w="1284" w:type="dxa"/>
            <w:tcBorders>
              <w:tl2br w:val="nil"/>
              <w:tr2bl w:val="nil"/>
            </w:tcBorders>
            <w:vAlign w:val="center"/>
          </w:tcPr>
          <w:p w14:paraId="24E5E9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24" w:name="_Toc16192"/>
            <w:bookmarkStart w:id="825" w:name="_Toc109"/>
            <w:bookmarkStart w:id="826" w:name="_Toc31445"/>
            <w:bookmarkStart w:id="827" w:name="_Toc22159"/>
            <w:r>
              <w:rPr>
                <w:rFonts w:hint="default" w:ascii="Times New Roman" w:hAnsi="Times New Roman" w:cs="Times New Roman"/>
                <w:color w:val="auto"/>
                <w:sz w:val="21"/>
                <w:szCs w:val="21"/>
                <w:highlight w:val="none"/>
              </w:rPr>
              <w:t>≤0.3</w:t>
            </w:r>
            <w:bookmarkEnd w:id="824"/>
            <w:bookmarkEnd w:id="825"/>
            <w:bookmarkEnd w:id="826"/>
            <w:bookmarkEnd w:id="827"/>
          </w:p>
        </w:tc>
      </w:tr>
      <w:tr w14:paraId="6810E6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59A798A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28" w:name="_Toc22021"/>
            <w:bookmarkStart w:id="829" w:name="_Toc6401"/>
            <w:bookmarkStart w:id="830" w:name="_Toc19843"/>
            <w:bookmarkStart w:id="831" w:name="_Toc12325"/>
            <w:r>
              <w:rPr>
                <w:rFonts w:hint="default" w:ascii="Times New Roman" w:hAnsi="Times New Roman" w:cs="Times New Roman"/>
                <w:color w:val="auto"/>
                <w:sz w:val="21"/>
                <w:szCs w:val="21"/>
                <w:highlight w:val="none"/>
              </w:rPr>
              <w:t>亚硝酸盐（以N计）</w:t>
            </w:r>
            <w:bookmarkEnd w:id="828"/>
            <w:bookmarkEnd w:id="829"/>
            <w:bookmarkEnd w:id="830"/>
            <w:bookmarkEnd w:id="831"/>
          </w:p>
        </w:tc>
        <w:tc>
          <w:tcPr>
            <w:tcW w:w="1446" w:type="dxa"/>
            <w:tcBorders>
              <w:tl2br w:val="nil"/>
              <w:tr2bl w:val="nil"/>
            </w:tcBorders>
            <w:vAlign w:val="center"/>
          </w:tcPr>
          <w:p w14:paraId="24F36B7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32" w:name="_Toc10613"/>
            <w:bookmarkStart w:id="833" w:name="_Toc26117"/>
            <w:bookmarkStart w:id="834" w:name="_Toc5025"/>
            <w:bookmarkStart w:id="835" w:name="_Toc32165"/>
            <w:r>
              <w:rPr>
                <w:rFonts w:hint="default" w:ascii="Times New Roman" w:hAnsi="Times New Roman" w:cs="Times New Roman"/>
                <w:color w:val="auto"/>
                <w:sz w:val="21"/>
                <w:szCs w:val="21"/>
                <w:highlight w:val="none"/>
              </w:rPr>
              <w:t>≤1.00</w:t>
            </w:r>
            <w:bookmarkEnd w:id="832"/>
            <w:bookmarkEnd w:id="833"/>
            <w:bookmarkEnd w:id="834"/>
            <w:bookmarkEnd w:id="835"/>
          </w:p>
        </w:tc>
        <w:tc>
          <w:tcPr>
            <w:tcW w:w="3314" w:type="dxa"/>
            <w:tcBorders>
              <w:tl2br w:val="nil"/>
              <w:tr2bl w:val="nil"/>
            </w:tcBorders>
            <w:vAlign w:val="center"/>
          </w:tcPr>
          <w:p w14:paraId="2D08BB7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36" w:name="_Toc15522"/>
            <w:bookmarkStart w:id="837" w:name="_Toc25585"/>
            <w:bookmarkStart w:id="838" w:name="_Toc29212"/>
            <w:bookmarkStart w:id="839" w:name="_Toc168"/>
            <w:r>
              <w:rPr>
                <w:rFonts w:hint="default" w:ascii="Times New Roman" w:hAnsi="Times New Roman" w:cs="Times New Roman"/>
                <w:color w:val="auto"/>
                <w:sz w:val="21"/>
                <w:szCs w:val="21"/>
                <w:highlight w:val="none"/>
              </w:rPr>
              <w:t>锰</w:t>
            </w:r>
            <w:bookmarkEnd w:id="836"/>
            <w:bookmarkEnd w:id="837"/>
            <w:bookmarkEnd w:id="838"/>
            <w:bookmarkEnd w:id="839"/>
          </w:p>
        </w:tc>
        <w:tc>
          <w:tcPr>
            <w:tcW w:w="1284" w:type="dxa"/>
            <w:tcBorders>
              <w:tl2br w:val="nil"/>
              <w:tr2bl w:val="nil"/>
            </w:tcBorders>
            <w:vAlign w:val="center"/>
          </w:tcPr>
          <w:p w14:paraId="698B9D3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40" w:name="_Toc3653"/>
            <w:bookmarkStart w:id="841" w:name="_Toc31378"/>
            <w:bookmarkStart w:id="842" w:name="_Toc16218"/>
            <w:bookmarkStart w:id="843" w:name="_Toc19659"/>
            <w:r>
              <w:rPr>
                <w:rFonts w:hint="default" w:ascii="Times New Roman" w:hAnsi="Times New Roman" w:cs="Times New Roman"/>
                <w:color w:val="auto"/>
                <w:sz w:val="21"/>
                <w:szCs w:val="21"/>
                <w:highlight w:val="none"/>
              </w:rPr>
              <w:t>≤0.10</w:t>
            </w:r>
            <w:bookmarkEnd w:id="840"/>
            <w:bookmarkEnd w:id="841"/>
            <w:bookmarkEnd w:id="842"/>
            <w:bookmarkEnd w:id="843"/>
          </w:p>
        </w:tc>
      </w:tr>
      <w:tr w14:paraId="26A38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2E3795C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44" w:name="_Toc30096"/>
            <w:bookmarkStart w:id="845" w:name="_Toc29576"/>
            <w:bookmarkStart w:id="846" w:name="_Toc24932"/>
            <w:bookmarkStart w:id="847" w:name="_Toc23146"/>
            <w:r>
              <w:rPr>
                <w:rFonts w:hint="default" w:ascii="Times New Roman" w:hAnsi="Times New Roman" w:cs="Times New Roman"/>
                <w:color w:val="auto"/>
                <w:sz w:val="21"/>
                <w:szCs w:val="21"/>
                <w:highlight w:val="none"/>
              </w:rPr>
              <w:t>挥发性酚类（以苯酚计）</w:t>
            </w:r>
            <w:bookmarkEnd w:id="844"/>
            <w:bookmarkEnd w:id="845"/>
            <w:bookmarkEnd w:id="846"/>
            <w:bookmarkEnd w:id="847"/>
          </w:p>
        </w:tc>
        <w:tc>
          <w:tcPr>
            <w:tcW w:w="1446" w:type="dxa"/>
            <w:tcBorders>
              <w:tl2br w:val="nil"/>
              <w:tr2bl w:val="nil"/>
            </w:tcBorders>
            <w:vAlign w:val="center"/>
          </w:tcPr>
          <w:p w14:paraId="19BD976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48" w:name="_Toc13165"/>
            <w:bookmarkStart w:id="849" w:name="_Toc11849"/>
            <w:bookmarkStart w:id="850" w:name="_Toc30300"/>
            <w:bookmarkStart w:id="851" w:name="_Toc27193"/>
            <w:r>
              <w:rPr>
                <w:rFonts w:hint="default" w:ascii="Times New Roman" w:hAnsi="Times New Roman" w:cs="Times New Roman"/>
                <w:color w:val="auto"/>
                <w:sz w:val="21"/>
                <w:szCs w:val="21"/>
                <w:highlight w:val="none"/>
              </w:rPr>
              <w:t>≤0.002</w:t>
            </w:r>
            <w:bookmarkEnd w:id="848"/>
            <w:bookmarkEnd w:id="849"/>
            <w:bookmarkEnd w:id="850"/>
            <w:bookmarkEnd w:id="851"/>
          </w:p>
        </w:tc>
        <w:tc>
          <w:tcPr>
            <w:tcW w:w="3314" w:type="dxa"/>
            <w:tcBorders>
              <w:tl2br w:val="nil"/>
              <w:tr2bl w:val="nil"/>
            </w:tcBorders>
            <w:vAlign w:val="center"/>
          </w:tcPr>
          <w:p w14:paraId="2FFA205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52" w:name="_Toc31541"/>
            <w:bookmarkStart w:id="853" w:name="_Toc12946"/>
            <w:bookmarkStart w:id="854" w:name="_Toc19482"/>
            <w:bookmarkStart w:id="855" w:name="_Toc21509"/>
            <w:r>
              <w:rPr>
                <w:rFonts w:hint="default" w:ascii="Times New Roman" w:hAnsi="Times New Roman" w:cs="Times New Roman"/>
                <w:color w:val="auto"/>
                <w:sz w:val="21"/>
                <w:szCs w:val="21"/>
                <w:highlight w:val="none"/>
              </w:rPr>
              <w:t>溶解性总固体</w:t>
            </w:r>
            <w:bookmarkEnd w:id="852"/>
            <w:bookmarkEnd w:id="853"/>
            <w:bookmarkEnd w:id="854"/>
            <w:bookmarkEnd w:id="855"/>
          </w:p>
        </w:tc>
        <w:tc>
          <w:tcPr>
            <w:tcW w:w="1284" w:type="dxa"/>
            <w:tcBorders>
              <w:tl2br w:val="nil"/>
              <w:tr2bl w:val="nil"/>
            </w:tcBorders>
            <w:vAlign w:val="center"/>
          </w:tcPr>
          <w:p w14:paraId="57B6AF1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56" w:name="_Toc9866"/>
            <w:bookmarkStart w:id="857" w:name="_Toc4314"/>
            <w:bookmarkStart w:id="858" w:name="_Toc3179"/>
            <w:bookmarkStart w:id="859" w:name="_Toc31933"/>
            <w:r>
              <w:rPr>
                <w:rFonts w:hint="default" w:ascii="Times New Roman" w:hAnsi="Times New Roman" w:cs="Times New Roman"/>
                <w:color w:val="auto"/>
                <w:sz w:val="21"/>
                <w:szCs w:val="21"/>
                <w:highlight w:val="none"/>
              </w:rPr>
              <w:t>≤1000</w:t>
            </w:r>
            <w:bookmarkEnd w:id="856"/>
            <w:bookmarkEnd w:id="857"/>
            <w:bookmarkEnd w:id="858"/>
            <w:bookmarkEnd w:id="859"/>
          </w:p>
        </w:tc>
      </w:tr>
      <w:tr w14:paraId="581FB3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3FBA01B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60" w:name="_Toc19429"/>
            <w:bookmarkStart w:id="861" w:name="_Toc9379"/>
            <w:bookmarkStart w:id="862" w:name="_Toc27435"/>
            <w:bookmarkStart w:id="863" w:name="_Toc27501"/>
            <w:r>
              <w:rPr>
                <w:rFonts w:hint="default" w:ascii="Times New Roman" w:hAnsi="Times New Roman" w:cs="Times New Roman"/>
                <w:color w:val="auto"/>
                <w:sz w:val="21"/>
                <w:szCs w:val="21"/>
                <w:highlight w:val="none"/>
              </w:rPr>
              <w:t>氰化物</w:t>
            </w:r>
            <w:bookmarkEnd w:id="860"/>
            <w:bookmarkEnd w:id="861"/>
            <w:bookmarkEnd w:id="862"/>
            <w:bookmarkEnd w:id="863"/>
          </w:p>
        </w:tc>
        <w:tc>
          <w:tcPr>
            <w:tcW w:w="1446" w:type="dxa"/>
            <w:tcBorders>
              <w:tl2br w:val="nil"/>
              <w:tr2bl w:val="nil"/>
            </w:tcBorders>
            <w:vAlign w:val="center"/>
          </w:tcPr>
          <w:p w14:paraId="262A06F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64" w:name="_Toc28047"/>
            <w:bookmarkStart w:id="865" w:name="_Toc2758"/>
            <w:bookmarkStart w:id="866" w:name="_Toc6917"/>
            <w:bookmarkStart w:id="867" w:name="_Toc4759"/>
            <w:r>
              <w:rPr>
                <w:rFonts w:hint="default" w:ascii="Times New Roman" w:hAnsi="Times New Roman" w:cs="Times New Roman"/>
                <w:color w:val="auto"/>
                <w:sz w:val="21"/>
                <w:szCs w:val="21"/>
                <w:highlight w:val="none"/>
              </w:rPr>
              <w:t>≤0.05</w:t>
            </w:r>
            <w:bookmarkEnd w:id="864"/>
            <w:bookmarkEnd w:id="865"/>
            <w:bookmarkEnd w:id="866"/>
            <w:bookmarkEnd w:id="867"/>
          </w:p>
        </w:tc>
        <w:tc>
          <w:tcPr>
            <w:tcW w:w="3314" w:type="dxa"/>
            <w:tcBorders>
              <w:tl2br w:val="nil"/>
              <w:tr2bl w:val="nil"/>
            </w:tcBorders>
            <w:vAlign w:val="center"/>
          </w:tcPr>
          <w:p w14:paraId="5CB1A75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68" w:name="_Toc5325"/>
            <w:bookmarkStart w:id="869" w:name="_Toc19446"/>
            <w:bookmarkStart w:id="870" w:name="_Toc8409"/>
            <w:bookmarkStart w:id="871" w:name="_Toc1053"/>
            <w:r>
              <w:rPr>
                <w:rFonts w:hint="default" w:ascii="Times New Roman" w:hAnsi="Times New Roman" w:cs="Times New Roman"/>
                <w:color w:val="auto"/>
                <w:sz w:val="21"/>
                <w:szCs w:val="21"/>
                <w:highlight w:val="none"/>
              </w:rPr>
              <w:t>耗氧量（CODMn法，以O2计）</w:t>
            </w:r>
            <w:bookmarkEnd w:id="868"/>
            <w:bookmarkEnd w:id="869"/>
            <w:bookmarkEnd w:id="870"/>
            <w:bookmarkEnd w:id="871"/>
          </w:p>
        </w:tc>
        <w:tc>
          <w:tcPr>
            <w:tcW w:w="1284" w:type="dxa"/>
            <w:tcBorders>
              <w:tl2br w:val="nil"/>
              <w:tr2bl w:val="nil"/>
            </w:tcBorders>
            <w:vAlign w:val="center"/>
          </w:tcPr>
          <w:p w14:paraId="6271F21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72" w:name="_Toc23606"/>
            <w:bookmarkStart w:id="873" w:name="_Toc31540"/>
            <w:bookmarkStart w:id="874" w:name="_Toc12802"/>
            <w:bookmarkStart w:id="875" w:name="_Toc31985"/>
            <w:r>
              <w:rPr>
                <w:rFonts w:hint="default" w:ascii="Times New Roman" w:hAnsi="Times New Roman" w:cs="Times New Roman"/>
                <w:color w:val="auto"/>
                <w:sz w:val="21"/>
                <w:szCs w:val="21"/>
                <w:highlight w:val="none"/>
              </w:rPr>
              <w:t>≤3.0</w:t>
            </w:r>
            <w:bookmarkEnd w:id="872"/>
            <w:bookmarkEnd w:id="873"/>
            <w:bookmarkEnd w:id="874"/>
            <w:bookmarkEnd w:id="875"/>
          </w:p>
        </w:tc>
      </w:tr>
      <w:tr w14:paraId="7D1FF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0CA9950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76" w:name="_Toc26391"/>
            <w:bookmarkStart w:id="877" w:name="_Toc25775"/>
            <w:bookmarkStart w:id="878" w:name="_Toc27980"/>
            <w:bookmarkStart w:id="879" w:name="_Toc24718"/>
            <w:r>
              <w:rPr>
                <w:rFonts w:hint="default" w:ascii="Times New Roman" w:hAnsi="Times New Roman" w:cs="Times New Roman"/>
                <w:color w:val="auto"/>
                <w:sz w:val="21"/>
                <w:szCs w:val="21"/>
                <w:highlight w:val="none"/>
              </w:rPr>
              <w:t>砷</w:t>
            </w:r>
            <w:bookmarkEnd w:id="876"/>
            <w:bookmarkEnd w:id="877"/>
            <w:bookmarkEnd w:id="878"/>
            <w:bookmarkEnd w:id="879"/>
          </w:p>
        </w:tc>
        <w:tc>
          <w:tcPr>
            <w:tcW w:w="1446" w:type="dxa"/>
            <w:tcBorders>
              <w:tl2br w:val="nil"/>
              <w:tr2bl w:val="nil"/>
            </w:tcBorders>
            <w:vAlign w:val="center"/>
          </w:tcPr>
          <w:p w14:paraId="4B45AB9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80" w:name="_Toc4408"/>
            <w:bookmarkStart w:id="881" w:name="_Toc27719"/>
            <w:bookmarkStart w:id="882" w:name="_Toc1194"/>
            <w:bookmarkStart w:id="883" w:name="_Toc12181"/>
            <w:r>
              <w:rPr>
                <w:rFonts w:hint="default" w:ascii="Times New Roman" w:hAnsi="Times New Roman" w:cs="Times New Roman"/>
                <w:color w:val="auto"/>
                <w:sz w:val="21"/>
                <w:szCs w:val="21"/>
                <w:highlight w:val="none"/>
              </w:rPr>
              <w:t>≤0.01</w:t>
            </w:r>
            <w:bookmarkEnd w:id="880"/>
            <w:bookmarkEnd w:id="881"/>
            <w:bookmarkEnd w:id="882"/>
            <w:bookmarkEnd w:id="883"/>
          </w:p>
        </w:tc>
        <w:tc>
          <w:tcPr>
            <w:tcW w:w="3314" w:type="dxa"/>
            <w:tcBorders>
              <w:tl2br w:val="nil"/>
              <w:tr2bl w:val="nil"/>
            </w:tcBorders>
            <w:vAlign w:val="center"/>
          </w:tcPr>
          <w:p w14:paraId="0E1B347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84" w:name="_Toc8725"/>
            <w:bookmarkStart w:id="885" w:name="_Toc26023"/>
            <w:bookmarkStart w:id="886" w:name="_Toc17823"/>
            <w:bookmarkStart w:id="887" w:name="_Toc21404"/>
            <w:r>
              <w:rPr>
                <w:rFonts w:hint="default" w:ascii="Times New Roman" w:hAnsi="Times New Roman" w:cs="Times New Roman"/>
                <w:color w:val="auto"/>
                <w:sz w:val="21"/>
                <w:szCs w:val="21"/>
                <w:highlight w:val="none"/>
              </w:rPr>
              <w:t>硫酸盐</w:t>
            </w:r>
            <w:bookmarkEnd w:id="884"/>
            <w:bookmarkEnd w:id="885"/>
            <w:bookmarkEnd w:id="886"/>
            <w:bookmarkEnd w:id="887"/>
          </w:p>
        </w:tc>
        <w:tc>
          <w:tcPr>
            <w:tcW w:w="1284" w:type="dxa"/>
            <w:tcBorders>
              <w:tl2br w:val="nil"/>
              <w:tr2bl w:val="nil"/>
            </w:tcBorders>
            <w:vAlign w:val="center"/>
          </w:tcPr>
          <w:p w14:paraId="2B18F16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88" w:name="_Toc8979"/>
            <w:bookmarkStart w:id="889" w:name="_Toc12493"/>
            <w:bookmarkStart w:id="890" w:name="_Toc26626"/>
            <w:bookmarkStart w:id="891" w:name="_Toc2279"/>
            <w:r>
              <w:rPr>
                <w:rFonts w:hint="default" w:ascii="Times New Roman" w:hAnsi="Times New Roman" w:cs="Times New Roman"/>
                <w:color w:val="auto"/>
                <w:sz w:val="21"/>
                <w:szCs w:val="21"/>
                <w:highlight w:val="none"/>
              </w:rPr>
              <w:t>≤250</w:t>
            </w:r>
            <w:bookmarkEnd w:id="888"/>
            <w:bookmarkEnd w:id="889"/>
            <w:bookmarkEnd w:id="890"/>
            <w:bookmarkEnd w:id="891"/>
          </w:p>
        </w:tc>
      </w:tr>
      <w:tr w14:paraId="3FF0A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389A6B1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92" w:name="_Toc26206"/>
            <w:bookmarkStart w:id="893" w:name="_Toc11114"/>
            <w:bookmarkStart w:id="894" w:name="_Toc26428"/>
            <w:bookmarkStart w:id="895" w:name="_Toc24857"/>
            <w:r>
              <w:rPr>
                <w:rFonts w:hint="default" w:ascii="Times New Roman" w:hAnsi="Times New Roman" w:cs="Times New Roman"/>
                <w:color w:val="auto"/>
                <w:sz w:val="21"/>
                <w:szCs w:val="21"/>
                <w:highlight w:val="none"/>
              </w:rPr>
              <w:t>汞</w:t>
            </w:r>
            <w:bookmarkEnd w:id="892"/>
            <w:bookmarkEnd w:id="893"/>
            <w:bookmarkEnd w:id="894"/>
            <w:bookmarkEnd w:id="895"/>
          </w:p>
        </w:tc>
        <w:tc>
          <w:tcPr>
            <w:tcW w:w="1446" w:type="dxa"/>
            <w:tcBorders>
              <w:tl2br w:val="nil"/>
              <w:tr2bl w:val="nil"/>
            </w:tcBorders>
            <w:vAlign w:val="center"/>
          </w:tcPr>
          <w:p w14:paraId="60834F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896" w:name="_Toc23876"/>
            <w:bookmarkStart w:id="897" w:name="_Toc25016"/>
            <w:bookmarkStart w:id="898" w:name="_Toc4308"/>
            <w:bookmarkStart w:id="899" w:name="_Toc1233"/>
            <w:r>
              <w:rPr>
                <w:rFonts w:hint="default" w:ascii="Times New Roman" w:hAnsi="Times New Roman" w:cs="Times New Roman"/>
                <w:color w:val="auto"/>
                <w:sz w:val="21"/>
                <w:szCs w:val="21"/>
                <w:highlight w:val="none"/>
              </w:rPr>
              <w:t>≤0.001</w:t>
            </w:r>
            <w:bookmarkEnd w:id="896"/>
            <w:bookmarkEnd w:id="897"/>
            <w:bookmarkEnd w:id="898"/>
            <w:bookmarkEnd w:id="899"/>
          </w:p>
        </w:tc>
        <w:tc>
          <w:tcPr>
            <w:tcW w:w="3314" w:type="dxa"/>
            <w:tcBorders>
              <w:tl2br w:val="nil"/>
              <w:tr2bl w:val="nil"/>
            </w:tcBorders>
            <w:vAlign w:val="center"/>
          </w:tcPr>
          <w:p w14:paraId="47061F0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00" w:name="_Toc7722"/>
            <w:bookmarkStart w:id="901" w:name="_Toc24318"/>
            <w:bookmarkStart w:id="902" w:name="_Toc15631"/>
            <w:bookmarkStart w:id="903" w:name="_Toc1046"/>
            <w:r>
              <w:rPr>
                <w:rFonts w:hint="default" w:ascii="Times New Roman" w:hAnsi="Times New Roman" w:cs="Times New Roman"/>
                <w:color w:val="auto"/>
                <w:sz w:val="21"/>
                <w:szCs w:val="21"/>
                <w:highlight w:val="none"/>
              </w:rPr>
              <w:t>氯化物</w:t>
            </w:r>
            <w:bookmarkEnd w:id="900"/>
            <w:bookmarkEnd w:id="901"/>
            <w:bookmarkEnd w:id="902"/>
            <w:bookmarkEnd w:id="903"/>
          </w:p>
        </w:tc>
        <w:tc>
          <w:tcPr>
            <w:tcW w:w="1284" w:type="dxa"/>
            <w:tcBorders>
              <w:tl2br w:val="nil"/>
              <w:tr2bl w:val="nil"/>
            </w:tcBorders>
            <w:vAlign w:val="center"/>
          </w:tcPr>
          <w:p w14:paraId="6057DE2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04" w:name="_Toc21188"/>
            <w:bookmarkStart w:id="905" w:name="_Toc2062"/>
            <w:bookmarkStart w:id="906" w:name="_Toc7732"/>
            <w:bookmarkStart w:id="907" w:name="_Toc21341"/>
            <w:r>
              <w:rPr>
                <w:rFonts w:hint="default" w:ascii="Times New Roman" w:hAnsi="Times New Roman" w:cs="Times New Roman"/>
                <w:color w:val="auto"/>
                <w:sz w:val="21"/>
                <w:szCs w:val="21"/>
                <w:highlight w:val="none"/>
              </w:rPr>
              <w:t>≤250</w:t>
            </w:r>
            <w:bookmarkEnd w:id="904"/>
            <w:bookmarkEnd w:id="905"/>
            <w:bookmarkEnd w:id="906"/>
            <w:bookmarkEnd w:id="907"/>
          </w:p>
        </w:tc>
      </w:tr>
      <w:tr w14:paraId="44C9F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6" w:hRule="exact"/>
          <w:jc w:val="center"/>
        </w:trPr>
        <w:tc>
          <w:tcPr>
            <w:tcW w:w="2292" w:type="dxa"/>
            <w:tcBorders>
              <w:tl2br w:val="nil"/>
              <w:tr2bl w:val="nil"/>
            </w:tcBorders>
            <w:vAlign w:val="center"/>
          </w:tcPr>
          <w:p w14:paraId="3B5F399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08" w:name="_Toc6013"/>
            <w:bookmarkStart w:id="909" w:name="_Toc18579"/>
            <w:bookmarkStart w:id="910" w:name="_Toc6473"/>
            <w:bookmarkStart w:id="911" w:name="_Toc3846"/>
            <w:r>
              <w:rPr>
                <w:rFonts w:hint="default" w:ascii="Times New Roman" w:hAnsi="Times New Roman" w:cs="Times New Roman"/>
                <w:color w:val="auto"/>
                <w:sz w:val="21"/>
                <w:szCs w:val="21"/>
                <w:highlight w:val="none"/>
              </w:rPr>
              <w:t>铬（六价）</w:t>
            </w:r>
            <w:bookmarkEnd w:id="908"/>
            <w:bookmarkEnd w:id="909"/>
            <w:bookmarkEnd w:id="910"/>
            <w:bookmarkEnd w:id="911"/>
          </w:p>
        </w:tc>
        <w:tc>
          <w:tcPr>
            <w:tcW w:w="1446" w:type="dxa"/>
            <w:tcBorders>
              <w:tl2br w:val="nil"/>
              <w:tr2bl w:val="nil"/>
            </w:tcBorders>
            <w:vAlign w:val="center"/>
          </w:tcPr>
          <w:p w14:paraId="3CF33C0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12" w:name="_Toc15071"/>
            <w:bookmarkStart w:id="913" w:name="_Toc28689"/>
            <w:bookmarkStart w:id="914" w:name="_Toc13032"/>
            <w:bookmarkStart w:id="915" w:name="_Toc28671"/>
            <w:r>
              <w:rPr>
                <w:rFonts w:hint="default" w:ascii="Times New Roman" w:hAnsi="Times New Roman" w:cs="Times New Roman"/>
                <w:color w:val="auto"/>
                <w:sz w:val="21"/>
                <w:szCs w:val="21"/>
                <w:highlight w:val="none"/>
              </w:rPr>
              <w:t>≤0.05</w:t>
            </w:r>
            <w:bookmarkEnd w:id="912"/>
            <w:bookmarkEnd w:id="913"/>
            <w:bookmarkEnd w:id="914"/>
            <w:bookmarkEnd w:id="915"/>
          </w:p>
        </w:tc>
        <w:tc>
          <w:tcPr>
            <w:tcW w:w="3314" w:type="dxa"/>
            <w:tcBorders>
              <w:tl2br w:val="nil"/>
              <w:tr2bl w:val="nil"/>
            </w:tcBorders>
            <w:vAlign w:val="center"/>
          </w:tcPr>
          <w:p w14:paraId="674B033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16" w:name="_Toc4157"/>
            <w:bookmarkStart w:id="917" w:name="_Toc21539"/>
            <w:bookmarkStart w:id="918" w:name="_Toc21837"/>
            <w:bookmarkStart w:id="919" w:name="_Toc29315"/>
            <w:r>
              <w:rPr>
                <w:rFonts w:hint="default" w:ascii="Times New Roman" w:hAnsi="Times New Roman" w:cs="Times New Roman"/>
                <w:color w:val="auto"/>
                <w:sz w:val="21"/>
                <w:szCs w:val="21"/>
                <w:highlight w:val="none"/>
              </w:rPr>
              <w:t>总大肠菌群/（MPN/100mL或CFU/mL）</w:t>
            </w:r>
            <w:bookmarkEnd w:id="916"/>
            <w:bookmarkEnd w:id="917"/>
            <w:bookmarkEnd w:id="918"/>
            <w:bookmarkEnd w:id="919"/>
          </w:p>
        </w:tc>
        <w:tc>
          <w:tcPr>
            <w:tcW w:w="1284" w:type="dxa"/>
            <w:tcBorders>
              <w:tl2br w:val="nil"/>
              <w:tr2bl w:val="nil"/>
            </w:tcBorders>
            <w:vAlign w:val="center"/>
          </w:tcPr>
          <w:p w14:paraId="3429C3F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20" w:name="_Toc31155"/>
            <w:bookmarkStart w:id="921" w:name="_Toc32560"/>
            <w:bookmarkStart w:id="922" w:name="_Toc18186"/>
            <w:bookmarkStart w:id="923" w:name="_Toc29686"/>
            <w:r>
              <w:rPr>
                <w:rFonts w:hint="default" w:ascii="Times New Roman" w:hAnsi="Times New Roman" w:cs="Times New Roman"/>
                <w:color w:val="auto"/>
                <w:sz w:val="21"/>
                <w:szCs w:val="21"/>
                <w:highlight w:val="none"/>
              </w:rPr>
              <w:t>≤3.0</w:t>
            </w:r>
            <w:bookmarkEnd w:id="920"/>
            <w:bookmarkEnd w:id="921"/>
            <w:bookmarkEnd w:id="922"/>
            <w:bookmarkEnd w:id="923"/>
          </w:p>
        </w:tc>
      </w:tr>
      <w:tr w14:paraId="10652C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77D53DD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24" w:name="_Toc12158"/>
            <w:bookmarkStart w:id="925" w:name="_Toc9921"/>
            <w:bookmarkStart w:id="926" w:name="_Toc29855"/>
            <w:bookmarkStart w:id="927" w:name="_Toc23724"/>
            <w:r>
              <w:rPr>
                <w:rFonts w:hint="default" w:ascii="Times New Roman" w:hAnsi="Times New Roman" w:cs="Times New Roman"/>
                <w:color w:val="auto"/>
                <w:sz w:val="21"/>
                <w:szCs w:val="21"/>
                <w:highlight w:val="none"/>
              </w:rPr>
              <w:t>总硬度</w:t>
            </w:r>
            <w:bookmarkEnd w:id="924"/>
            <w:bookmarkEnd w:id="925"/>
            <w:bookmarkEnd w:id="926"/>
            <w:bookmarkEnd w:id="927"/>
          </w:p>
        </w:tc>
        <w:tc>
          <w:tcPr>
            <w:tcW w:w="1446" w:type="dxa"/>
            <w:tcBorders>
              <w:tl2br w:val="nil"/>
              <w:tr2bl w:val="nil"/>
            </w:tcBorders>
            <w:vAlign w:val="center"/>
          </w:tcPr>
          <w:p w14:paraId="4C87DC3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28" w:name="_Toc6192"/>
            <w:bookmarkStart w:id="929" w:name="_Toc31443"/>
            <w:bookmarkStart w:id="930" w:name="_Toc15101"/>
            <w:bookmarkStart w:id="931" w:name="_Toc7674"/>
            <w:r>
              <w:rPr>
                <w:rFonts w:hint="default" w:ascii="Times New Roman" w:hAnsi="Times New Roman" w:cs="Times New Roman"/>
                <w:color w:val="auto"/>
                <w:sz w:val="21"/>
                <w:szCs w:val="21"/>
                <w:highlight w:val="none"/>
              </w:rPr>
              <w:t>≤450</w:t>
            </w:r>
            <w:bookmarkEnd w:id="928"/>
            <w:bookmarkEnd w:id="929"/>
            <w:bookmarkEnd w:id="930"/>
            <w:bookmarkEnd w:id="931"/>
          </w:p>
        </w:tc>
        <w:tc>
          <w:tcPr>
            <w:tcW w:w="3314" w:type="dxa"/>
            <w:tcBorders>
              <w:tl2br w:val="nil"/>
              <w:tr2bl w:val="nil"/>
            </w:tcBorders>
            <w:vAlign w:val="center"/>
          </w:tcPr>
          <w:p w14:paraId="6D1E9BC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32" w:name="_Toc27783"/>
            <w:bookmarkStart w:id="933" w:name="_Toc25392"/>
            <w:bookmarkStart w:id="934" w:name="_Toc18956"/>
            <w:bookmarkStart w:id="935" w:name="_Toc17843"/>
            <w:r>
              <w:rPr>
                <w:rFonts w:hint="default" w:ascii="Times New Roman" w:hAnsi="Times New Roman" w:cs="Times New Roman"/>
                <w:color w:val="auto"/>
                <w:sz w:val="21"/>
                <w:szCs w:val="21"/>
                <w:highlight w:val="none"/>
              </w:rPr>
              <w:t>菌落总数/（CFU/mL）</w:t>
            </w:r>
            <w:bookmarkEnd w:id="932"/>
            <w:bookmarkEnd w:id="933"/>
            <w:bookmarkEnd w:id="934"/>
            <w:bookmarkEnd w:id="935"/>
          </w:p>
        </w:tc>
        <w:tc>
          <w:tcPr>
            <w:tcW w:w="1284" w:type="dxa"/>
            <w:tcBorders>
              <w:tl2br w:val="nil"/>
              <w:tr2bl w:val="nil"/>
            </w:tcBorders>
            <w:vAlign w:val="center"/>
          </w:tcPr>
          <w:p w14:paraId="6DE6C54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36" w:name="_Toc31020"/>
            <w:bookmarkStart w:id="937" w:name="_Toc27348"/>
            <w:bookmarkStart w:id="938" w:name="_Toc19155"/>
            <w:bookmarkStart w:id="939" w:name="_Toc17764"/>
            <w:r>
              <w:rPr>
                <w:rFonts w:hint="default" w:ascii="Times New Roman" w:hAnsi="Times New Roman" w:cs="Times New Roman"/>
                <w:color w:val="auto"/>
                <w:sz w:val="21"/>
                <w:szCs w:val="21"/>
                <w:highlight w:val="none"/>
              </w:rPr>
              <w:t>≤100</w:t>
            </w:r>
            <w:bookmarkEnd w:id="936"/>
            <w:bookmarkEnd w:id="937"/>
            <w:bookmarkEnd w:id="938"/>
            <w:bookmarkEnd w:id="939"/>
          </w:p>
        </w:tc>
      </w:tr>
      <w:tr w14:paraId="18571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292" w:type="dxa"/>
            <w:tcBorders>
              <w:tl2br w:val="nil"/>
              <w:tr2bl w:val="nil"/>
            </w:tcBorders>
            <w:vAlign w:val="center"/>
          </w:tcPr>
          <w:p w14:paraId="3B9CE4D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40" w:name="_Toc24617"/>
            <w:bookmarkStart w:id="941" w:name="_Toc132"/>
            <w:bookmarkStart w:id="942" w:name="_Toc13859"/>
            <w:bookmarkStart w:id="943" w:name="_Toc341"/>
            <w:r>
              <w:rPr>
                <w:rFonts w:hint="default" w:ascii="Times New Roman" w:hAnsi="Times New Roman" w:cs="Times New Roman"/>
                <w:color w:val="auto"/>
                <w:sz w:val="21"/>
                <w:szCs w:val="21"/>
                <w:highlight w:val="none"/>
              </w:rPr>
              <w:t>铅</w:t>
            </w:r>
            <w:bookmarkEnd w:id="940"/>
            <w:bookmarkEnd w:id="941"/>
            <w:bookmarkEnd w:id="942"/>
            <w:bookmarkEnd w:id="943"/>
          </w:p>
        </w:tc>
        <w:tc>
          <w:tcPr>
            <w:tcW w:w="1446" w:type="dxa"/>
            <w:tcBorders>
              <w:tl2br w:val="nil"/>
              <w:tr2bl w:val="nil"/>
            </w:tcBorders>
            <w:vAlign w:val="center"/>
          </w:tcPr>
          <w:p w14:paraId="54B888A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44" w:name="_Toc24047"/>
            <w:bookmarkStart w:id="945" w:name="_Toc20327"/>
            <w:bookmarkStart w:id="946" w:name="_Toc8144"/>
            <w:bookmarkStart w:id="947" w:name="_Toc26300"/>
            <w:r>
              <w:rPr>
                <w:rFonts w:hint="default" w:ascii="Times New Roman" w:hAnsi="Times New Roman" w:cs="Times New Roman"/>
                <w:color w:val="auto"/>
                <w:sz w:val="21"/>
                <w:szCs w:val="21"/>
                <w:highlight w:val="none"/>
              </w:rPr>
              <w:t>≤0.01</w:t>
            </w:r>
            <w:bookmarkEnd w:id="944"/>
            <w:bookmarkEnd w:id="945"/>
            <w:bookmarkEnd w:id="946"/>
            <w:bookmarkEnd w:id="947"/>
          </w:p>
        </w:tc>
        <w:tc>
          <w:tcPr>
            <w:tcW w:w="3314" w:type="dxa"/>
            <w:tcBorders>
              <w:tl2br w:val="nil"/>
              <w:tr2bl w:val="nil"/>
            </w:tcBorders>
            <w:vAlign w:val="center"/>
          </w:tcPr>
          <w:p w14:paraId="333A998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284" w:type="dxa"/>
            <w:tcBorders>
              <w:tl2br w:val="nil"/>
              <w:tr2bl w:val="nil"/>
            </w:tcBorders>
            <w:vAlign w:val="center"/>
          </w:tcPr>
          <w:p w14:paraId="7B0EF6B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bl>
    <w:p w14:paraId="39D0D0AE">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（4）声环境质量标准</w:t>
      </w:r>
    </w:p>
    <w:p w14:paraId="75598C5D">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项目位于农村地区，执行《声环境质量标准》</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GB3096-2008</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中的1类标准。具体见表1.4-4。</w:t>
      </w:r>
    </w:p>
    <w:p w14:paraId="74E18FC0">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表1.4-4《声环境质量标准》（GB3096-2008）Leq〔dB(A)〕</w:t>
      </w:r>
    </w:p>
    <w:tbl>
      <w:tblPr>
        <w:tblStyle w:val="3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5"/>
        <w:gridCol w:w="2409"/>
        <w:gridCol w:w="2118"/>
      </w:tblGrid>
      <w:tr w14:paraId="14CED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3995" w:type="dxa"/>
            <w:vAlign w:val="center"/>
          </w:tcPr>
          <w:p w14:paraId="1CA0C5C2">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48" w:name="_Toc21281"/>
            <w:bookmarkStart w:id="949" w:name="_Toc7865"/>
            <w:bookmarkStart w:id="950" w:name="_Toc16750"/>
            <w:bookmarkStart w:id="951" w:name="_Toc18825"/>
            <w:bookmarkStart w:id="952" w:name="_Toc14718"/>
            <w:r>
              <w:rPr>
                <w:rFonts w:hint="default" w:ascii="Times New Roman" w:hAnsi="Times New Roman" w:cs="Times New Roman"/>
                <w:b/>
                <w:bCs/>
                <w:color w:val="auto"/>
                <w:sz w:val="21"/>
                <w:szCs w:val="21"/>
                <w:highlight w:val="none"/>
              </w:rPr>
              <w:t>标准类别</w:t>
            </w:r>
            <w:bookmarkEnd w:id="948"/>
            <w:bookmarkEnd w:id="949"/>
            <w:bookmarkEnd w:id="950"/>
            <w:bookmarkEnd w:id="951"/>
            <w:bookmarkEnd w:id="952"/>
          </w:p>
        </w:tc>
        <w:tc>
          <w:tcPr>
            <w:tcW w:w="2409" w:type="dxa"/>
            <w:vAlign w:val="center"/>
          </w:tcPr>
          <w:p w14:paraId="6D4E7CF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53" w:name="_Toc10956"/>
            <w:bookmarkStart w:id="954" w:name="_Toc19524"/>
            <w:bookmarkStart w:id="955" w:name="_Toc28201"/>
            <w:bookmarkStart w:id="956" w:name="_Toc10528"/>
            <w:bookmarkStart w:id="957" w:name="_Toc19871"/>
            <w:r>
              <w:rPr>
                <w:rFonts w:hint="default" w:ascii="Times New Roman" w:hAnsi="Times New Roman" w:cs="Times New Roman"/>
                <w:b/>
                <w:bCs/>
                <w:color w:val="auto"/>
                <w:sz w:val="21"/>
                <w:szCs w:val="21"/>
                <w:highlight w:val="none"/>
              </w:rPr>
              <w:t>昼间</w:t>
            </w:r>
            <w:bookmarkEnd w:id="953"/>
            <w:bookmarkEnd w:id="954"/>
            <w:bookmarkEnd w:id="955"/>
            <w:bookmarkEnd w:id="956"/>
            <w:bookmarkEnd w:id="957"/>
          </w:p>
        </w:tc>
        <w:tc>
          <w:tcPr>
            <w:tcW w:w="2118" w:type="dxa"/>
            <w:vAlign w:val="center"/>
          </w:tcPr>
          <w:p w14:paraId="46F9BB73">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58" w:name="_Toc15012"/>
            <w:bookmarkStart w:id="959" w:name="_Toc22177"/>
            <w:bookmarkStart w:id="960" w:name="_Toc5314"/>
            <w:bookmarkStart w:id="961" w:name="_Toc16621"/>
            <w:bookmarkStart w:id="962" w:name="_Toc28788"/>
            <w:r>
              <w:rPr>
                <w:rFonts w:hint="default" w:ascii="Times New Roman" w:hAnsi="Times New Roman" w:cs="Times New Roman"/>
                <w:b/>
                <w:bCs/>
                <w:color w:val="auto"/>
                <w:sz w:val="21"/>
                <w:szCs w:val="21"/>
                <w:highlight w:val="none"/>
              </w:rPr>
              <w:t>夜间</w:t>
            </w:r>
            <w:bookmarkEnd w:id="958"/>
            <w:bookmarkEnd w:id="959"/>
            <w:bookmarkEnd w:id="960"/>
            <w:bookmarkEnd w:id="961"/>
            <w:bookmarkEnd w:id="962"/>
          </w:p>
        </w:tc>
      </w:tr>
      <w:tr w14:paraId="18261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995" w:type="dxa"/>
            <w:vAlign w:val="center"/>
          </w:tcPr>
          <w:p w14:paraId="599213D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63" w:name="_Toc11721"/>
            <w:bookmarkStart w:id="964" w:name="_Toc15036"/>
            <w:bookmarkStart w:id="965" w:name="_Toc4272"/>
            <w:bookmarkStart w:id="966" w:name="_Toc3600"/>
            <w:bookmarkStart w:id="967" w:name="_Toc9702"/>
            <w:r>
              <w:rPr>
                <w:rFonts w:hint="default" w:ascii="Times New Roman" w:hAnsi="Times New Roman" w:cs="Times New Roman"/>
                <w:color w:val="auto"/>
                <w:sz w:val="21"/>
                <w:szCs w:val="21"/>
                <w:highlight w:val="none"/>
              </w:rPr>
              <w:t>1类标准</w:t>
            </w:r>
            <w:bookmarkEnd w:id="963"/>
            <w:bookmarkEnd w:id="964"/>
            <w:bookmarkEnd w:id="965"/>
            <w:bookmarkEnd w:id="966"/>
            <w:bookmarkEnd w:id="967"/>
          </w:p>
        </w:tc>
        <w:tc>
          <w:tcPr>
            <w:tcW w:w="2409" w:type="dxa"/>
            <w:vAlign w:val="center"/>
          </w:tcPr>
          <w:p w14:paraId="24CCAB9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68" w:name="_Toc942"/>
            <w:bookmarkStart w:id="969" w:name="_Toc2389"/>
            <w:bookmarkStart w:id="970" w:name="_Toc31136"/>
            <w:bookmarkStart w:id="971" w:name="_Toc2056"/>
            <w:bookmarkStart w:id="972" w:name="_Toc32313"/>
            <w:r>
              <w:rPr>
                <w:rFonts w:hint="default" w:ascii="Times New Roman" w:hAnsi="Times New Roman" w:cs="Times New Roman"/>
                <w:color w:val="auto"/>
                <w:sz w:val="21"/>
                <w:szCs w:val="21"/>
                <w:highlight w:val="none"/>
              </w:rPr>
              <w:t>55</w:t>
            </w:r>
            <w:bookmarkEnd w:id="968"/>
            <w:bookmarkEnd w:id="969"/>
            <w:bookmarkEnd w:id="970"/>
            <w:bookmarkEnd w:id="971"/>
            <w:bookmarkEnd w:id="972"/>
          </w:p>
        </w:tc>
        <w:tc>
          <w:tcPr>
            <w:tcW w:w="2118" w:type="dxa"/>
            <w:vAlign w:val="center"/>
          </w:tcPr>
          <w:p w14:paraId="6FEE5CE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973" w:name="_Toc28498"/>
            <w:bookmarkStart w:id="974" w:name="_Toc20025"/>
            <w:bookmarkStart w:id="975" w:name="_Toc266"/>
            <w:bookmarkStart w:id="976" w:name="_Toc31965"/>
            <w:bookmarkStart w:id="977" w:name="_Toc17868"/>
            <w:r>
              <w:rPr>
                <w:rFonts w:hint="default" w:ascii="Times New Roman" w:hAnsi="Times New Roman" w:cs="Times New Roman"/>
                <w:color w:val="auto"/>
                <w:sz w:val="21"/>
                <w:szCs w:val="21"/>
                <w:highlight w:val="none"/>
              </w:rPr>
              <w:t>45</w:t>
            </w:r>
            <w:bookmarkEnd w:id="973"/>
            <w:bookmarkEnd w:id="974"/>
            <w:bookmarkEnd w:id="975"/>
            <w:bookmarkEnd w:id="976"/>
            <w:bookmarkEnd w:id="977"/>
          </w:p>
        </w:tc>
      </w:tr>
    </w:tbl>
    <w:p w14:paraId="71DC956C">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（5）土壤环境</w:t>
      </w:r>
    </w:p>
    <w:p w14:paraId="25C132E3">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工程沿线均为耕地或未利用地，执行《土壤环境质量农用地土壤污染风险管控标准（试行）》（GB15618-2018）标准，具体见表1.4-5。</w:t>
      </w:r>
    </w:p>
    <w:p w14:paraId="434E2C6F">
      <w:pPr>
        <w:jc w:val="center"/>
        <w:outlineLvl w:val="9"/>
        <w:rPr>
          <w:rFonts w:hint="default" w:ascii="Times New Roman" w:hAnsi="Times New Roman" w:cs="Times New Roman"/>
          <w:b/>
          <w:bCs/>
          <w:color w:val="auto"/>
          <w:sz w:val="24"/>
          <w:szCs w:val="24"/>
          <w:highlight w:val="none"/>
        </w:rPr>
      </w:pPr>
      <w:bookmarkStart w:id="978" w:name="_Toc30692"/>
      <w:r>
        <w:rPr>
          <w:rFonts w:hint="default" w:ascii="Times New Roman" w:hAnsi="Times New Roman" w:cs="Times New Roman"/>
          <w:b/>
          <w:bCs/>
          <w:color w:val="auto"/>
          <w:sz w:val="24"/>
          <w:szCs w:val="24"/>
          <w:highlight w:val="none"/>
        </w:rPr>
        <w:t>1.4-5农用地土壤污染风险筛选值（</w:t>
      </w:r>
      <w:r>
        <w:rPr>
          <w:rFonts w:hint="eastAsia" w:cs="Times New Roman"/>
          <w:b/>
          <w:bCs/>
          <w:color w:val="auto"/>
          <w:sz w:val="24"/>
          <w:szCs w:val="24"/>
          <w:highlight w:val="none"/>
          <w:lang w:eastAsia="zh-CN"/>
        </w:rPr>
        <w:t>基本项目</w:t>
      </w:r>
      <w:r>
        <w:rPr>
          <w:rFonts w:hint="default" w:ascii="Times New Roman" w:hAnsi="Times New Roman" w:cs="Times New Roman"/>
          <w:b/>
          <w:bCs/>
          <w:color w:val="auto"/>
          <w:sz w:val="24"/>
          <w:szCs w:val="24"/>
          <w:highlight w:val="none"/>
        </w:rPr>
        <w:t>）</w:t>
      </w:r>
    </w:p>
    <w:p w14:paraId="4CB5709D">
      <w:pPr>
        <w:jc w:val="right"/>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单位：mg/kg</w:t>
      </w:r>
    </w:p>
    <w:bookmarkEnd w:id="978"/>
    <w:tbl>
      <w:tblPr>
        <w:tblStyle w:val="32"/>
        <w:tblW w:w="85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55"/>
        <w:gridCol w:w="763"/>
        <w:gridCol w:w="1300"/>
        <w:gridCol w:w="1668"/>
        <w:gridCol w:w="1916"/>
        <w:gridCol w:w="1441"/>
      </w:tblGrid>
      <w:tr w14:paraId="1FDFE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tcBorders>
              <w:tl2br w:val="nil"/>
              <w:tr2bl w:val="nil"/>
            </w:tcBorders>
            <w:vAlign w:val="center"/>
          </w:tcPr>
          <w:p w14:paraId="7B41D17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79" w:name="_Toc23989"/>
            <w:bookmarkStart w:id="980" w:name="_Toc3545"/>
            <w:bookmarkStart w:id="981" w:name="_Toc27432"/>
            <w:bookmarkStart w:id="982" w:name="_Toc7143"/>
            <w:bookmarkStart w:id="983" w:name="_Toc13665"/>
            <w:r>
              <w:rPr>
                <w:rFonts w:hint="default" w:ascii="Times New Roman" w:hAnsi="Times New Roman" w:cs="Times New Roman"/>
                <w:b/>
                <w:bCs/>
                <w:color w:val="auto"/>
                <w:sz w:val="21"/>
                <w:szCs w:val="21"/>
                <w:highlight w:val="none"/>
              </w:rPr>
              <w:t>序号</w:t>
            </w:r>
            <w:bookmarkEnd w:id="979"/>
            <w:bookmarkEnd w:id="980"/>
            <w:bookmarkEnd w:id="981"/>
            <w:bookmarkEnd w:id="982"/>
            <w:bookmarkEnd w:id="983"/>
          </w:p>
        </w:tc>
        <w:tc>
          <w:tcPr>
            <w:tcW w:w="1518" w:type="dxa"/>
            <w:gridSpan w:val="2"/>
            <w:vMerge w:val="restart"/>
            <w:tcBorders>
              <w:tl2br w:val="nil"/>
              <w:tr2bl w:val="nil"/>
            </w:tcBorders>
            <w:vAlign w:val="center"/>
          </w:tcPr>
          <w:p w14:paraId="2A6E22E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84" w:name="_Toc23449"/>
            <w:bookmarkStart w:id="985" w:name="_Toc20042"/>
            <w:bookmarkStart w:id="986" w:name="_Toc20865"/>
            <w:bookmarkStart w:id="987" w:name="_Toc11829"/>
            <w:bookmarkStart w:id="988" w:name="_Toc28765"/>
            <w:r>
              <w:rPr>
                <w:rFonts w:hint="default" w:ascii="Times New Roman" w:hAnsi="Times New Roman" w:cs="Times New Roman"/>
                <w:b/>
                <w:bCs/>
                <w:color w:val="auto"/>
                <w:sz w:val="21"/>
                <w:szCs w:val="21"/>
                <w:highlight w:val="none"/>
              </w:rPr>
              <w:t>污染物项目</w:t>
            </w:r>
            <w:bookmarkEnd w:id="984"/>
            <w:bookmarkEnd w:id="985"/>
            <w:bookmarkEnd w:id="986"/>
            <w:bookmarkEnd w:id="987"/>
            <w:bookmarkEnd w:id="988"/>
          </w:p>
        </w:tc>
        <w:tc>
          <w:tcPr>
            <w:tcW w:w="6325" w:type="dxa"/>
            <w:gridSpan w:val="4"/>
            <w:tcBorders>
              <w:tl2br w:val="nil"/>
              <w:tr2bl w:val="nil"/>
            </w:tcBorders>
            <w:vAlign w:val="center"/>
          </w:tcPr>
          <w:p w14:paraId="5AC6EDC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89" w:name="_Toc22141"/>
            <w:bookmarkStart w:id="990" w:name="_Toc922"/>
            <w:bookmarkStart w:id="991" w:name="_Toc31133"/>
            <w:bookmarkStart w:id="992" w:name="_Toc17423"/>
            <w:bookmarkStart w:id="993" w:name="_Toc19593"/>
            <w:r>
              <w:rPr>
                <w:rFonts w:hint="default" w:ascii="Times New Roman" w:hAnsi="Times New Roman" w:cs="Times New Roman"/>
                <w:b/>
                <w:bCs/>
                <w:color w:val="auto"/>
                <w:sz w:val="21"/>
                <w:szCs w:val="21"/>
                <w:highlight w:val="none"/>
              </w:rPr>
              <w:t>风险筛选值</w:t>
            </w:r>
            <w:bookmarkEnd w:id="989"/>
            <w:bookmarkEnd w:id="990"/>
            <w:bookmarkEnd w:id="991"/>
            <w:bookmarkEnd w:id="992"/>
            <w:bookmarkEnd w:id="993"/>
          </w:p>
        </w:tc>
      </w:tr>
      <w:tr w14:paraId="64A48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27D73941">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518" w:type="dxa"/>
            <w:gridSpan w:val="2"/>
            <w:vMerge w:val="continue"/>
            <w:tcBorders>
              <w:tl2br w:val="nil"/>
              <w:tr2bl w:val="nil"/>
            </w:tcBorders>
            <w:vAlign w:val="center"/>
          </w:tcPr>
          <w:p w14:paraId="7C049130">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300" w:type="dxa"/>
            <w:tcBorders>
              <w:tl2br w:val="nil"/>
              <w:tr2bl w:val="nil"/>
            </w:tcBorders>
            <w:vAlign w:val="center"/>
          </w:tcPr>
          <w:p w14:paraId="7FF5880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94" w:name="_Toc27423"/>
            <w:bookmarkStart w:id="995" w:name="_Toc30382"/>
            <w:bookmarkStart w:id="996" w:name="_Toc30246"/>
            <w:bookmarkStart w:id="997" w:name="_Toc11204"/>
            <w:bookmarkStart w:id="998" w:name="_Toc25073"/>
            <w:r>
              <w:rPr>
                <w:rFonts w:hint="default" w:ascii="Times New Roman" w:hAnsi="Times New Roman" w:cs="Times New Roman"/>
                <w:b/>
                <w:bCs/>
                <w:color w:val="auto"/>
                <w:sz w:val="21"/>
                <w:szCs w:val="21"/>
                <w:highlight w:val="none"/>
              </w:rPr>
              <w:t>pH≤5.5</w:t>
            </w:r>
            <w:bookmarkEnd w:id="994"/>
            <w:bookmarkEnd w:id="995"/>
            <w:bookmarkEnd w:id="996"/>
            <w:bookmarkEnd w:id="997"/>
            <w:bookmarkEnd w:id="998"/>
          </w:p>
        </w:tc>
        <w:tc>
          <w:tcPr>
            <w:tcW w:w="1668" w:type="dxa"/>
            <w:tcBorders>
              <w:tl2br w:val="nil"/>
              <w:tr2bl w:val="nil"/>
            </w:tcBorders>
            <w:vAlign w:val="center"/>
          </w:tcPr>
          <w:p w14:paraId="2D46317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999" w:name="_Toc9889"/>
            <w:bookmarkStart w:id="1000" w:name="_Toc13416"/>
            <w:bookmarkStart w:id="1001" w:name="_Toc18239"/>
            <w:bookmarkStart w:id="1002" w:name="_Toc13023"/>
            <w:bookmarkStart w:id="1003" w:name="_Toc20939"/>
            <w:r>
              <w:rPr>
                <w:rFonts w:hint="default" w:ascii="Times New Roman" w:hAnsi="Times New Roman" w:cs="Times New Roman"/>
                <w:b/>
                <w:bCs/>
                <w:color w:val="auto"/>
                <w:sz w:val="21"/>
                <w:szCs w:val="21"/>
                <w:highlight w:val="none"/>
              </w:rPr>
              <w:t>5.5＜pH≤6.5</w:t>
            </w:r>
            <w:bookmarkEnd w:id="999"/>
            <w:bookmarkEnd w:id="1000"/>
            <w:bookmarkEnd w:id="1001"/>
            <w:bookmarkEnd w:id="1002"/>
            <w:bookmarkEnd w:id="1003"/>
          </w:p>
        </w:tc>
        <w:tc>
          <w:tcPr>
            <w:tcW w:w="1916" w:type="dxa"/>
            <w:tcBorders>
              <w:tl2br w:val="nil"/>
              <w:tr2bl w:val="nil"/>
            </w:tcBorders>
            <w:vAlign w:val="center"/>
          </w:tcPr>
          <w:p w14:paraId="15F84AD0">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004" w:name="_Toc1384"/>
            <w:bookmarkStart w:id="1005" w:name="_Toc4239"/>
            <w:bookmarkStart w:id="1006" w:name="_Toc11263"/>
            <w:bookmarkStart w:id="1007" w:name="_Toc7518"/>
            <w:bookmarkStart w:id="1008" w:name="_Toc20453"/>
            <w:r>
              <w:rPr>
                <w:rFonts w:hint="default" w:ascii="Times New Roman" w:hAnsi="Times New Roman" w:cs="Times New Roman"/>
                <w:b/>
                <w:bCs/>
                <w:color w:val="auto"/>
                <w:sz w:val="21"/>
                <w:szCs w:val="21"/>
                <w:highlight w:val="none"/>
              </w:rPr>
              <w:t>6.5＜pH≤7.5</w:t>
            </w:r>
            <w:bookmarkEnd w:id="1004"/>
            <w:bookmarkEnd w:id="1005"/>
            <w:bookmarkEnd w:id="1006"/>
            <w:bookmarkEnd w:id="1007"/>
            <w:bookmarkEnd w:id="1008"/>
          </w:p>
        </w:tc>
        <w:tc>
          <w:tcPr>
            <w:tcW w:w="1441" w:type="dxa"/>
            <w:tcBorders>
              <w:tl2br w:val="nil"/>
              <w:tr2bl w:val="nil"/>
            </w:tcBorders>
            <w:vAlign w:val="center"/>
          </w:tcPr>
          <w:p w14:paraId="11D421D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009" w:name="_Toc6928"/>
            <w:bookmarkStart w:id="1010" w:name="_Toc23954"/>
            <w:bookmarkStart w:id="1011" w:name="_Toc31049"/>
            <w:bookmarkStart w:id="1012" w:name="_Toc6941"/>
            <w:bookmarkStart w:id="1013" w:name="_Toc23675"/>
            <w:r>
              <w:rPr>
                <w:rFonts w:hint="default" w:ascii="Times New Roman" w:hAnsi="Times New Roman" w:cs="Times New Roman"/>
                <w:b/>
                <w:bCs/>
                <w:color w:val="auto"/>
                <w:sz w:val="21"/>
                <w:szCs w:val="21"/>
                <w:highlight w:val="none"/>
              </w:rPr>
              <w:t>pH＞7.5</w:t>
            </w:r>
            <w:bookmarkEnd w:id="1009"/>
            <w:bookmarkEnd w:id="1010"/>
            <w:bookmarkEnd w:id="1011"/>
            <w:bookmarkEnd w:id="1012"/>
            <w:bookmarkEnd w:id="1013"/>
          </w:p>
        </w:tc>
      </w:tr>
      <w:tr w14:paraId="4F6E8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tcBorders>
              <w:tl2br w:val="nil"/>
              <w:tr2bl w:val="nil"/>
            </w:tcBorders>
            <w:vAlign w:val="center"/>
          </w:tcPr>
          <w:p w14:paraId="1A25CE3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14" w:name="_Toc20834"/>
            <w:bookmarkStart w:id="1015" w:name="_Toc723"/>
            <w:bookmarkStart w:id="1016" w:name="_Toc11100"/>
            <w:bookmarkStart w:id="1017" w:name="_Toc11195"/>
            <w:bookmarkStart w:id="1018" w:name="_Toc25524"/>
            <w:r>
              <w:rPr>
                <w:rFonts w:hint="default" w:ascii="Times New Roman" w:hAnsi="Times New Roman" w:cs="Times New Roman"/>
                <w:color w:val="auto"/>
                <w:sz w:val="21"/>
                <w:szCs w:val="21"/>
                <w:highlight w:val="none"/>
              </w:rPr>
              <w:t>1</w:t>
            </w:r>
            <w:bookmarkEnd w:id="1014"/>
            <w:bookmarkEnd w:id="1015"/>
            <w:bookmarkEnd w:id="1016"/>
            <w:bookmarkEnd w:id="1017"/>
            <w:bookmarkEnd w:id="1018"/>
          </w:p>
        </w:tc>
        <w:tc>
          <w:tcPr>
            <w:tcW w:w="755" w:type="dxa"/>
            <w:vMerge w:val="restart"/>
            <w:tcBorders>
              <w:tl2br w:val="nil"/>
              <w:tr2bl w:val="nil"/>
            </w:tcBorders>
            <w:vAlign w:val="center"/>
          </w:tcPr>
          <w:p w14:paraId="3FB5819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19" w:name="_Toc14436"/>
            <w:bookmarkStart w:id="1020" w:name="_Toc10565"/>
            <w:bookmarkStart w:id="1021" w:name="_Toc11285"/>
            <w:bookmarkStart w:id="1022" w:name="_Toc21628"/>
            <w:bookmarkStart w:id="1023" w:name="_Toc28870"/>
            <w:r>
              <w:rPr>
                <w:rFonts w:hint="default" w:ascii="Times New Roman" w:hAnsi="Times New Roman" w:cs="Times New Roman"/>
                <w:color w:val="auto"/>
                <w:sz w:val="21"/>
                <w:szCs w:val="21"/>
                <w:highlight w:val="none"/>
              </w:rPr>
              <w:t>镉</w:t>
            </w:r>
            <w:bookmarkEnd w:id="1019"/>
            <w:bookmarkEnd w:id="1020"/>
            <w:bookmarkEnd w:id="1021"/>
            <w:bookmarkEnd w:id="1022"/>
            <w:bookmarkEnd w:id="1023"/>
          </w:p>
        </w:tc>
        <w:tc>
          <w:tcPr>
            <w:tcW w:w="763" w:type="dxa"/>
            <w:tcBorders>
              <w:tl2br w:val="nil"/>
              <w:tr2bl w:val="nil"/>
            </w:tcBorders>
            <w:vAlign w:val="center"/>
          </w:tcPr>
          <w:p w14:paraId="216D41D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24" w:name="_Toc3120"/>
            <w:bookmarkStart w:id="1025" w:name="_Toc15854"/>
            <w:bookmarkStart w:id="1026" w:name="_Toc31956"/>
            <w:bookmarkStart w:id="1027" w:name="_Toc23529"/>
            <w:bookmarkStart w:id="1028" w:name="_Toc3365"/>
            <w:r>
              <w:rPr>
                <w:rFonts w:hint="default" w:ascii="Times New Roman" w:hAnsi="Times New Roman" w:cs="Times New Roman"/>
                <w:color w:val="auto"/>
                <w:sz w:val="21"/>
                <w:szCs w:val="21"/>
                <w:highlight w:val="none"/>
              </w:rPr>
              <w:t>水田</w:t>
            </w:r>
            <w:bookmarkEnd w:id="1024"/>
            <w:bookmarkEnd w:id="1025"/>
            <w:bookmarkEnd w:id="1026"/>
            <w:bookmarkEnd w:id="1027"/>
            <w:bookmarkEnd w:id="1028"/>
          </w:p>
        </w:tc>
        <w:tc>
          <w:tcPr>
            <w:tcW w:w="1300" w:type="dxa"/>
            <w:tcBorders>
              <w:tl2br w:val="nil"/>
              <w:tr2bl w:val="nil"/>
            </w:tcBorders>
            <w:vAlign w:val="center"/>
          </w:tcPr>
          <w:p w14:paraId="598FEB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29" w:name="_Toc16040"/>
            <w:bookmarkStart w:id="1030" w:name="_Toc27922"/>
            <w:bookmarkStart w:id="1031" w:name="_Toc17537"/>
            <w:bookmarkStart w:id="1032" w:name="_Toc18195"/>
            <w:bookmarkStart w:id="1033" w:name="_Toc16934"/>
            <w:r>
              <w:rPr>
                <w:rFonts w:hint="default" w:ascii="Times New Roman" w:hAnsi="Times New Roman" w:cs="Times New Roman"/>
                <w:color w:val="auto"/>
                <w:sz w:val="21"/>
                <w:szCs w:val="21"/>
                <w:highlight w:val="none"/>
              </w:rPr>
              <w:t>0.3</w:t>
            </w:r>
            <w:bookmarkEnd w:id="1029"/>
            <w:bookmarkEnd w:id="1030"/>
            <w:bookmarkEnd w:id="1031"/>
            <w:bookmarkEnd w:id="1032"/>
            <w:bookmarkEnd w:id="1033"/>
          </w:p>
        </w:tc>
        <w:tc>
          <w:tcPr>
            <w:tcW w:w="1668" w:type="dxa"/>
            <w:tcBorders>
              <w:tl2br w:val="nil"/>
              <w:tr2bl w:val="nil"/>
            </w:tcBorders>
            <w:vAlign w:val="center"/>
          </w:tcPr>
          <w:p w14:paraId="4D5A732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34" w:name="_Toc22376"/>
            <w:bookmarkStart w:id="1035" w:name="_Toc1954"/>
            <w:bookmarkStart w:id="1036" w:name="_Toc21301"/>
            <w:bookmarkStart w:id="1037" w:name="_Toc14900"/>
            <w:bookmarkStart w:id="1038" w:name="_Toc1365"/>
            <w:r>
              <w:rPr>
                <w:rFonts w:hint="default" w:ascii="Times New Roman" w:hAnsi="Times New Roman" w:cs="Times New Roman"/>
                <w:color w:val="auto"/>
                <w:sz w:val="21"/>
                <w:szCs w:val="21"/>
                <w:highlight w:val="none"/>
              </w:rPr>
              <w:t>0.4</w:t>
            </w:r>
            <w:bookmarkEnd w:id="1034"/>
            <w:bookmarkEnd w:id="1035"/>
            <w:bookmarkEnd w:id="1036"/>
            <w:bookmarkEnd w:id="1037"/>
            <w:bookmarkEnd w:id="1038"/>
          </w:p>
        </w:tc>
        <w:tc>
          <w:tcPr>
            <w:tcW w:w="1916" w:type="dxa"/>
            <w:tcBorders>
              <w:tl2br w:val="nil"/>
              <w:tr2bl w:val="nil"/>
            </w:tcBorders>
            <w:vAlign w:val="center"/>
          </w:tcPr>
          <w:p w14:paraId="60CF309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39" w:name="_Toc4128"/>
            <w:bookmarkStart w:id="1040" w:name="_Toc4718"/>
            <w:bookmarkStart w:id="1041" w:name="_Toc20644"/>
            <w:bookmarkStart w:id="1042" w:name="_Toc7692"/>
            <w:bookmarkStart w:id="1043" w:name="_Toc32216"/>
            <w:r>
              <w:rPr>
                <w:rFonts w:hint="default" w:ascii="Times New Roman" w:hAnsi="Times New Roman" w:cs="Times New Roman"/>
                <w:color w:val="auto"/>
                <w:sz w:val="21"/>
                <w:szCs w:val="21"/>
                <w:highlight w:val="none"/>
              </w:rPr>
              <w:t>0.6</w:t>
            </w:r>
            <w:bookmarkEnd w:id="1039"/>
            <w:bookmarkEnd w:id="1040"/>
            <w:bookmarkEnd w:id="1041"/>
            <w:bookmarkEnd w:id="1042"/>
            <w:bookmarkEnd w:id="1043"/>
          </w:p>
        </w:tc>
        <w:tc>
          <w:tcPr>
            <w:tcW w:w="1441" w:type="dxa"/>
            <w:tcBorders>
              <w:tl2br w:val="nil"/>
              <w:tr2bl w:val="nil"/>
            </w:tcBorders>
            <w:vAlign w:val="center"/>
          </w:tcPr>
          <w:p w14:paraId="5FDE8DD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44" w:name="_Toc29065"/>
            <w:bookmarkStart w:id="1045" w:name="_Toc21687"/>
            <w:bookmarkStart w:id="1046" w:name="_Toc24218"/>
            <w:bookmarkStart w:id="1047" w:name="_Toc10931"/>
            <w:bookmarkStart w:id="1048" w:name="_Toc3995"/>
            <w:r>
              <w:rPr>
                <w:rFonts w:hint="default" w:ascii="Times New Roman" w:hAnsi="Times New Roman" w:cs="Times New Roman"/>
                <w:color w:val="auto"/>
                <w:sz w:val="21"/>
                <w:szCs w:val="21"/>
                <w:highlight w:val="none"/>
              </w:rPr>
              <w:t>0.8</w:t>
            </w:r>
            <w:bookmarkEnd w:id="1044"/>
            <w:bookmarkEnd w:id="1045"/>
            <w:bookmarkEnd w:id="1046"/>
            <w:bookmarkEnd w:id="1047"/>
            <w:bookmarkEnd w:id="1048"/>
          </w:p>
        </w:tc>
      </w:tr>
      <w:tr w14:paraId="54C23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24BE170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55" w:type="dxa"/>
            <w:vMerge w:val="continue"/>
            <w:tcBorders>
              <w:tl2br w:val="nil"/>
              <w:tr2bl w:val="nil"/>
            </w:tcBorders>
            <w:vAlign w:val="center"/>
          </w:tcPr>
          <w:p w14:paraId="59FDABD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63" w:type="dxa"/>
            <w:tcBorders>
              <w:tl2br w:val="nil"/>
              <w:tr2bl w:val="nil"/>
            </w:tcBorders>
            <w:vAlign w:val="center"/>
          </w:tcPr>
          <w:p w14:paraId="2AC1B20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49" w:name="_Toc6565"/>
            <w:bookmarkStart w:id="1050" w:name="_Toc8164"/>
            <w:bookmarkStart w:id="1051" w:name="_Toc6582"/>
            <w:bookmarkStart w:id="1052" w:name="_Toc27216"/>
            <w:bookmarkStart w:id="1053" w:name="_Toc4636"/>
            <w:r>
              <w:rPr>
                <w:rFonts w:hint="default" w:ascii="Times New Roman" w:hAnsi="Times New Roman" w:cs="Times New Roman"/>
                <w:color w:val="auto"/>
                <w:sz w:val="21"/>
                <w:szCs w:val="21"/>
                <w:highlight w:val="none"/>
              </w:rPr>
              <w:t>其他</w:t>
            </w:r>
            <w:bookmarkEnd w:id="1049"/>
            <w:bookmarkEnd w:id="1050"/>
            <w:bookmarkEnd w:id="1051"/>
            <w:bookmarkEnd w:id="1052"/>
            <w:bookmarkEnd w:id="1053"/>
          </w:p>
        </w:tc>
        <w:tc>
          <w:tcPr>
            <w:tcW w:w="1300" w:type="dxa"/>
            <w:tcBorders>
              <w:tl2br w:val="nil"/>
              <w:tr2bl w:val="nil"/>
            </w:tcBorders>
            <w:vAlign w:val="center"/>
          </w:tcPr>
          <w:p w14:paraId="1B0D372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54" w:name="_Toc1005"/>
            <w:bookmarkStart w:id="1055" w:name="_Toc6709"/>
            <w:bookmarkStart w:id="1056" w:name="_Toc28307"/>
            <w:bookmarkStart w:id="1057" w:name="_Toc31906"/>
            <w:bookmarkStart w:id="1058" w:name="_Toc2205"/>
            <w:r>
              <w:rPr>
                <w:rFonts w:hint="default" w:ascii="Times New Roman" w:hAnsi="Times New Roman" w:cs="Times New Roman"/>
                <w:color w:val="auto"/>
                <w:sz w:val="21"/>
                <w:szCs w:val="21"/>
                <w:highlight w:val="none"/>
              </w:rPr>
              <w:t>0.3</w:t>
            </w:r>
            <w:bookmarkEnd w:id="1054"/>
            <w:bookmarkEnd w:id="1055"/>
            <w:bookmarkEnd w:id="1056"/>
            <w:bookmarkEnd w:id="1057"/>
            <w:bookmarkEnd w:id="1058"/>
          </w:p>
        </w:tc>
        <w:tc>
          <w:tcPr>
            <w:tcW w:w="1668" w:type="dxa"/>
            <w:tcBorders>
              <w:tl2br w:val="nil"/>
              <w:tr2bl w:val="nil"/>
            </w:tcBorders>
            <w:vAlign w:val="center"/>
          </w:tcPr>
          <w:p w14:paraId="7E3F774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59" w:name="_Toc21576"/>
            <w:bookmarkStart w:id="1060" w:name="_Toc16597"/>
            <w:bookmarkStart w:id="1061" w:name="_Toc23233"/>
            <w:bookmarkStart w:id="1062" w:name="_Toc29467"/>
            <w:bookmarkStart w:id="1063" w:name="_Toc2824"/>
            <w:r>
              <w:rPr>
                <w:rFonts w:hint="default" w:ascii="Times New Roman" w:hAnsi="Times New Roman" w:cs="Times New Roman"/>
                <w:color w:val="auto"/>
                <w:sz w:val="21"/>
                <w:szCs w:val="21"/>
                <w:highlight w:val="none"/>
              </w:rPr>
              <w:t>0.3</w:t>
            </w:r>
            <w:bookmarkEnd w:id="1059"/>
            <w:bookmarkEnd w:id="1060"/>
            <w:bookmarkEnd w:id="1061"/>
            <w:bookmarkEnd w:id="1062"/>
            <w:bookmarkEnd w:id="1063"/>
          </w:p>
        </w:tc>
        <w:tc>
          <w:tcPr>
            <w:tcW w:w="1916" w:type="dxa"/>
            <w:tcBorders>
              <w:tl2br w:val="nil"/>
              <w:tr2bl w:val="nil"/>
            </w:tcBorders>
            <w:vAlign w:val="center"/>
          </w:tcPr>
          <w:p w14:paraId="1D371A3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64" w:name="_Toc23273"/>
            <w:bookmarkStart w:id="1065" w:name="_Toc31586"/>
            <w:bookmarkStart w:id="1066" w:name="_Toc2875"/>
            <w:bookmarkStart w:id="1067" w:name="_Toc6221"/>
            <w:bookmarkStart w:id="1068" w:name="_Toc10108"/>
            <w:r>
              <w:rPr>
                <w:rFonts w:hint="default" w:ascii="Times New Roman" w:hAnsi="Times New Roman" w:cs="Times New Roman"/>
                <w:color w:val="auto"/>
                <w:sz w:val="21"/>
                <w:szCs w:val="21"/>
                <w:highlight w:val="none"/>
              </w:rPr>
              <w:t>0.3</w:t>
            </w:r>
            <w:bookmarkEnd w:id="1064"/>
            <w:bookmarkEnd w:id="1065"/>
            <w:bookmarkEnd w:id="1066"/>
            <w:bookmarkEnd w:id="1067"/>
            <w:bookmarkEnd w:id="1068"/>
          </w:p>
        </w:tc>
        <w:tc>
          <w:tcPr>
            <w:tcW w:w="1441" w:type="dxa"/>
            <w:tcBorders>
              <w:tl2br w:val="nil"/>
              <w:tr2bl w:val="nil"/>
            </w:tcBorders>
            <w:vAlign w:val="center"/>
          </w:tcPr>
          <w:p w14:paraId="0529A8A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69" w:name="_Toc26055"/>
            <w:bookmarkStart w:id="1070" w:name="_Toc890"/>
            <w:bookmarkStart w:id="1071" w:name="_Toc24036"/>
            <w:bookmarkStart w:id="1072" w:name="_Toc2928"/>
            <w:bookmarkStart w:id="1073" w:name="_Toc19356"/>
            <w:r>
              <w:rPr>
                <w:rFonts w:hint="default" w:ascii="Times New Roman" w:hAnsi="Times New Roman" w:cs="Times New Roman"/>
                <w:color w:val="auto"/>
                <w:sz w:val="21"/>
                <w:szCs w:val="21"/>
                <w:highlight w:val="none"/>
              </w:rPr>
              <w:t>0.6</w:t>
            </w:r>
            <w:bookmarkEnd w:id="1069"/>
            <w:bookmarkEnd w:id="1070"/>
            <w:bookmarkEnd w:id="1071"/>
            <w:bookmarkEnd w:id="1072"/>
            <w:bookmarkEnd w:id="1073"/>
          </w:p>
        </w:tc>
      </w:tr>
      <w:tr w14:paraId="56692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restart"/>
            <w:tcBorders>
              <w:tl2br w:val="nil"/>
              <w:tr2bl w:val="nil"/>
            </w:tcBorders>
            <w:vAlign w:val="center"/>
          </w:tcPr>
          <w:p w14:paraId="585043A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74" w:name="_Toc17111"/>
            <w:bookmarkStart w:id="1075" w:name="_Toc4570"/>
            <w:bookmarkStart w:id="1076" w:name="_Toc22335"/>
            <w:bookmarkStart w:id="1077" w:name="_Toc24534"/>
            <w:bookmarkStart w:id="1078" w:name="_Toc4257"/>
            <w:r>
              <w:rPr>
                <w:rFonts w:hint="default" w:ascii="Times New Roman" w:hAnsi="Times New Roman" w:cs="Times New Roman"/>
                <w:color w:val="auto"/>
                <w:sz w:val="21"/>
                <w:szCs w:val="21"/>
                <w:highlight w:val="none"/>
              </w:rPr>
              <w:t>2</w:t>
            </w:r>
            <w:bookmarkEnd w:id="1074"/>
            <w:bookmarkEnd w:id="1075"/>
            <w:bookmarkEnd w:id="1076"/>
            <w:bookmarkEnd w:id="1077"/>
            <w:bookmarkEnd w:id="1078"/>
          </w:p>
        </w:tc>
        <w:tc>
          <w:tcPr>
            <w:tcW w:w="755" w:type="dxa"/>
            <w:vMerge w:val="restart"/>
            <w:tcBorders>
              <w:tl2br w:val="nil"/>
              <w:tr2bl w:val="nil"/>
            </w:tcBorders>
            <w:vAlign w:val="center"/>
          </w:tcPr>
          <w:p w14:paraId="4064966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79" w:name="_Toc20998"/>
            <w:bookmarkStart w:id="1080" w:name="_Toc28107"/>
            <w:bookmarkStart w:id="1081" w:name="_Toc16996"/>
            <w:bookmarkStart w:id="1082" w:name="_Toc13068"/>
            <w:bookmarkStart w:id="1083" w:name="_Toc2962"/>
            <w:r>
              <w:rPr>
                <w:rFonts w:hint="default" w:ascii="Times New Roman" w:hAnsi="Times New Roman" w:cs="Times New Roman"/>
                <w:color w:val="auto"/>
                <w:sz w:val="21"/>
                <w:szCs w:val="21"/>
                <w:highlight w:val="none"/>
              </w:rPr>
              <w:t>汞</w:t>
            </w:r>
            <w:bookmarkEnd w:id="1079"/>
            <w:bookmarkEnd w:id="1080"/>
            <w:bookmarkEnd w:id="1081"/>
            <w:bookmarkEnd w:id="1082"/>
            <w:bookmarkEnd w:id="1083"/>
          </w:p>
        </w:tc>
        <w:tc>
          <w:tcPr>
            <w:tcW w:w="763" w:type="dxa"/>
            <w:tcBorders>
              <w:tl2br w:val="nil"/>
              <w:tr2bl w:val="nil"/>
            </w:tcBorders>
            <w:vAlign w:val="center"/>
          </w:tcPr>
          <w:p w14:paraId="4C4211A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84" w:name="_Toc26841"/>
            <w:bookmarkStart w:id="1085" w:name="_Toc20757"/>
            <w:bookmarkStart w:id="1086" w:name="_Toc31971"/>
            <w:bookmarkStart w:id="1087" w:name="_Toc22522"/>
            <w:bookmarkStart w:id="1088" w:name="_Toc18593"/>
            <w:r>
              <w:rPr>
                <w:rFonts w:hint="default" w:ascii="Times New Roman" w:hAnsi="Times New Roman" w:cs="Times New Roman"/>
                <w:color w:val="auto"/>
                <w:sz w:val="21"/>
                <w:szCs w:val="21"/>
                <w:highlight w:val="none"/>
              </w:rPr>
              <w:t>水田</w:t>
            </w:r>
            <w:bookmarkEnd w:id="1084"/>
            <w:bookmarkEnd w:id="1085"/>
            <w:bookmarkEnd w:id="1086"/>
            <w:bookmarkEnd w:id="1087"/>
            <w:bookmarkEnd w:id="1088"/>
          </w:p>
        </w:tc>
        <w:tc>
          <w:tcPr>
            <w:tcW w:w="1300" w:type="dxa"/>
            <w:tcBorders>
              <w:tl2br w:val="nil"/>
              <w:tr2bl w:val="nil"/>
            </w:tcBorders>
            <w:vAlign w:val="center"/>
          </w:tcPr>
          <w:p w14:paraId="6ADC8EB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89" w:name="_Toc13610"/>
            <w:bookmarkStart w:id="1090" w:name="_Toc24715"/>
            <w:bookmarkStart w:id="1091" w:name="_Toc27085"/>
            <w:bookmarkStart w:id="1092" w:name="_Toc30093"/>
            <w:bookmarkStart w:id="1093" w:name="_Toc22358"/>
            <w:r>
              <w:rPr>
                <w:rFonts w:hint="default" w:ascii="Times New Roman" w:hAnsi="Times New Roman" w:cs="Times New Roman"/>
                <w:color w:val="auto"/>
                <w:sz w:val="21"/>
                <w:szCs w:val="21"/>
                <w:highlight w:val="none"/>
              </w:rPr>
              <w:t>0.5</w:t>
            </w:r>
            <w:bookmarkEnd w:id="1089"/>
            <w:bookmarkEnd w:id="1090"/>
            <w:bookmarkEnd w:id="1091"/>
            <w:bookmarkEnd w:id="1092"/>
            <w:bookmarkEnd w:id="1093"/>
          </w:p>
        </w:tc>
        <w:tc>
          <w:tcPr>
            <w:tcW w:w="1668" w:type="dxa"/>
            <w:tcBorders>
              <w:tl2br w:val="nil"/>
              <w:tr2bl w:val="nil"/>
            </w:tcBorders>
            <w:vAlign w:val="center"/>
          </w:tcPr>
          <w:p w14:paraId="59685B9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94" w:name="_Toc17840"/>
            <w:bookmarkStart w:id="1095" w:name="_Toc15324"/>
            <w:bookmarkStart w:id="1096" w:name="_Toc30808"/>
            <w:bookmarkStart w:id="1097" w:name="_Toc4171"/>
            <w:bookmarkStart w:id="1098" w:name="_Toc30543"/>
            <w:r>
              <w:rPr>
                <w:rFonts w:hint="default" w:ascii="Times New Roman" w:hAnsi="Times New Roman" w:cs="Times New Roman"/>
                <w:color w:val="auto"/>
                <w:sz w:val="21"/>
                <w:szCs w:val="21"/>
                <w:highlight w:val="none"/>
              </w:rPr>
              <w:t>0.5</w:t>
            </w:r>
            <w:bookmarkEnd w:id="1094"/>
            <w:bookmarkEnd w:id="1095"/>
            <w:bookmarkEnd w:id="1096"/>
            <w:bookmarkEnd w:id="1097"/>
            <w:bookmarkEnd w:id="1098"/>
          </w:p>
        </w:tc>
        <w:tc>
          <w:tcPr>
            <w:tcW w:w="1916" w:type="dxa"/>
            <w:tcBorders>
              <w:tl2br w:val="nil"/>
              <w:tr2bl w:val="nil"/>
            </w:tcBorders>
            <w:vAlign w:val="center"/>
          </w:tcPr>
          <w:p w14:paraId="6B412ED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099" w:name="_Toc30745"/>
            <w:bookmarkStart w:id="1100" w:name="_Toc16605"/>
            <w:bookmarkStart w:id="1101" w:name="_Toc16646"/>
            <w:bookmarkStart w:id="1102" w:name="_Toc20414"/>
            <w:bookmarkStart w:id="1103" w:name="_Toc21476"/>
            <w:r>
              <w:rPr>
                <w:rFonts w:hint="default" w:ascii="Times New Roman" w:hAnsi="Times New Roman" w:cs="Times New Roman"/>
                <w:color w:val="auto"/>
                <w:sz w:val="21"/>
                <w:szCs w:val="21"/>
                <w:highlight w:val="none"/>
              </w:rPr>
              <w:t>0.6</w:t>
            </w:r>
            <w:bookmarkEnd w:id="1099"/>
            <w:bookmarkEnd w:id="1100"/>
            <w:bookmarkEnd w:id="1101"/>
            <w:bookmarkEnd w:id="1102"/>
            <w:bookmarkEnd w:id="1103"/>
          </w:p>
        </w:tc>
        <w:tc>
          <w:tcPr>
            <w:tcW w:w="1441" w:type="dxa"/>
            <w:tcBorders>
              <w:tl2br w:val="nil"/>
              <w:tr2bl w:val="nil"/>
            </w:tcBorders>
            <w:vAlign w:val="center"/>
          </w:tcPr>
          <w:p w14:paraId="63AA24E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04" w:name="_Toc23889"/>
            <w:bookmarkStart w:id="1105" w:name="_Toc12722"/>
            <w:bookmarkStart w:id="1106" w:name="_Toc20942"/>
            <w:bookmarkStart w:id="1107" w:name="_Toc21430"/>
            <w:bookmarkStart w:id="1108" w:name="_Toc6602"/>
            <w:r>
              <w:rPr>
                <w:rFonts w:hint="default" w:ascii="Times New Roman" w:hAnsi="Times New Roman" w:cs="Times New Roman"/>
                <w:color w:val="auto"/>
                <w:sz w:val="21"/>
                <w:szCs w:val="21"/>
                <w:highlight w:val="none"/>
              </w:rPr>
              <w:t>1.0</w:t>
            </w:r>
            <w:bookmarkEnd w:id="1104"/>
            <w:bookmarkEnd w:id="1105"/>
            <w:bookmarkEnd w:id="1106"/>
            <w:bookmarkEnd w:id="1107"/>
            <w:bookmarkEnd w:id="1108"/>
          </w:p>
        </w:tc>
      </w:tr>
      <w:tr w14:paraId="68F98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4" w:type="dxa"/>
            <w:vMerge w:val="continue"/>
            <w:tcBorders>
              <w:tl2br w:val="nil"/>
              <w:tr2bl w:val="nil"/>
            </w:tcBorders>
            <w:vAlign w:val="center"/>
          </w:tcPr>
          <w:p w14:paraId="61F97BB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55" w:type="dxa"/>
            <w:vMerge w:val="continue"/>
            <w:tcBorders>
              <w:tl2br w:val="nil"/>
              <w:tr2bl w:val="nil"/>
            </w:tcBorders>
            <w:vAlign w:val="center"/>
          </w:tcPr>
          <w:p w14:paraId="40A775F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63" w:type="dxa"/>
            <w:tcBorders>
              <w:tl2br w:val="nil"/>
              <w:tr2bl w:val="nil"/>
            </w:tcBorders>
            <w:vAlign w:val="center"/>
          </w:tcPr>
          <w:p w14:paraId="188ADD4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09" w:name="_Toc15033"/>
            <w:bookmarkStart w:id="1110" w:name="_Toc5672"/>
            <w:bookmarkStart w:id="1111" w:name="_Toc12488"/>
            <w:bookmarkStart w:id="1112" w:name="_Toc15728"/>
            <w:bookmarkStart w:id="1113" w:name="_Toc1276"/>
            <w:r>
              <w:rPr>
                <w:rFonts w:hint="default" w:ascii="Times New Roman" w:hAnsi="Times New Roman" w:cs="Times New Roman"/>
                <w:color w:val="auto"/>
                <w:sz w:val="21"/>
                <w:szCs w:val="21"/>
                <w:highlight w:val="none"/>
              </w:rPr>
              <w:t>其他</w:t>
            </w:r>
            <w:bookmarkEnd w:id="1109"/>
            <w:bookmarkEnd w:id="1110"/>
            <w:bookmarkEnd w:id="1111"/>
            <w:bookmarkEnd w:id="1112"/>
            <w:bookmarkEnd w:id="1113"/>
          </w:p>
        </w:tc>
        <w:tc>
          <w:tcPr>
            <w:tcW w:w="1300" w:type="dxa"/>
            <w:tcBorders>
              <w:tl2br w:val="nil"/>
              <w:tr2bl w:val="nil"/>
            </w:tcBorders>
            <w:vAlign w:val="center"/>
          </w:tcPr>
          <w:p w14:paraId="2DBF765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14" w:name="_Toc18451"/>
            <w:bookmarkStart w:id="1115" w:name="_Toc6169"/>
            <w:bookmarkStart w:id="1116" w:name="_Toc17758"/>
            <w:bookmarkStart w:id="1117" w:name="_Toc13865"/>
            <w:bookmarkStart w:id="1118" w:name="_Toc12419"/>
            <w:r>
              <w:rPr>
                <w:rFonts w:hint="default" w:ascii="Times New Roman" w:hAnsi="Times New Roman" w:cs="Times New Roman"/>
                <w:color w:val="auto"/>
                <w:sz w:val="21"/>
                <w:szCs w:val="21"/>
                <w:highlight w:val="none"/>
              </w:rPr>
              <w:t>1.3</w:t>
            </w:r>
            <w:bookmarkEnd w:id="1114"/>
            <w:bookmarkEnd w:id="1115"/>
            <w:bookmarkEnd w:id="1116"/>
            <w:bookmarkEnd w:id="1117"/>
            <w:bookmarkEnd w:id="1118"/>
          </w:p>
        </w:tc>
        <w:tc>
          <w:tcPr>
            <w:tcW w:w="1668" w:type="dxa"/>
            <w:tcBorders>
              <w:tl2br w:val="nil"/>
              <w:tr2bl w:val="nil"/>
            </w:tcBorders>
            <w:vAlign w:val="center"/>
          </w:tcPr>
          <w:p w14:paraId="2239AE0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19" w:name="_Toc8068"/>
            <w:bookmarkStart w:id="1120" w:name="_Toc13780"/>
            <w:bookmarkStart w:id="1121" w:name="_Toc3736"/>
            <w:bookmarkStart w:id="1122" w:name="_Toc6789"/>
            <w:bookmarkStart w:id="1123" w:name="_Toc30826"/>
            <w:r>
              <w:rPr>
                <w:rFonts w:hint="default" w:ascii="Times New Roman" w:hAnsi="Times New Roman" w:cs="Times New Roman"/>
                <w:color w:val="auto"/>
                <w:sz w:val="21"/>
                <w:szCs w:val="21"/>
                <w:highlight w:val="none"/>
              </w:rPr>
              <w:t>1.8</w:t>
            </w:r>
            <w:bookmarkEnd w:id="1119"/>
            <w:bookmarkEnd w:id="1120"/>
            <w:bookmarkEnd w:id="1121"/>
            <w:bookmarkEnd w:id="1122"/>
            <w:bookmarkEnd w:id="1123"/>
          </w:p>
        </w:tc>
        <w:tc>
          <w:tcPr>
            <w:tcW w:w="1916" w:type="dxa"/>
            <w:tcBorders>
              <w:tl2br w:val="nil"/>
              <w:tr2bl w:val="nil"/>
            </w:tcBorders>
            <w:vAlign w:val="center"/>
          </w:tcPr>
          <w:p w14:paraId="7E4960C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24" w:name="_Toc27883"/>
            <w:bookmarkStart w:id="1125" w:name="_Toc6668"/>
            <w:bookmarkStart w:id="1126" w:name="_Toc26522"/>
            <w:bookmarkStart w:id="1127" w:name="_Toc20932"/>
            <w:bookmarkStart w:id="1128" w:name="_Toc11241"/>
            <w:r>
              <w:rPr>
                <w:rFonts w:hint="default" w:ascii="Times New Roman" w:hAnsi="Times New Roman" w:cs="Times New Roman"/>
                <w:color w:val="auto"/>
                <w:sz w:val="21"/>
                <w:szCs w:val="21"/>
                <w:highlight w:val="none"/>
              </w:rPr>
              <w:t>2.4</w:t>
            </w:r>
            <w:bookmarkEnd w:id="1124"/>
            <w:bookmarkEnd w:id="1125"/>
            <w:bookmarkEnd w:id="1126"/>
            <w:bookmarkEnd w:id="1127"/>
            <w:bookmarkEnd w:id="1128"/>
          </w:p>
        </w:tc>
        <w:tc>
          <w:tcPr>
            <w:tcW w:w="1441" w:type="dxa"/>
            <w:tcBorders>
              <w:tl2br w:val="nil"/>
              <w:tr2bl w:val="nil"/>
            </w:tcBorders>
            <w:vAlign w:val="center"/>
          </w:tcPr>
          <w:p w14:paraId="1FC107A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29" w:name="_Toc12495"/>
            <w:bookmarkStart w:id="1130" w:name="_Toc22565"/>
            <w:bookmarkStart w:id="1131" w:name="_Toc32288"/>
            <w:bookmarkStart w:id="1132" w:name="_Toc12727"/>
            <w:bookmarkStart w:id="1133" w:name="_Toc15200"/>
            <w:r>
              <w:rPr>
                <w:rFonts w:hint="default" w:ascii="Times New Roman" w:hAnsi="Times New Roman" w:cs="Times New Roman"/>
                <w:color w:val="auto"/>
                <w:sz w:val="21"/>
                <w:szCs w:val="21"/>
                <w:highlight w:val="none"/>
              </w:rPr>
              <w:t>3.4</w:t>
            </w:r>
            <w:bookmarkEnd w:id="1129"/>
            <w:bookmarkEnd w:id="1130"/>
            <w:bookmarkEnd w:id="1131"/>
            <w:bookmarkEnd w:id="1132"/>
            <w:bookmarkEnd w:id="1133"/>
          </w:p>
        </w:tc>
      </w:tr>
      <w:tr w14:paraId="1A2CC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tcBorders>
              <w:tl2br w:val="nil"/>
              <w:tr2bl w:val="nil"/>
            </w:tcBorders>
            <w:vAlign w:val="center"/>
          </w:tcPr>
          <w:p w14:paraId="35F4B0F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34" w:name="_Toc58"/>
            <w:bookmarkStart w:id="1135" w:name="_Toc24648"/>
            <w:bookmarkStart w:id="1136" w:name="_Toc32043"/>
            <w:bookmarkStart w:id="1137" w:name="_Toc4098"/>
            <w:bookmarkStart w:id="1138" w:name="_Toc25021"/>
            <w:r>
              <w:rPr>
                <w:rFonts w:hint="default" w:ascii="Times New Roman" w:hAnsi="Times New Roman" w:cs="Times New Roman"/>
                <w:color w:val="auto"/>
                <w:sz w:val="21"/>
                <w:szCs w:val="21"/>
                <w:highlight w:val="none"/>
              </w:rPr>
              <w:t>3</w:t>
            </w:r>
            <w:bookmarkEnd w:id="1134"/>
            <w:bookmarkEnd w:id="1135"/>
            <w:bookmarkEnd w:id="1136"/>
            <w:bookmarkEnd w:id="1137"/>
            <w:bookmarkEnd w:id="1138"/>
          </w:p>
        </w:tc>
        <w:tc>
          <w:tcPr>
            <w:tcW w:w="755" w:type="dxa"/>
            <w:vMerge w:val="restart"/>
            <w:tcBorders>
              <w:tl2br w:val="nil"/>
              <w:tr2bl w:val="nil"/>
            </w:tcBorders>
            <w:vAlign w:val="center"/>
          </w:tcPr>
          <w:p w14:paraId="6DF8E47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39" w:name="_Toc14472"/>
            <w:bookmarkStart w:id="1140" w:name="_Toc25046"/>
            <w:bookmarkStart w:id="1141" w:name="_Toc9897"/>
            <w:bookmarkStart w:id="1142" w:name="_Toc10394"/>
            <w:bookmarkStart w:id="1143" w:name="_Toc25708"/>
            <w:r>
              <w:rPr>
                <w:rFonts w:hint="default" w:ascii="Times New Roman" w:hAnsi="Times New Roman" w:cs="Times New Roman"/>
                <w:color w:val="auto"/>
                <w:sz w:val="21"/>
                <w:szCs w:val="21"/>
                <w:highlight w:val="none"/>
              </w:rPr>
              <w:t>砷</w:t>
            </w:r>
            <w:bookmarkEnd w:id="1139"/>
            <w:bookmarkEnd w:id="1140"/>
            <w:bookmarkEnd w:id="1141"/>
            <w:bookmarkEnd w:id="1142"/>
            <w:bookmarkEnd w:id="1143"/>
          </w:p>
        </w:tc>
        <w:tc>
          <w:tcPr>
            <w:tcW w:w="763" w:type="dxa"/>
            <w:tcBorders>
              <w:tl2br w:val="nil"/>
              <w:tr2bl w:val="nil"/>
            </w:tcBorders>
            <w:vAlign w:val="center"/>
          </w:tcPr>
          <w:p w14:paraId="045E797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44" w:name="_Toc3826"/>
            <w:bookmarkStart w:id="1145" w:name="_Toc26947"/>
            <w:bookmarkStart w:id="1146" w:name="_Toc30206"/>
            <w:bookmarkStart w:id="1147" w:name="_Toc1006"/>
            <w:bookmarkStart w:id="1148" w:name="_Toc5441"/>
            <w:r>
              <w:rPr>
                <w:rFonts w:hint="default" w:ascii="Times New Roman" w:hAnsi="Times New Roman" w:cs="Times New Roman"/>
                <w:color w:val="auto"/>
                <w:sz w:val="21"/>
                <w:szCs w:val="21"/>
                <w:highlight w:val="none"/>
              </w:rPr>
              <w:t>水田</w:t>
            </w:r>
            <w:bookmarkEnd w:id="1144"/>
            <w:bookmarkEnd w:id="1145"/>
            <w:bookmarkEnd w:id="1146"/>
            <w:bookmarkEnd w:id="1147"/>
            <w:bookmarkEnd w:id="1148"/>
          </w:p>
        </w:tc>
        <w:tc>
          <w:tcPr>
            <w:tcW w:w="1300" w:type="dxa"/>
            <w:tcBorders>
              <w:tl2br w:val="nil"/>
              <w:tr2bl w:val="nil"/>
            </w:tcBorders>
            <w:vAlign w:val="center"/>
          </w:tcPr>
          <w:p w14:paraId="730D645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49" w:name="_Toc25192"/>
            <w:bookmarkStart w:id="1150" w:name="_Toc32202"/>
            <w:bookmarkStart w:id="1151" w:name="_Toc21005"/>
            <w:bookmarkStart w:id="1152" w:name="_Toc7098"/>
            <w:bookmarkStart w:id="1153" w:name="_Toc18802"/>
            <w:r>
              <w:rPr>
                <w:rFonts w:hint="default" w:ascii="Times New Roman" w:hAnsi="Times New Roman" w:cs="Times New Roman"/>
                <w:color w:val="auto"/>
                <w:sz w:val="21"/>
                <w:szCs w:val="21"/>
                <w:highlight w:val="none"/>
              </w:rPr>
              <w:t>30</w:t>
            </w:r>
            <w:bookmarkEnd w:id="1149"/>
            <w:bookmarkEnd w:id="1150"/>
            <w:bookmarkEnd w:id="1151"/>
            <w:bookmarkEnd w:id="1152"/>
            <w:bookmarkEnd w:id="1153"/>
          </w:p>
        </w:tc>
        <w:tc>
          <w:tcPr>
            <w:tcW w:w="1668" w:type="dxa"/>
            <w:tcBorders>
              <w:tl2br w:val="nil"/>
              <w:tr2bl w:val="nil"/>
            </w:tcBorders>
            <w:vAlign w:val="center"/>
          </w:tcPr>
          <w:p w14:paraId="7E62A9B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54" w:name="_Toc31747"/>
            <w:bookmarkStart w:id="1155" w:name="_Toc2169"/>
            <w:bookmarkStart w:id="1156" w:name="_Toc29334"/>
            <w:bookmarkStart w:id="1157" w:name="_Toc19054"/>
            <w:bookmarkStart w:id="1158" w:name="_Toc15995"/>
            <w:r>
              <w:rPr>
                <w:rFonts w:hint="default" w:ascii="Times New Roman" w:hAnsi="Times New Roman" w:cs="Times New Roman"/>
                <w:color w:val="auto"/>
                <w:sz w:val="21"/>
                <w:szCs w:val="21"/>
                <w:highlight w:val="none"/>
              </w:rPr>
              <w:t>30</w:t>
            </w:r>
            <w:bookmarkEnd w:id="1154"/>
            <w:bookmarkEnd w:id="1155"/>
            <w:bookmarkEnd w:id="1156"/>
            <w:bookmarkEnd w:id="1157"/>
            <w:bookmarkEnd w:id="1158"/>
          </w:p>
        </w:tc>
        <w:tc>
          <w:tcPr>
            <w:tcW w:w="1916" w:type="dxa"/>
            <w:tcBorders>
              <w:tl2br w:val="nil"/>
              <w:tr2bl w:val="nil"/>
            </w:tcBorders>
            <w:vAlign w:val="center"/>
          </w:tcPr>
          <w:p w14:paraId="7167E68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59" w:name="_Toc16823"/>
            <w:bookmarkStart w:id="1160" w:name="_Toc13536"/>
            <w:bookmarkStart w:id="1161" w:name="_Toc19797"/>
            <w:bookmarkStart w:id="1162" w:name="_Toc1862"/>
            <w:bookmarkStart w:id="1163" w:name="_Toc17804"/>
            <w:r>
              <w:rPr>
                <w:rFonts w:hint="default" w:ascii="Times New Roman" w:hAnsi="Times New Roman" w:cs="Times New Roman"/>
                <w:color w:val="auto"/>
                <w:sz w:val="21"/>
                <w:szCs w:val="21"/>
                <w:highlight w:val="none"/>
              </w:rPr>
              <w:t>25</w:t>
            </w:r>
            <w:bookmarkEnd w:id="1159"/>
            <w:bookmarkEnd w:id="1160"/>
            <w:bookmarkEnd w:id="1161"/>
            <w:bookmarkEnd w:id="1162"/>
            <w:bookmarkEnd w:id="1163"/>
          </w:p>
        </w:tc>
        <w:tc>
          <w:tcPr>
            <w:tcW w:w="1441" w:type="dxa"/>
            <w:tcBorders>
              <w:tl2br w:val="nil"/>
              <w:tr2bl w:val="nil"/>
            </w:tcBorders>
            <w:vAlign w:val="center"/>
          </w:tcPr>
          <w:p w14:paraId="735FEF0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64" w:name="_Toc4258"/>
            <w:bookmarkStart w:id="1165" w:name="_Toc23290"/>
            <w:bookmarkStart w:id="1166" w:name="_Toc24337"/>
            <w:bookmarkStart w:id="1167" w:name="_Toc6429"/>
            <w:bookmarkStart w:id="1168" w:name="_Toc18421"/>
            <w:r>
              <w:rPr>
                <w:rFonts w:hint="default" w:ascii="Times New Roman" w:hAnsi="Times New Roman" w:cs="Times New Roman"/>
                <w:color w:val="auto"/>
                <w:sz w:val="21"/>
                <w:szCs w:val="21"/>
                <w:highlight w:val="none"/>
              </w:rPr>
              <w:t>20</w:t>
            </w:r>
            <w:bookmarkEnd w:id="1164"/>
            <w:bookmarkEnd w:id="1165"/>
            <w:bookmarkEnd w:id="1166"/>
            <w:bookmarkEnd w:id="1167"/>
            <w:bookmarkEnd w:id="1168"/>
          </w:p>
        </w:tc>
      </w:tr>
      <w:tr w14:paraId="5D245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407E174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55" w:type="dxa"/>
            <w:vMerge w:val="continue"/>
            <w:tcBorders>
              <w:tl2br w:val="nil"/>
              <w:tr2bl w:val="nil"/>
            </w:tcBorders>
            <w:vAlign w:val="center"/>
          </w:tcPr>
          <w:p w14:paraId="43A00FF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63" w:type="dxa"/>
            <w:tcBorders>
              <w:tl2br w:val="nil"/>
              <w:tr2bl w:val="nil"/>
            </w:tcBorders>
            <w:vAlign w:val="center"/>
          </w:tcPr>
          <w:p w14:paraId="4381FF7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69" w:name="_Toc14127"/>
            <w:bookmarkStart w:id="1170" w:name="_Toc22409"/>
            <w:bookmarkStart w:id="1171" w:name="_Toc9615"/>
            <w:bookmarkStart w:id="1172" w:name="_Toc30030"/>
            <w:bookmarkStart w:id="1173" w:name="_Toc2237"/>
            <w:r>
              <w:rPr>
                <w:rFonts w:hint="default" w:ascii="Times New Roman" w:hAnsi="Times New Roman" w:cs="Times New Roman"/>
                <w:color w:val="auto"/>
                <w:sz w:val="21"/>
                <w:szCs w:val="21"/>
                <w:highlight w:val="none"/>
              </w:rPr>
              <w:t>其他</w:t>
            </w:r>
            <w:bookmarkEnd w:id="1169"/>
            <w:bookmarkEnd w:id="1170"/>
            <w:bookmarkEnd w:id="1171"/>
            <w:bookmarkEnd w:id="1172"/>
            <w:bookmarkEnd w:id="1173"/>
          </w:p>
        </w:tc>
        <w:tc>
          <w:tcPr>
            <w:tcW w:w="1300" w:type="dxa"/>
            <w:tcBorders>
              <w:tl2br w:val="nil"/>
              <w:tr2bl w:val="nil"/>
            </w:tcBorders>
            <w:vAlign w:val="center"/>
          </w:tcPr>
          <w:p w14:paraId="1385385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74" w:name="_Toc22171"/>
            <w:bookmarkStart w:id="1175" w:name="_Toc10314"/>
            <w:bookmarkStart w:id="1176" w:name="_Toc13654"/>
            <w:bookmarkStart w:id="1177" w:name="_Toc5933"/>
            <w:bookmarkStart w:id="1178" w:name="_Toc7207"/>
            <w:r>
              <w:rPr>
                <w:rFonts w:hint="default" w:ascii="Times New Roman" w:hAnsi="Times New Roman" w:cs="Times New Roman"/>
                <w:color w:val="auto"/>
                <w:sz w:val="21"/>
                <w:szCs w:val="21"/>
                <w:highlight w:val="none"/>
              </w:rPr>
              <w:t>40</w:t>
            </w:r>
            <w:bookmarkEnd w:id="1174"/>
            <w:bookmarkEnd w:id="1175"/>
            <w:bookmarkEnd w:id="1176"/>
            <w:bookmarkEnd w:id="1177"/>
            <w:bookmarkEnd w:id="1178"/>
          </w:p>
        </w:tc>
        <w:tc>
          <w:tcPr>
            <w:tcW w:w="1668" w:type="dxa"/>
            <w:tcBorders>
              <w:tl2br w:val="nil"/>
              <w:tr2bl w:val="nil"/>
            </w:tcBorders>
            <w:vAlign w:val="center"/>
          </w:tcPr>
          <w:p w14:paraId="2C825A3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79" w:name="_Toc26865"/>
            <w:bookmarkStart w:id="1180" w:name="_Toc20151"/>
            <w:bookmarkStart w:id="1181" w:name="_Toc14672"/>
            <w:bookmarkStart w:id="1182" w:name="_Toc23546"/>
            <w:bookmarkStart w:id="1183" w:name="_Toc13022"/>
            <w:r>
              <w:rPr>
                <w:rFonts w:hint="default" w:ascii="Times New Roman" w:hAnsi="Times New Roman" w:cs="Times New Roman"/>
                <w:color w:val="auto"/>
                <w:sz w:val="21"/>
                <w:szCs w:val="21"/>
                <w:highlight w:val="none"/>
              </w:rPr>
              <w:t>40</w:t>
            </w:r>
            <w:bookmarkEnd w:id="1179"/>
            <w:bookmarkEnd w:id="1180"/>
            <w:bookmarkEnd w:id="1181"/>
            <w:bookmarkEnd w:id="1182"/>
            <w:bookmarkEnd w:id="1183"/>
          </w:p>
        </w:tc>
        <w:tc>
          <w:tcPr>
            <w:tcW w:w="1916" w:type="dxa"/>
            <w:tcBorders>
              <w:tl2br w:val="nil"/>
              <w:tr2bl w:val="nil"/>
            </w:tcBorders>
            <w:vAlign w:val="center"/>
          </w:tcPr>
          <w:p w14:paraId="2162609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84" w:name="_Toc13866"/>
            <w:bookmarkStart w:id="1185" w:name="_Toc1184"/>
            <w:bookmarkStart w:id="1186" w:name="_Toc19817"/>
            <w:bookmarkStart w:id="1187" w:name="_Toc17703"/>
            <w:bookmarkStart w:id="1188" w:name="_Toc22216"/>
            <w:r>
              <w:rPr>
                <w:rFonts w:hint="default" w:ascii="Times New Roman" w:hAnsi="Times New Roman" w:cs="Times New Roman"/>
                <w:color w:val="auto"/>
                <w:sz w:val="21"/>
                <w:szCs w:val="21"/>
                <w:highlight w:val="none"/>
              </w:rPr>
              <w:t>30</w:t>
            </w:r>
            <w:bookmarkEnd w:id="1184"/>
            <w:bookmarkEnd w:id="1185"/>
            <w:bookmarkEnd w:id="1186"/>
            <w:bookmarkEnd w:id="1187"/>
            <w:bookmarkEnd w:id="1188"/>
          </w:p>
        </w:tc>
        <w:tc>
          <w:tcPr>
            <w:tcW w:w="1441" w:type="dxa"/>
            <w:tcBorders>
              <w:tl2br w:val="nil"/>
              <w:tr2bl w:val="nil"/>
            </w:tcBorders>
            <w:vAlign w:val="center"/>
          </w:tcPr>
          <w:p w14:paraId="1C3FBBC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89" w:name="_Toc20180"/>
            <w:bookmarkStart w:id="1190" w:name="_Toc12724"/>
            <w:bookmarkStart w:id="1191" w:name="_Toc25198"/>
            <w:bookmarkStart w:id="1192" w:name="_Toc29134"/>
            <w:bookmarkStart w:id="1193" w:name="_Toc10858"/>
            <w:r>
              <w:rPr>
                <w:rFonts w:hint="default" w:ascii="Times New Roman" w:hAnsi="Times New Roman" w:cs="Times New Roman"/>
                <w:color w:val="auto"/>
                <w:sz w:val="21"/>
                <w:szCs w:val="21"/>
                <w:highlight w:val="none"/>
              </w:rPr>
              <w:t>25</w:t>
            </w:r>
            <w:bookmarkEnd w:id="1189"/>
            <w:bookmarkEnd w:id="1190"/>
            <w:bookmarkEnd w:id="1191"/>
            <w:bookmarkEnd w:id="1192"/>
            <w:bookmarkEnd w:id="1193"/>
          </w:p>
        </w:tc>
      </w:tr>
      <w:tr w14:paraId="64AAD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tcBorders>
              <w:tl2br w:val="nil"/>
              <w:tr2bl w:val="nil"/>
            </w:tcBorders>
            <w:vAlign w:val="center"/>
          </w:tcPr>
          <w:p w14:paraId="3B058C8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94" w:name="_Toc19368"/>
            <w:bookmarkStart w:id="1195" w:name="_Toc8788"/>
            <w:bookmarkStart w:id="1196" w:name="_Toc6271"/>
            <w:bookmarkStart w:id="1197" w:name="_Toc18403"/>
            <w:bookmarkStart w:id="1198" w:name="_Toc27931"/>
            <w:r>
              <w:rPr>
                <w:rFonts w:hint="default" w:ascii="Times New Roman" w:hAnsi="Times New Roman" w:cs="Times New Roman"/>
                <w:color w:val="auto"/>
                <w:sz w:val="21"/>
                <w:szCs w:val="21"/>
                <w:highlight w:val="none"/>
              </w:rPr>
              <w:t>4</w:t>
            </w:r>
            <w:bookmarkEnd w:id="1194"/>
            <w:bookmarkEnd w:id="1195"/>
            <w:bookmarkEnd w:id="1196"/>
            <w:bookmarkEnd w:id="1197"/>
            <w:bookmarkEnd w:id="1198"/>
          </w:p>
        </w:tc>
        <w:tc>
          <w:tcPr>
            <w:tcW w:w="755" w:type="dxa"/>
            <w:vMerge w:val="restart"/>
            <w:tcBorders>
              <w:tl2br w:val="nil"/>
              <w:tr2bl w:val="nil"/>
            </w:tcBorders>
            <w:vAlign w:val="center"/>
          </w:tcPr>
          <w:p w14:paraId="714DC47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199" w:name="_Toc22614"/>
            <w:bookmarkStart w:id="1200" w:name="_Toc27933"/>
            <w:bookmarkStart w:id="1201" w:name="_Toc31264"/>
            <w:bookmarkStart w:id="1202" w:name="_Toc29340"/>
            <w:bookmarkStart w:id="1203" w:name="_Toc31900"/>
            <w:r>
              <w:rPr>
                <w:rFonts w:hint="default" w:ascii="Times New Roman" w:hAnsi="Times New Roman" w:cs="Times New Roman"/>
                <w:color w:val="auto"/>
                <w:sz w:val="21"/>
                <w:szCs w:val="21"/>
                <w:highlight w:val="none"/>
              </w:rPr>
              <w:t>铅</w:t>
            </w:r>
            <w:bookmarkEnd w:id="1199"/>
            <w:bookmarkEnd w:id="1200"/>
            <w:bookmarkEnd w:id="1201"/>
            <w:bookmarkEnd w:id="1202"/>
            <w:bookmarkEnd w:id="1203"/>
          </w:p>
        </w:tc>
        <w:tc>
          <w:tcPr>
            <w:tcW w:w="763" w:type="dxa"/>
            <w:tcBorders>
              <w:tl2br w:val="nil"/>
              <w:tr2bl w:val="nil"/>
            </w:tcBorders>
            <w:vAlign w:val="center"/>
          </w:tcPr>
          <w:p w14:paraId="2DB050A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04" w:name="_Toc26712"/>
            <w:bookmarkStart w:id="1205" w:name="_Toc21830"/>
            <w:bookmarkStart w:id="1206" w:name="_Toc21146"/>
            <w:bookmarkStart w:id="1207" w:name="_Toc7961"/>
            <w:bookmarkStart w:id="1208" w:name="_Toc15253"/>
            <w:r>
              <w:rPr>
                <w:rFonts w:hint="default" w:ascii="Times New Roman" w:hAnsi="Times New Roman" w:cs="Times New Roman"/>
                <w:color w:val="auto"/>
                <w:sz w:val="21"/>
                <w:szCs w:val="21"/>
                <w:highlight w:val="none"/>
              </w:rPr>
              <w:t>水田</w:t>
            </w:r>
            <w:bookmarkEnd w:id="1204"/>
            <w:bookmarkEnd w:id="1205"/>
            <w:bookmarkEnd w:id="1206"/>
            <w:bookmarkEnd w:id="1207"/>
            <w:bookmarkEnd w:id="1208"/>
          </w:p>
        </w:tc>
        <w:tc>
          <w:tcPr>
            <w:tcW w:w="1300" w:type="dxa"/>
            <w:tcBorders>
              <w:tl2br w:val="nil"/>
              <w:tr2bl w:val="nil"/>
            </w:tcBorders>
            <w:vAlign w:val="center"/>
          </w:tcPr>
          <w:p w14:paraId="256EA2D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09" w:name="_Toc25325"/>
            <w:bookmarkStart w:id="1210" w:name="_Toc21656"/>
            <w:bookmarkStart w:id="1211" w:name="_Toc20444"/>
            <w:bookmarkStart w:id="1212" w:name="_Toc13076"/>
            <w:bookmarkStart w:id="1213" w:name="_Toc19926"/>
            <w:r>
              <w:rPr>
                <w:rFonts w:hint="default" w:ascii="Times New Roman" w:hAnsi="Times New Roman" w:cs="Times New Roman"/>
                <w:color w:val="auto"/>
                <w:sz w:val="21"/>
                <w:szCs w:val="21"/>
                <w:highlight w:val="none"/>
              </w:rPr>
              <w:t>80</w:t>
            </w:r>
            <w:bookmarkEnd w:id="1209"/>
            <w:bookmarkEnd w:id="1210"/>
            <w:bookmarkEnd w:id="1211"/>
            <w:bookmarkEnd w:id="1212"/>
            <w:bookmarkEnd w:id="1213"/>
          </w:p>
        </w:tc>
        <w:tc>
          <w:tcPr>
            <w:tcW w:w="1668" w:type="dxa"/>
            <w:tcBorders>
              <w:tl2br w:val="nil"/>
              <w:tr2bl w:val="nil"/>
            </w:tcBorders>
            <w:vAlign w:val="center"/>
          </w:tcPr>
          <w:p w14:paraId="4A902CA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14" w:name="_Toc16290"/>
            <w:bookmarkStart w:id="1215" w:name="_Toc21317"/>
            <w:bookmarkStart w:id="1216" w:name="_Toc32727"/>
            <w:bookmarkStart w:id="1217" w:name="_Toc11142"/>
            <w:bookmarkStart w:id="1218" w:name="_Toc234"/>
            <w:r>
              <w:rPr>
                <w:rFonts w:hint="default" w:ascii="Times New Roman" w:hAnsi="Times New Roman" w:cs="Times New Roman"/>
                <w:color w:val="auto"/>
                <w:sz w:val="21"/>
                <w:szCs w:val="21"/>
                <w:highlight w:val="none"/>
              </w:rPr>
              <w:t>100</w:t>
            </w:r>
            <w:bookmarkEnd w:id="1214"/>
            <w:bookmarkEnd w:id="1215"/>
            <w:bookmarkEnd w:id="1216"/>
            <w:bookmarkEnd w:id="1217"/>
            <w:bookmarkEnd w:id="1218"/>
          </w:p>
        </w:tc>
        <w:tc>
          <w:tcPr>
            <w:tcW w:w="1916" w:type="dxa"/>
            <w:tcBorders>
              <w:tl2br w:val="nil"/>
              <w:tr2bl w:val="nil"/>
            </w:tcBorders>
            <w:vAlign w:val="center"/>
          </w:tcPr>
          <w:p w14:paraId="199DE6F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19" w:name="_Toc11074"/>
            <w:bookmarkStart w:id="1220" w:name="_Toc24449"/>
            <w:bookmarkStart w:id="1221" w:name="_Toc27252"/>
            <w:bookmarkStart w:id="1222" w:name="_Toc14915"/>
            <w:bookmarkStart w:id="1223" w:name="_Toc28991"/>
            <w:r>
              <w:rPr>
                <w:rFonts w:hint="default" w:ascii="Times New Roman" w:hAnsi="Times New Roman" w:cs="Times New Roman"/>
                <w:color w:val="auto"/>
                <w:sz w:val="21"/>
                <w:szCs w:val="21"/>
                <w:highlight w:val="none"/>
              </w:rPr>
              <w:t>140</w:t>
            </w:r>
            <w:bookmarkEnd w:id="1219"/>
            <w:bookmarkEnd w:id="1220"/>
            <w:bookmarkEnd w:id="1221"/>
            <w:bookmarkEnd w:id="1222"/>
            <w:bookmarkEnd w:id="1223"/>
          </w:p>
        </w:tc>
        <w:tc>
          <w:tcPr>
            <w:tcW w:w="1441" w:type="dxa"/>
            <w:tcBorders>
              <w:tl2br w:val="nil"/>
              <w:tr2bl w:val="nil"/>
            </w:tcBorders>
            <w:vAlign w:val="center"/>
          </w:tcPr>
          <w:p w14:paraId="7B0B17B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24" w:name="_Toc9099"/>
            <w:bookmarkStart w:id="1225" w:name="_Toc9469"/>
            <w:bookmarkStart w:id="1226" w:name="_Toc8018"/>
            <w:bookmarkStart w:id="1227" w:name="_Toc29210"/>
            <w:bookmarkStart w:id="1228" w:name="_Toc12641"/>
            <w:r>
              <w:rPr>
                <w:rFonts w:hint="default" w:ascii="Times New Roman" w:hAnsi="Times New Roman" w:cs="Times New Roman"/>
                <w:color w:val="auto"/>
                <w:sz w:val="21"/>
                <w:szCs w:val="21"/>
                <w:highlight w:val="none"/>
              </w:rPr>
              <w:t>240</w:t>
            </w:r>
            <w:bookmarkEnd w:id="1224"/>
            <w:bookmarkEnd w:id="1225"/>
            <w:bookmarkEnd w:id="1226"/>
            <w:bookmarkEnd w:id="1227"/>
            <w:bookmarkEnd w:id="1228"/>
          </w:p>
        </w:tc>
      </w:tr>
      <w:tr w14:paraId="171AE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5FE45E0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55" w:type="dxa"/>
            <w:vMerge w:val="continue"/>
            <w:tcBorders>
              <w:tl2br w:val="nil"/>
              <w:tr2bl w:val="nil"/>
            </w:tcBorders>
            <w:vAlign w:val="center"/>
          </w:tcPr>
          <w:p w14:paraId="1F1A0B4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63" w:type="dxa"/>
            <w:tcBorders>
              <w:tl2br w:val="nil"/>
              <w:tr2bl w:val="nil"/>
            </w:tcBorders>
            <w:vAlign w:val="center"/>
          </w:tcPr>
          <w:p w14:paraId="0FE6812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29" w:name="_Toc4276"/>
            <w:bookmarkStart w:id="1230" w:name="_Toc687"/>
            <w:bookmarkStart w:id="1231" w:name="_Toc9334"/>
            <w:bookmarkStart w:id="1232" w:name="_Toc5016"/>
            <w:bookmarkStart w:id="1233" w:name="_Toc29054"/>
            <w:r>
              <w:rPr>
                <w:rFonts w:hint="default" w:ascii="Times New Roman" w:hAnsi="Times New Roman" w:cs="Times New Roman"/>
                <w:color w:val="auto"/>
                <w:sz w:val="21"/>
                <w:szCs w:val="21"/>
                <w:highlight w:val="none"/>
              </w:rPr>
              <w:t>其他</w:t>
            </w:r>
            <w:bookmarkEnd w:id="1229"/>
            <w:bookmarkEnd w:id="1230"/>
            <w:bookmarkEnd w:id="1231"/>
            <w:bookmarkEnd w:id="1232"/>
            <w:bookmarkEnd w:id="1233"/>
          </w:p>
        </w:tc>
        <w:tc>
          <w:tcPr>
            <w:tcW w:w="1300" w:type="dxa"/>
            <w:tcBorders>
              <w:tl2br w:val="nil"/>
              <w:tr2bl w:val="nil"/>
            </w:tcBorders>
            <w:vAlign w:val="center"/>
          </w:tcPr>
          <w:p w14:paraId="4265B83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34" w:name="_Toc8273"/>
            <w:bookmarkStart w:id="1235" w:name="_Toc18577"/>
            <w:bookmarkStart w:id="1236" w:name="_Toc14247"/>
            <w:bookmarkStart w:id="1237" w:name="_Toc31963"/>
            <w:bookmarkStart w:id="1238" w:name="_Toc15398"/>
            <w:r>
              <w:rPr>
                <w:rFonts w:hint="default" w:ascii="Times New Roman" w:hAnsi="Times New Roman" w:cs="Times New Roman"/>
                <w:color w:val="auto"/>
                <w:sz w:val="21"/>
                <w:szCs w:val="21"/>
                <w:highlight w:val="none"/>
              </w:rPr>
              <w:t>70</w:t>
            </w:r>
            <w:bookmarkEnd w:id="1234"/>
            <w:bookmarkEnd w:id="1235"/>
            <w:bookmarkEnd w:id="1236"/>
            <w:bookmarkEnd w:id="1237"/>
            <w:bookmarkEnd w:id="1238"/>
          </w:p>
        </w:tc>
        <w:tc>
          <w:tcPr>
            <w:tcW w:w="1668" w:type="dxa"/>
            <w:tcBorders>
              <w:tl2br w:val="nil"/>
              <w:tr2bl w:val="nil"/>
            </w:tcBorders>
            <w:vAlign w:val="center"/>
          </w:tcPr>
          <w:p w14:paraId="485EC1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39" w:name="_Toc18361"/>
            <w:bookmarkStart w:id="1240" w:name="_Toc12854"/>
            <w:bookmarkStart w:id="1241" w:name="_Toc14408"/>
            <w:bookmarkStart w:id="1242" w:name="_Toc4932"/>
            <w:bookmarkStart w:id="1243" w:name="_Toc32283"/>
            <w:r>
              <w:rPr>
                <w:rFonts w:hint="default" w:ascii="Times New Roman" w:hAnsi="Times New Roman" w:cs="Times New Roman"/>
                <w:color w:val="auto"/>
                <w:sz w:val="21"/>
                <w:szCs w:val="21"/>
                <w:highlight w:val="none"/>
              </w:rPr>
              <w:t>90</w:t>
            </w:r>
            <w:bookmarkEnd w:id="1239"/>
            <w:bookmarkEnd w:id="1240"/>
            <w:bookmarkEnd w:id="1241"/>
            <w:bookmarkEnd w:id="1242"/>
            <w:bookmarkEnd w:id="1243"/>
          </w:p>
        </w:tc>
        <w:tc>
          <w:tcPr>
            <w:tcW w:w="1916" w:type="dxa"/>
            <w:tcBorders>
              <w:tl2br w:val="nil"/>
              <w:tr2bl w:val="nil"/>
            </w:tcBorders>
            <w:vAlign w:val="center"/>
          </w:tcPr>
          <w:p w14:paraId="5B3B5C4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44" w:name="_Toc29634"/>
            <w:bookmarkStart w:id="1245" w:name="_Toc29013"/>
            <w:bookmarkStart w:id="1246" w:name="_Toc4821"/>
            <w:bookmarkStart w:id="1247" w:name="_Toc691"/>
            <w:bookmarkStart w:id="1248" w:name="_Toc32564"/>
            <w:r>
              <w:rPr>
                <w:rFonts w:hint="default" w:ascii="Times New Roman" w:hAnsi="Times New Roman" w:cs="Times New Roman"/>
                <w:color w:val="auto"/>
                <w:sz w:val="21"/>
                <w:szCs w:val="21"/>
                <w:highlight w:val="none"/>
              </w:rPr>
              <w:t>120</w:t>
            </w:r>
            <w:bookmarkEnd w:id="1244"/>
            <w:bookmarkEnd w:id="1245"/>
            <w:bookmarkEnd w:id="1246"/>
            <w:bookmarkEnd w:id="1247"/>
            <w:bookmarkEnd w:id="1248"/>
          </w:p>
        </w:tc>
        <w:tc>
          <w:tcPr>
            <w:tcW w:w="1441" w:type="dxa"/>
            <w:tcBorders>
              <w:tl2br w:val="nil"/>
              <w:tr2bl w:val="nil"/>
            </w:tcBorders>
            <w:vAlign w:val="center"/>
          </w:tcPr>
          <w:p w14:paraId="1D6A0AE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49" w:name="_Toc153"/>
            <w:bookmarkStart w:id="1250" w:name="_Toc32356"/>
            <w:bookmarkStart w:id="1251" w:name="_Toc7310"/>
            <w:bookmarkStart w:id="1252" w:name="_Toc18030"/>
            <w:bookmarkStart w:id="1253" w:name="_Toc2220"/>
            <w:r>
              <w:rPr>
                <w:rFonts w:hint="default" w:ascii="Times New Roman" w:hAnsi="Times New Roman" w:cs="Times New Roman"/>
                <w:color w:val="auto"/>
                <w:sz w:val="21"/>
                <w:szCs w:val="21"/>
                <w:highlight w:val="none"/>
              </w:rPr>
              <w:t>170</w:t>
            </w:r>
            <w:bookmarkEnd w:id="1249"/>
            <w:bookmarkEnd w:id="1250"/>
            <w:bookmarkEnd w:id="1251"/>
            <w:bookmarkEnd w:id="1252"/>
            <w:bookmarkEnd w:id="1253"/>
          </w:p>
        </w:tc>
      </w:tr>
      <w:tr w14:paraId="412B5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tcBorders>
              <w:tl2br w:val="nil"/>
              <w:tr2bl w:val="nil"/>
            </w:tcBorders>
            <w:vAlign w:val="center"/>
          </w:tcPr>
          <w:p w14:paraId="0B87048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54" w:name="_Toc14814"/>
            <w:bookmarkStart w:id="1255" w:name="_Toc20890"/>
            <w:bookmarkStart w:id="1256" w:name="_Toc12239"/>
            <w:bookmarkStart w:id="1257" w:name="_Toc25363"/>
            <w:bookmarkStart w:id="1258" w:name="_Toc13304"/>
            <w:r>
              <w:rPr>
                <w:rFonts w:hint="default" w:ascii="Times New Roman" w:hAnsi="Times New Roman" w:cs="Times New Roman"/>
                <w:color w:val="auto"/>
                <w:sz w:val="21"/>
                <w:szCs w:val="21"/>
                <w:highlight w:val="none"/>
              </w:rPr>
              <w:t>5</w:t>
            </w:r>
            <w:bookmarkEnd w:id="1254"/>
            <w:bookmarkEnd w:id="1255"/>
            <w:bookmarkEnd w:id="1256"/>
            <w:bookmarkEnd w:id="1257"/>
            <w:bookmarkEnd w:id="1258"/>
          </w:p>
        </w:tc>
        <w:tc>
          <w:tcPr>
            <w:tcW w:w="755" w:type="dxa"/>
            <w:vMerge w:val="restart"/>
            <w:tcBorders>
              <w:tl2br w:val="nil"/>
              <w:tr2bl w:val="nil"/>
            </w:tcBorders>
            <w:vAlign w:val="center"/>
          </w:tcPr>
          <w:p w14:paraId="06E75C2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59" w:name="_Toc4447"/>
            <w:bookmarkStart w:id="1260" w:name="_Toc32750"/>
            <w:bookmarkStart w:id="1261" w:name="_Toc7808"/>
            <w:bookmarkStart w:id="1262" w:name="_Toc7195"/>
            <w:bookmarkStart w:id="1263" w:name="_Toc29237"/>
            <w:r>
              <w:rPr>
                <w:rFonts w:hint="default" w:ascii="Times New Roman" w:hAnsi="Times New Roman" w:cs="Times New Roman"/>
                <w:color w:val="auto"/>
                <w:sz w:val="21"/>
                <w:szCs w:val="21"/>
                <w:highlight w:val="none"/>
              </w:rPr>
              <w:t>铬</w:t>
            </w:r>
            <w:bookmarkEnd w:id="1259"/>
            <w:bookmarkEnd w:id="1260"/>
            <w:bookmarkEnd w:id="1261"/>
            <w:bookmarkEnd w:id="1262"/>
            <w:bookmarkEnd w:id="1263"/>
          </w:p>
        </w:tc>
        <w:tc>
          <w:tcPr>
            <w:tcW w:w="763" w:type="dxa"/>
            <w:tcBorders>
              <w:tl2br w:val="nil"/>
              <w:tr2bl w:val="nil"/>
            </w:tcBorders>
            <w:vAlign w:val="center"/>
          </w:tcPr>
          <w:p w14:paraId="157435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64" w:name="_Toc5084"/>
            <w:bookmarkStart w:id="1265" w:name="_Toc9435"/>
            <w:bookmarkStart w:id="1266" w:name="_Toc21663"/>
            <w:bookmarkStart w:id="1267" w:name="_Toc156"/>
            <w:bookmarkStart w:id="1268" w:name="_Toc21749"/>
            <w:r>
              <w:rPr>
                <w:rFonts w:hint="default" w:ascii="Times New Roman" w:hAnsi="Times New Roman" w:cs="Times New Roman"/>
                <w:color w:val="auto"/>
                <w:sz w:val="21"/>
                <w:szCs w:val="21"/>
                <w:highlight w:val="none"/>
              </w:rPr>
              <w:t>水田</w:t>
            </w:r>
            <w:bookmarkEnd w:id="1264"/>
            <w:bookmarkEnd w:id="1265"/>
            <w:bookmarkEnd w:id="1266"/>
            <w:bookmarkEnd w:id="1267"/>
            <w:bookmarkEnd w:id="1268"/>
          </w:p>
        </w:tc>
        <w:tc>
          <w:tcPr>
            <w:tcW w:w="1300" w:type="dxa"/>
            <w:tcBorders>
              <w:tl2br w:val="nil"/>
              <w:tr2bl w:val="nil"/>
            </w:tcBorders>
            <w:vAlign w:val="center"/>
          </w:tcPr>
          <w:p w14:paraId="6C3A7DA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69" w:name="_Toc11980"/>
            <w:bookmarkStart w:id="1270" w:name="_Toc31164"/>
            <w:bookmarkStart w:id="1271" w:name="_Toc18905"/>
            <w:bookmarkStart w:id="1272" w:name="_Toc23106"/>
            <w:bookmarkStart w:id="1273" w:name="_Toc32082"/>
            <w:r>
              <w:rPr>
                <w:rFonts w:hint="default" w:ascii="Times New Roman" w:hAnsi="Times New Roman" w:cs="Times New Roman"/>
                <w:color w:val="auto"/>
                <w:sz w:val="21"/>
                <w:szCs w:val="21"/>
                <w:highlight w:val="none"/>
              </w:rPr>
              <w:t>250</w:t>
            </w:r>
            <w:bookmarkEnd w:id="1269"/>
            <w:bookmarkEnd w:id="1270"/>
            <w:bookmarkEnd w:id="1271"/>
            <w:bookmarkEnd w:id="1272"/>
            <w:bookmarkEnd w:id="1273"/>
          </w:p>
        </w:tc>
        <w:tc>
          <w:tcPr>
            <w:tcW w:w="1668" w:type="dxa"/>
            <w:tcBorders>
              <w:tl2br w:val="nil"/>
              <w:tr2bl w:val="nil"/>
            </w:tcBorders>
            <w:vAlign w:val="center"/>
          </w:tcPr>
          <w:p w14:paraId="6B64D9D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74" w:name="_Toc28316"/>
            <w:bookmarkStart w:id="1275" w:name="_Toc28717"/>
            <w:bookmarkStart w:id="1276" w:name="_Toc9139"/>
            <w:bookmarkStart w:id="1277" w:name="_Toc14803"/>
            <w:bookmarkStart w:id="1278" w:name="_Toc747"/>
            <w:r>
              <w:rPr>
                <w:rFonts w:hint="default" w:ascii="Times New Roman" w:hAnsi="Times New Roman" w:cs="Times New Roman"/>
                <w:color w:val="auto"/>
                <w:sz w:val="21"/>
                <w:szCs w:val="21"/>
                <w:highlight w:val="none"/>
              </w:rPr>
              <w:t>250</w:t>
            </w:r>
            <w:bookmarkEnd w:id="1274"/>
            <w:bookmarkEnd w:id="1275"/>
            <w:bookmarkEnd w:id="1276"/>
            <w:bookmarkEnd w:id="1277"/>
            <w:bookmarkEnd w:id="1278"/>
          </w:p>
        </w:tc>
        <w:tc>
          <w:tcPr>
            <w:tcW w:w="1916" w:type="dxa"/>
            <w:tcBorders>
              <w:tl2br w:val="nil"/>
              <w:tr2bl w:val="nil"/>
            </w:tcBorders>
            <w:vAlign w:val="center"/>
          </w:tcPr>
          <w:p w14:paraId="2F16E9C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79" w:name="_Toc7653"/>
            <w:bookmarkStart w:id="1280" w:name="_Toc18405"/>
            <w:bookmarkStart w:id="1281" w:name="_Toc19561"/>
            <w:bookmarkStart w:id="1282" w:name="_Toc20986"/>
            <w:bookmarkStart w:id="1283" w:name="_Toc32585"/>
            <w:r>
              <w:rPr>
                <w:rFonts w:hint="default" w:ascii="Times New Roman" w:hAnsi="Times New Roman" w:cs="Times New Roman"/>
                <w:color w:val="auto"/>
                <w:sz w:val="21"/>
                <w:szCs w:val="21"/>
                <w:highlight w:val="none"/>
              </w:rPr>
              <w:t>300</w:t>
            </w:r>
            <w:bookmarkEnd w:id="1279"/>
            <w:bookmarkEnd w:id="1280"/>
            <w:bookmarkEnd w:id="1281"/>
            <w:bookmarkEnd w:id="1282"/>
            <w:bookmarkEnd w:id="1283"/>
          </w:p>
        </w:tc>
        <w:tc>
          <w:tcPr>
            <w:tcW w:w="1441" w:type="dxa"/>
            <w:tcBorders>
              <w:tl2br w:val="nil"/>
              <w:tr2bl w:val="nil"/>
            </w:tcBorders>
            <w:vAlign w:val="center"/>
          </w:tcPr>
          <w:p w14:paraId="60222EA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84" w:name="_Toc7678"/>
            <w:bookmarkStart w:id="1285" w:name="_Toc30758"/>
            <w:bookmarkStart w:id="1286" w:name="_Toc18273"/>
            <w:bookmarkStart w:id="1287" w:name="_Toc20590"/>
            <w:bookmarkStart w:id="1288" w:name="_Toc5737"/>
            <w:r>
              <w:rPr>
                <w:rFonts w:hint="default" w:ascii="Times New Roman" w:hAnsi="Times New Roman" w:cs="Times New Roman"/>
                <w:color w:val="auto"/>
                <w:sz w:val="21"/>
                <w:szCs w:val="21"/>
                <w:highlight w:val="none"/>
              </w:rPr>
              <w:t>350</w:t>
            </w:r>
            <w:bookmarkEnd w:id="1284"/>
            <w:bookmarkEnd w:id="1285"/>
            <w:bookmarkEnd w:id="1286"/>
            <w:bookmarkEnd w:id="1287"/>
            <w:bookmarkEnd w:id="1288"/>
          </w:p>
        </w:tc>
      </w:tr>
      <w:tr w14:paraId="01EA4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16BD39E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55" w:type="dxa"/>
            <w:vMerge w:val="continue"/>
            <w:tcBorders>
              <w:tl2br w:val="nil"/>
              <w:tr2bl w:val="nil"/>
            </w:tcBorders>
            <w:vAlign w:val="center"/>
          </w:tcPr>
          <w:p w14:paraId="538D217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63" w:type="dxa"/>
            <w:tcBorders>
              <w:tl2br w:val="nil"/>
              <w:tr2bl w:val="nil"/>
            </w:tcBorders>
            <w:vAlign w:val="center"/>
          </w:tcPr>
          <w:p w14:paraId="56E7800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89" w:name="_Toc898"/>
            <w:bookmarkStart w:id="1290" w:name="_Toc4616"/>
            <w:bookmarkStart w:id="1291" w:name="_Toc14977"/>
            <w:bookmarkStart w:id="1292" w:name="_Toc29400"/>
            <w:bookmarkStart w:id="1293" w:name="_Toc8131"/>
            <w:r>
              <w:rPr>
                <w:rFonts w:hint="default" w:ascii="Times New Roman" w:hAnsi="Times New Roman" w:cs="Times New Roman"/>
                <w:color w:val="auto"/>
                <w:sz w:val="21"/>
                <w:szCs w:val="21"/>
                <w:highlight w:val="none"/>
              </w:rPr>
              <w:t>其他</w:t>
            </w:r>
            <w:bookmarkEnd w:id="1289"/>
            <w:bookmarkEnd w:id="1290"/>
            <w:bookmarkEnd w:id="1291"/>
            <w:bookmarkEnd w:id="1292"/>
            <w:bookmarkEnd w:id="1293"/>
          </w:p>
        </w:tc>
        <w:tc>
          <w:tcPr>
            <w:tcW w:w="1300" w:type="dxa"/>
            <w:tcBorders>
              <w:tl2br w:val="nil"/>
              <w:tr2bl w:val="nil"/>
            </w:tcBorders>
            <w:vAlign w:val="center"/>
          </w:tcPr>
          <w:p w14:paraId="58466F6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94" w:name="_Toc2897"/>
            <w:bookmarkStart w:id="1295" w:name="_Toc7912"/>
            <w:bookmarkStart w:id="1296" w:name="_Toc8524"/>
            <w:bookmarkStart w:id="1297" w:name="_Toc21631"/>
            <w:bookmarkStart w:id="1298" w:name="_Toc10705"/>
            <w:r>
              <w:rPr>
                <w:rFonts w:hint="default" w:ascii="Times New Roman" w:hAnsi="Times New Roman" w:cs="Times New Roman"/>
                <w:color w:val="auto"/>
                <w:sz w:val="21"/>
                <w:szCs w:val="21"/>
                <w:highlight w:val="none"/>
              </w:rPr>
              <w:t>150</w:t>
            </w:r>
            <w:bookmarkEnd w:id="1294"/>
            <w:bookmarkEnd w:id="1295"/>
            <w:bookmarkEnd w:id="1296"/>
            <w:bookmarkEnd w:id="1297"/>
            <w:bookmarkEnd w:id="1298"/>
          </w:p>
        </w:tc>
        <w:tc>
          <w:tcPr>
            <w:tcW w:w="1668" w:type="dxa"/>
            <w:tcBorders>
              <w:tl2br w:val="nil"/>
              <w:tr2bl w:val="nil"/>
            </w:tcBorders>
            <w:vAlign w:val="center"/>
          </w:tcPr>
          <w:p w14:paraId="6EEB288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299" w:name="_Toc3384"/>
            <w:bookmarkStart w:id="1300" w:name="_Toc6944"/>
            <w:bookmarkStart w:id="1301" w:name="_Toc15057"/>
            <w:bookmarkStart w:id="1302" w:name="_Toc6198"/>
            <w:bookmarkStart w:id="1303" w:name="_Toc30637"/>
            <w:r>
              <w:rPr>
                <w:rFonts w:hint="default" w:ascii="Times New Roman" w:hAnsi="Times New Roman" w:cs="Times New Roman"/>
                <w:color w:val="auto"/>
                <w:sz w:val="21"/>
                <w:szCs w:val="21"/>
                <w:highlight w:val="none"/>
              </w:rPr>
              <w:t>150</w:t>
            </w:r>
            <w:bookmarkEnd w:id="1299"/>
            <w:bookmarkEnd w:id="1300"/>
            <w:bookmarkEnd w:id="1301"/>
            <w:bookmarkEnd w:id="1302"/>
            <w:bookmarkEnd w:id="1303"/>
          </w:p>
        </w:tc>
        <w:tc>
          <w:tcPr>
            <w:tcW w:w="1916" w:type="dxa"/>
            <w:tcBorders>
              <w:tl2br w:val="nil"/>
              <w:tr2bl w:val="nil"/>
            </w:tcBorders>
            <w:vAlign w:val="center"/>
          </w:tcPr>
          <w:p w14:paraId="5EEEEA4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04" w:name="_Toc26350"/>
            <w:bookmarkStart w:id="1305" w:name="_Toc16229"/>
            <w:bookmarkStart w:id="1306" w:name="_Toc8838"/>
            <w:bookmarkStart w:id="1307" w:name="_Toc27841"/>
            <w:bookmarkStart w:id="1308" w:name="_Toc25328"/>
            <w:r>
              <w:rPr>
                <w:rFonts w:hint="default" w:ascii="Times New Roman" w:hAnsi="Times New Roman" w:cs="Times New Roman"/>
                <w:color w:val="auto"/>
                <w:sz w:val="21"/>
                <w:szCs w:val="21"/>
                <w:highlight w:val="none"/>
              </w:rPr>
              <w:t>200</w:t>
            </w:r>
            <w:bookmarkEnd w:id="1304"/>
            <w:bookmarkEnd w:id="1305"/>
            <w:bookmarkEnd w:id="1306"/>
            <w:bookmarkEnd w:id="1307"/>
            <w:bookmarkEnd w:id="1308"/>
          </w:p>
        </w:tc>
        <w:tc>
          <w:tcPr>
            <w:tcW w:w="1441" w:type="dxa"/>
            <w:tcBorders>
              <w:tl2br w:val="nil"/>
              <w:tr2bl w:val="nil"/>
            </w:tcBorders>
            <w:vAlign w:val="center"/>
          </w:tcPr>
          <w:p w14:paraId="1876609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09" w:name="_Toc17917"/>
            <w:bookmarkStart w:id="1310" w:name="_Toc17820"/>
            <w:bookmarkStart w:id="1311" w:name="_Toc4475"/>
            <w:bookmarkStart w:id="1312" w:name="_Toc23318"/>
            <w:bookmarkStart w:id="1313" w:name="_Toc24280"/>
            <w:r>
              <w:rPr>
                <w:rFonts w:hint="default" w:ascii="Times New Roman" w:hAnsi="Times New Roman" w:cs="Times New Roman"/>
                <w:color w:val="auto"/>
                <w:sz w:val="21"/>
                <w:szCs w:val="21"/>
                <w:highlight w:val="none"/>
              </w:rPr>
              <w:t>250</w:t>
            </w:r>
            <w:bookmarkEnd w:id="1309"/>
            <w:bookmarkEnd w:id="1310"/>
            <w:bookmarkEnd w:id="1311"/>
            <w:bookmarkEnd w:id="1312"/>
            <w:bookmarkEnd w:id="1313"/>
          </w:p>
        </w:tc>
      </w:tr>
      <w:tr w14:paraId="3E6CC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restart"/>
            <w:tcBorders>
              <w:tl2br w:val="nil"/>
              <w:tr2bl w:val="nil"/>
            </w:tcBorders>
            <w:vAlign w:val="center"/>
          </w:tcPr>
          <w:p w14:paraId="0657A19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14" w:name="_Toc14806"/>
            <w:bookmarkStart w:id="1315" w:name="_Toc24270"/>
            <w:bookmarkStart w:id="1316" w:name="_Toc9225"/>
            <w:bookmarkStart w:id="1317" w:name="_Toc9325"/>
            <w:bookmarkStart w:id="1318" w:name="_Toc22164"/>
            <w:r>
              <w:rPr>
                <w:rFonts w:hint="default" w:ascii="Times New Roman" w:hAnsi="Times New Roman" w:cs="Times New Roman"/>
                <w:color w:val="auto"/>
                <w:sz w:val="21"/>
                <w:szCs w:val="21"/>
                <w:highlight w:val="none"/>
              </w:rPr>
              <w:t>6</w:t>
            </w:r>
            <w:bookmarkEnd w:id="1314"/>
            <w:bookmarkEnd w:id="1315"/>
            <w:bookmarkEnd w:id="1316"/>
            <w:bookmarkEnd w:id="1317"/>
            <w:bookmarkEnd w:id="1318"/>
          </w:p>
        </w:tc>
        <w:tc>
          <w:tcPr>
            <w:tcW w:w="755" w:type="dxa"/>
            <w:vMerge w:val="restart"/>
            <w:tcBorders>
              <w:tl2br w:val="nil"/>
              <w:tr2bl w:val="nil"/>
            </w:tcBorders>
            <w:vAlign w:val="center"/>
          </w:tcPr>
          <w:p w14:paraId="07C3E69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19" w:name="_Toc11293"/>
            <w:bookmarkStart w:id="1320" w:name="_Toc27317"/>
            <w:bookmarkStart w:id="1321" w:name="_Toc2881"/>
            <w:bookmarkStart w:id="1322" w:name="_Toc30409"/>
            <w:bookmarkStart w:id="1323" w:name="_Toc22380"/>
            <w:r>
              <w:rPr>
                <w:rFonts w:hint="default" w:ascii="Times New Roman" w:hAnsi="Times New Roman" w:cs="Times New Roman"/>
                <w:color w:val="auto"/>
                <w:sz w:val="21"/>
                <w:szCs w:val="21"/>
                <w:highlight w:val="none"/>
              </w:rPr>
              <w:t>铜</w:t>
            </w:r>
            <w:bookmarkEnd w:id="1319"/>
            <w:bookmarkEnd w:id="1320"/>
            <w:bookmarkEnd w:id="1321"/>
            <w:bookmarkEnd w:id="1322"/>
            <w:bookmarkEnd w:id="1323"/>
          </w:p>
        </w:tc>
        <w:tc>
          <w:tcPr>
            <w:tcW w:w="763" w:type="dxa"/>
            <w:tcBorders>
              <w:tl2br w:val="nil"/>
              <w:tr2bl w:val="nil"/>
            </w:tcBorders>
            <w:vAlign w:val="center"/>
          </w:tcPr>
          <w:p w14:paraId="04E7B29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24" w:name="_Toc27448"/>
            <w:bookmarkStart w:id="1325" w:name="_Toc18410"/>
            <w:bookmarkStart w:id="1326" w:name="_Toc22732"/>
            <w:bookmarkStart w:id="1327" w:name="_Toc13430"/>
            <w:bookmarkStart w:id="1328" w:name="_Toc32422"/>
            <w:r>
              <w:rPr>
                <w:rFonts w:hint="default" w:ascii="Times New Roman" w:hAnsi="Times New Roman" w:cs="Times New Roman"/>
                <w:color w:val="auto"/>
                <w:sz w:val="21"/>
                <w:szCs w:val="21"/>
                <w:highlight w:val="none"/>
              </w:rPr>
              <w:t>果园</w:t>
            </w:r>
            <w:bookmarkEnd w:id="1324"/>
            <w:bookmarkEnd w:id="1325"/>
            <w:bookmarkEnd w:id="1326"/>
            <w:bookmarkEnd w:id="1327"/>
            <w:bookmarkEnd w:id="1328"/>
          </w:p>
        </w:tc>
        <w:tc>
          <w:tcPr>
            <w:tcW w:w="1300" w:type="dxa"/>
            <w:tcBorders>
              <w:tl2br w:val="nil"/>
              <w:tr2bl w:val="nil"/>
            </w:tcBorders>
            <w:vAlign w:val="center"/>
          </w:tcPr>
          <w:p w14:paraId="6B6F478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29" w:name="_Toc18481"/>
            <w:bookmarkStart w:id="1330" w:name="_Toc29578"/>
            <w:bookmarkStart w:id="1331" w:name="_Toc3473"/>
            <w:bookmarkStart w:id="1332" w:name="_Toc23528"/>
            <w:bookmarkStart w:id="1333" w:name="_Toc24666"/>
            <w:r>
              <w:rPr>
                <w:rFonts w:hint="default" w:ascii="Times New Roman" w:hAnsi="Times New Roman" w:cs="Times New Roman"/>
                <w:color w:val="auto"/>
                <w:sz w:val="21"/>
                <w:szCs w:val="21"/>
                <w:highlight w:val="none"/>
              </w:rPr>
              <w:t>150</w:t>
            </w:r>
            <w:bookmarkEnd w:id="1329"/>
            <w:bookmarkEnd w:id="1330"/>
            <w:bookmarkEnd w:id="1331"/>
            <w:bookmarkEnd w:id="1332"/>
            <w:bookmarkEnd w:id="1333"/>
          </w:p>
        </w:tc>
        <w:tc>
          <w:tcPr>
            <w:tcW w:w="1668" w:type="dxa"/>
            <w:tcBorders>
              <w:tl2br w:val="nil"/>
              <w:tr2bl w:val="nil"/>
            </w:tcBorders>
            <w:vAlign w:val="center"/>
          </w:tcPr>
          <w:p w14:paraId="4E7F7A9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34" w:name="_Toc3320"/>
            <w:bookmarkStart w:id="1335" w:name="_Toc18048"/>
            <w:bookmarkStart w:id="1336" w:name="_Toc31198"/>
            <w:bookmarkStart w:id="1337" w:name="_Toc9171"/>
            <w:bookmarkStart w:id="1338" w:name="_Toc32399"/>
            <w:r>
              <w:rPr>
                <w:rFonts w:hint="default" w:ascii="Times New Roman" w:hAnsi="Times New Roman" w:cs="Times New Roman"/>
                <w:color w:val="auto"/>
                <w:sz w:val="21"/>
                <w:szCs w:val="21"/>
                <w:highlight w:val="none"/>
              </w:rPr>
              <w:t>150</w:t>
            </w:r>
            <w:bookmarkEnd w:id="1334"/>
            <w:bookmarkEnd w:id="1335"/>
            <w:bookmarkEnd w:id="1336"/>
            <w:bookmarkEnd w:id="1337"/>
            <w:bookmarkEnd w:id="1338"/>
          </w:p>
        </w:tc>
        <w:tc>
          <w:tcPr>
            <w:tcW w:w="1916" w:type="dxa"/>
            <w:tcBorders>
              <w:tl2br w:val="nil"/>
              <w:tr2bl w:val="nil"/>
            </w:tcBorders>
            <w:vAlign w:val="center"/>
          </w:tcPr>
          <w:p w14:paraId="26DC098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39" w:name="_Toc25488"/>
            <w:bookmarkStart w:id="1340" w:name="_Toc25820"/>
            <w:bookmarkStart w:id="1341" w:name="_Toc4614"/>
            <w:bookmarkStart w:id="1342" w:name="_Toc11336"/>
            <w:bookmarkStart w:id="1343" w:name="_Toc26739"/>
            <w:r>
              <w:rPr>
                <w:rFonts w:hint="default" w:ascii="Times New Roman" w:hAnsi="Times New Roman" w:cs="Times New Roman"/>
                <w:color w:val="auto"/>
                <w:sz w:val="21"/>
                <w:szCs w:val="21"/>
                <w:highlight w:val="none"/>
              </w:rPr>
              <w:t>200</w:t>
            </w:r>
            <w:bookmarkEnd w:id="1339"/>
            <w:bookmarkEnd w:id="1340"/>
            <w:bookmarkEnd w:id="1341"/>
            <w:bookmarkEnd w:id="1342"/>
            <w:bookmarkEnd w:id="1343"/>
          </w:p>
        </w:tc>
        <w:tc>
          <w:tcPr>
            <w:tcW w:w="1441" w:type="dxa"/>
            <w:tcBorders>
              <w:tl2br w:val="nil"/>
              <w:tr2bl w:val="nil"/>
            </w:tcBorders>
            <w:vAlign w:val="center"/>
          </w:tcPr>
          <w:p w14:paraId="6756D3E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1344" w:name="_Toc21825"/>
            <w:bookmarkStart w:id="1345" w:name="_Toc28040"/>
            <w:bookmarkStart w:id="1346" w:name="_Toc23010"/>
            <w:bookmarkStart w:id="1347" w:name="_Toc25344"/>
            <w:bookmarkStart w:id="1348" w:name="_Toc21031"/>
            <w:r>
              <w:rPr>
                <w:rFonts w:hint="default" w:ascii="Times New Roman" w:hAnsi="Times New Roman" w:cs="Times New Roman"/>
                <w:color w:val="auto"/>
                <w:sz w:val="21"/>
                <w:szCs w:val="21"/>
                <w:highlight w:val="none"/>
              </w:rPr>
              <w:t>2</w:t>
            </w:r>
            <w:bookmarkEnd w:id="1344"/>
            <w:bookmarkEnd w:id="1345"/>
            <w:bookmarkEnd w:id="1346"/>
            <w:r>
              <w:rPr>
                <w:rFonts w:hint="eastAsia" w:cs="Times New Roman"/>
                <w:color w:val="auto"/>
                <w:sz w:val="21"/>
                <w:szCs w:val="21"/>
                <w:highlight w:val="none"/>
                <w:lang w:val="en-US" w:eastAsia="zh-CN"/>
              </w:rPr>
              <w:t>00</w:t>
            </w:r>
            <w:bookmarkEnd w:id="1347"/>
            <w:bookmarkEnd w:id="1348"/>
          </w:p>
        </w:tc>
      </w:tr>
      <w:tr w14:paraId="6D726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vMerge w:val="continue"/>
            <w:tcBorders>
              <w:tl2br w:val="nil"/>
              <w:tr2bl w:val="nil"/>
            </w:tcBorders>
            <w:vAlign w:val="center"/>
          </w:tcPr>
          <w:p w14:paraId="3351937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55" w:type="dxa"/>
            <w:vMerge w:val="continue"/>
            <w:tcBorders>
              <w:tl2br w:val="nil"/>
              <w:tr2bl w:val="nil"/>
            </w:tcBorders>
            <w:vAlign w:val="center"/>
          </w:tcPr>
          <w:p w14:paraId="3B7CE3D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763" w:type="dxa"/>
            <w:tcBorders>
              <w:tl2br w:val="nil"/>
              <w:tr2bl w:val="nil"/>
            </w:tcBorders>
            <w:vAlign w:val="center"/>
          </w:tcPr>
          <w:p w14:paraId="3BB6920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49" w:name="_Toc18549"/>
            <w:bookmarkStart w:id="1350" w:name="_Toc1282"/>
            <w:bookmarkStart w:id="1351" w:name="_Toc8791"/>
            <w:bookmarkStart w:id="1352" w:name="_Toc11691"/>
            <w:bookmarkStart w:id="1353" w:name="_Toc2152"/>
            <w:r>
              <w:rPr>
                <w:rFonts w:hint="default" w:ascii="Times New Roman" w:hAnsi="Times New Roman" w:cs="Times New Roman"/>
                <w:color w:val="auto"/>
                <w:sz w:val="21"/>
                <w:szCs w:val="21"/>
                <w:highlight w:val="none"/>
              </w:rPr>
              <w:t>其他</w:t>
            </w:r>
            <w:bookmarkEnd w:id="1349"/>
            <w:bookmarkEnd w:id="1350"/>
            <w:bookmarkEnd w:id="1351"/>
            <w:bookmarkEnd w:id="1352"/>
            <w:bookmarkEnd w:id="1353"/>
          </w:p>
        </w:tc>
        <w:tc>
          <w:tcPr>
            <w:tcW w:w="1300" w:type="dxa"/>
            <w:tcBorders>
              <w:tl2br w:val="nil"/>
              <w:tr2bl w:val="nil"/>
            </w:tcBorders>
            <w:vAlign w:val="center"/>
          </w:tcPr>
          <w:p w14:paraId="139EBE7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54" w:name="_Toc14101"/>
            <w:bookmarkStart w:id="1355" w:name="_Toc2408"/>
            <w:bookmarkStart w:id="1356" w:name="_Toc23500"/>
            <w:bookmarkStart w:id="1357" w:name="_Toc11168"/>
            <w:bookmarkStart w:id="1358" w:name="_Toc1986"/>
            <w:r>
              <w:rPr>
                <w:rFonts w:hint="default" w:ascii="Times New Roman" w:hAnsi="Times New Roman" w:cs="Times New Roman"/>
                <w:color w:val="auto"/>
                <w:sz w:val="21"/>
                <w:szCs w:val="21"/>
                <w:highlight w:val="none"/>
              </w:rPr>
              <w:t>50</w:t>
            </w:r>
            <w:bookmarkEnd w:id="1354"/>
            <w:bookmarkEnd w:id="1355"/>
            <w:bookmarkEnd w:id="1356"/>
            <w:bookmarkEnd w:id="1357"/>
            <w:bookmarkEnd w:id="1358"/>
          </w:p>
        </w:tc>
        <w:tc>
          <w:tcPr>
            <w:tcW w:w="1668" w:type="dxa"/>
            <w:tcBorders>
              <w:tl2br w:val="nil"/>
              <w:tr2bl w:val="nil"/>
            </w:tcBorders>
            <w:vAlign w:val="center"/>
          </w:tcPr>
          <w:p w14:paraId="39DC2DC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59" w:name="_Toc17195"/>
            <w:bookmarkStart w:id="1360" w:name="_Toc20075"/>
            <w:bookmarkStart w:id="1361" w:name="_Toc2323"/>
            <w:bookmarkStart w:id="1362" w:name="_Toc17260"/>
            <w:bookmarkStart w:id="1363" w:name="_Toc29825"/>
            <w:r>
              <w:rPr>
                <w:rFonts w:hint="default" w:ascii="Times New Roman" w:hAnsi="Times New Roman" w:cs="Times New Roman"/>
                <w:color w:val="auto"/>
                <w:sz w:val="21"/>
                <w:szCs w:val="21"/>
                <w:highlight w:val="none"/>
              </w:rPr>
              <w:t>50</w:t>
            </w:r>
            <w:bookmarkEnd w:id="1359"/>
            <w:bookmarkEnd w:id="1360"/>
            <w:bookmarkEnd w:id="1361"/>
            <w:bookmarkEnd w:id="1362"/>
            <w:bookmarkEnd w:id="1363"/>
          </w:p>
        </w:tc>
        <w:tc>
          <w:tcPr>
            <w:tcW w:w="1916" w:type="dxa"/>
            <w:tcBorders>
              <w:tl2br w:val="nil"/>
              <w:tr2bl w:val="nil"/>
            </w:tcBorders>
            <w:vAlign w:val="center"/>
          </w:tcPr>
          <w:p w14:paraId="62D1B94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64" w:name="_Toc21275"/>
            <w:bookmarkStart w:id="1365" w:name="_Toc5848"/>
            <w:bookmarkStart w:id="1366" w:name="_Toc11632"/>
            <w:bookmarkStart w:id="1367" w:name="_Toc29568"/>
            <w:bookmarkStart w:id="1368" w:name="_Toc10113"/>
            <w:r>
              <w:rPr>
                <w:rFonts w:hint="default" w:ascii="Times New Roman" w:hAnsi="Times New Roman" w:cs="Times New Roman"/>
                <w:color w:val="auto"/>
                <w:sz w:val="21"/>
                <w:szCs w:val="21"/>
                <w:highlight w:val="none"/>
              </w:rPr>
              <w:t>100</w:t>
            </w:r>
            <w:bookmarkEnd w:id="1364"/>
            <w:bookmarkEnd w:id="1365"/>
            <w:bookmarkEnd w:id="1366"/>
            <w:bookmarkEnd w:id="1367"/>
            <w:bookmarkEnd w:id="1368"/>
          </w:p>
        </w:tc>
        <w:tc>
          <w:tcPr>
            <w:tcW w:w="1441" w:type="dxa"/>
            <w:tcBorders>
              <w:tl2br w:val="nil"/>
              <w:tr2bl w:val="nil"/>
            </w:tcBorders>
            <w:vAlign w:val="center"/>
          </w:tcPr>
          <w:p w14:paraId="71E51D2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69" w:name="_Toc27336"/>
            <w:bookmarkStart w:id="1370" w:name="_Toc2007"/>
            <w:bookmarkStart w:id="1371" w:name="_Toc1687"/>
            <w:bookmarkStart w:id="1372" w:name="_Toc29821"/>
            <w:bookmarkStart w:id="1373" w:name="_Toc28497"/>
            <w:r>
              <w:rPr>
                <w:rFonts w:hint="default" w:ascii="Times New Roman" w:hAnsi="Times New Roman" w:cs="Times New Roman"/>
                <w:color w:val="auto"/>
                <w:sz w:val="21"/>
                <w:szCs w:val="21"/>
                <w:highlight w:val="none"/>
              </w:rPr>
              <w:t>100</w:t>
            </w:r>
            <w:bookmarkEnd w:id="1369"/>
            <w:bookmarkEnd w:id="1370"/>
            <w:bookmarkEnd w:id="1371"/>
            <w:bookmarkEnd w:id="1372"/>
            <w:bookmarkEnd w:id="1373"/>
          </w:p>
        </w:tc>
      </w:tr>
      <w:tr w14:paraId="1EF8D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74" w:type="dxa"/>
            <w:tcBorders>
              <w:tl2br w:val="nil"/>
              <w:tr2bl w:val="nil"/>
            </w:tcBorders>
            <w:vAlign w:val="center"/>
          </w:tcPr>
          <w:p w14:paraId="62CB2D2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74" w:name="_Toc31830"/>
            <w:bookmarkStart w:id="1375" w:name="_Toc31787"/>
            <w:bookmarkStart w:id="1376" w:name="_Toc25070"/>
            <w:bookmarkStart w:id="1377" w:name="_Toc8207"/>
            <w:bookmarkStart w:id="1378" w:name="_Toc14717"/>
            <w:r>
              <w:rPr>
                <w:rFonts w:hint="default" w:ascii="Times New Roman" w:hAnsi="Times New Roman" w:cs="Times New Roman"/>
                <w:color w:val="auto"/>
                <w:sz w:val="21"/>
                <w:szCs w:val="21"/>
                <w:highlight w:val="none"/>
              </w:rPr>
              <w:t>7</w:t>
            </w:r>
            <w:bookmarkEnd w:id="1374"/>
            <w:bookmarkEnd w:id="1375"/>
            <w:bookmarkEnd w:id="1376"/>
            <w:bookmarkEnd w:id="1377"/>
            <w:bookmarkEnd w:id="1378"/>
          </w:p>
        </w:tc>
        <w:tc>
          <w:tcPr>
            <w:tcW w:w="1518" w:type="dxa"/>
            <w:gridSpan w:val="2"/>
            <w:tcBorders>
              <w:tl2br w:val="nil"/>
              <w:tr2bl w:val="nil"/>
            </w:tcBorders>
            <w:vAlign w:val="center"/>
          </w:tcPr>
          <w:p w14:paraId="309A50E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79" w:name="_Toc18072"/>
            <w:bookmarkStart w:id="1380" w:name="_Toc32563"/>
            <w:bookmarkStart w:id="1381" w:name="_Toc6223"/>
            <w:bookmarkStart w:id="1382" w:name="_Toc7962"/>
            <w:bookmarkStart w:id="1383" w:name="_Toc23016"/>
            <w:r>
              <w:rPr>
                <w:rFonts w:hint="default" w:ascii="Times New Roman" w:hAnsi="Times New Roman" w:cs="Times New Roman"/>
                <w:color w:val="auto"/>
                <w:sz w:val="21"/>
                <w:szCs w:val="21"/>
                <w:highlight w:val="none"/>
              </w:rPr>
              <w:t>镍</w:t>
            </w:r>
            <w:bookmarkEnd w:id="1379"/>
            <w:bookmarkEnd w:id="1380"/>
            <w:bookmarkEnd w:id="1381"/>
            <w:bookmarkEnd w:id="1382"/>
            <w:bookmarkEnd w:id="1383"/>
          </w:p>
        </w:tc>
        <w:tc>
          <w:tcPr>
            <w:tcW w:w="1300" w:type="dxa"/>
            <w:tcBorders>
              <w:tl2br w:val="nil"/>
              <w:tr2bl w:val="nil"/>
            </w:tcBorders>
            <w:vAlign w:val="center"/>
          </w:tcPr>
          <w:p w14:paraId="75A5676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84" w:name="_Toc32457"/>
            <w:bookmarkStart w:id="1385" w:name="_Toc17581"/>
            <w:bookmarkStart w:id="1386" w:name="_Toc23912"/>
            <w:bookmarkStart w:id="1387" w:name="_Toc13251"/>
            <w:bookmarkStart w:id="1388" w:name="_Toc6279"/>
            <w:r>
              <w:rPr>
                <w:rFonts w:hint="default" w:ascii="Times New Roman" w:hAnsi="Times New Roman" w:cs="Times New Roman"/>
                <w:color w:val="auto"/>
                <w:sz w:val="21"/>
                <w:szCs w:val="21"/>
                <w:highlight w:val="none"/>
              </w:rPr>
              <w:t>60</w:t>
            </w:r>
            <w:bookmarkEnd w:id="1384"/>
            <w:bookmarkEnd w:id="1385"/>
            <w:bookmarkEnd w:id="1386"/>
            <w:bookmarkEnd w:id="1387"/>
            <w:bookmarkEnd w:id="1388"/>
          </w:p>
        </w:tc>
        <w:tc>
          <w:tcPr>
            <w:tcW w:w="1668" w:type="dxa"/>
            <w:tcBorders>
              <w:tl2br w:val="nil"/>
              <w:tr2bl w:val="nil"/>
            </w:tcBorders>
            <w:vAlign w:val="center"/>
          </w:tcPr>
          <w:p w14:paraId="06E1A06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89" w:name="_Toc12188"/>
            <w:bookmarkStart w:id="1390" w:name="_Toc27801"/>
            <w:bookmarkStart w:id="1391" w:name="_Toc9914"/>
            <w:bookmarkStart w:id="1392" w:name="_Toc12125"/>
            <w:bookmarkStart w:id="1393" w:name="_Toc10356"/>
            <w:r>
              <w:rPr>
                <w:rFonts w:hint="default" w:ascii="Times New Roman" w:hAnsi="Times New Roman" w:cs="Times New Roman"/>
                <w:color w:val="auto"/>
                <w:sz w:val="21"/>
                <w:szCs w:val="21"/>
                <w:highlight w:val="none"/>
              </w:rPr>
              <w:t>70</w:t>
            </w:r>
            <w:bookmarkEnd w:id="1389"/>
            <w:bookmarkEnd w:id="1390"/>
            <w:bookmarkEnd w:id="1391"/>
            <w:bookmarkEnd w:id="1392"/>
            <w:bookmarkEnd w:id="1393"/>
          </w:p>
        </w:tc>
        <w:tc>
          <w:tcPr>
            <w:tcW w:w="1916" w:type="dxa"/>
            <w:tcBorders>
              <w:tl2br w:val="nil"/>
              <w:tr2bl w:val="nil"/>
            </w:tcBorders>
            <w:vAlign w:val="center"/>
          </w:tcPr>
          <w:p w14:paraId="074F8D6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94" w:name="_Toc28225"/>
            <w:bookmarkStart w:id="1395" w:name="_Toc4741"/>
            <w:bookmarkStart w:id="1396" w:name="_Toc15496"/>
            <w:bookmarkStart w:id="1397" w:name="_Toc13483"/>
            <w:bookmarkStart w:id="1398" w:name="_Toc832"/>
            <w:r>
              <w:rPr>
                <w:rFonts w:hint="default" w:ascii="Times New Roman" w:hAnsi="Times New Roman" w:cs="Times New Roman"/>
                <w:color w:val="auto"/>
                <w:sz w:val="21"/>
                <w:szCs w:val="21"/>
                <w:highlight w:val="none"/>
              </w:rPr>
              <w:t>100</w:t>
            </w:r>
            <w:bookmarkEnd w:id="1394"/>
            <w:bookmarkEnd w:id="1395"/>
            <w:bookmarkEnd w:id="1396"/>
            <w:bookmarkEnd w:id="1397"/>
            <w:bookmarkEnd w:id="1398"/>
          </w:p>
        </w:tc>
        <w:tc>
          <w:tcPr>
            <w:tcW w:w="1441" w:type="dxa"/>
            <w:tcBorders>
              <w:tl2br w:val="nil"/>
              <w:tr2bl w:val="nil"/>
            </w:tcBorders>
            <w:vAlign w:val="center"/>
          </w:tcPr>
          <w:p w14:paraId="2346432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399" w:name="_Toc26967"/>
            <w:bookmarkStart w:id="1400" w:name="_Toc75"/>
            <w:bookmarkStart w:id="1401" w:name="_Toc19085"/>
            <w:bookmarkStart w:id="1402" w:name="_Toc32017"/>
            <w:bookmarkStart w:id="1403" w:name="_Toc32421"/>
            <w:r>
              <w:rPr>
                <w:rFonts w:hint="default" w:ascii="Times New Roman" w:hAnsi="Times New Roman" w:cs="Times New Roman"/>
                <w:color w:val="auto"/>
                <w:sz w:val="21"/>
                <w:szCs w:val="21"/>
                <w:highlight w:val="none"/>
              </w:rPr>
              <w:t>190</w:t>
            </w:r>
            <w:bookmarkEnd w:id="1399"/>
            <w:bookmarkEnd w:id="1400"/>
            <w:bookmarkEnd w:id="1401"/>
            <w:bookmarkEnd w:id="1402"/>
            <w:bookmarkEnd w:id="1403"/>
          </w:p>
        </w:tc>
      </w:tr>
      <w:tr w14:paraId="79864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4" w:type="dxa"/>
            <w:tcBorders>
              <w:tl2br w:val="nil"/>
              <w:tr2bl w:val="nil"/>
            </w:tcBorders>
            <w:vAlign w:val="center"/>
          </w:tcPr>
          <w:p w14:paraId="12098CE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04" w:name="_Toc18527"/>
            <w:bookmarkStart w:id="1405" w:name="_Toc8085"/>
            <w:bookmarkStart w:id="1406" w:name="_Toc8003"/>
            <w:bookmarkStart w:id="1407" w:name="_Toc9885"/>
            <w:bookmarkStart w:id="1408" w:name="_Toc13190"/>
            <w:r>
              <w:rPr>
                <w:rFonts w:hint="default" w:ascii="Times New Roman" w:hAnsi="Times New Roman" w:cs="Times New Roman"/>
                <w:color w:val="auto"/>
                <w:sz w:val="21"/>
                <w:szCs w:val="21"/>
                <w:highlight w:val="none"/>
              </w:rPr>
              <w:t>8</w:t>
            </w:r>
            <w:bookmarkEnd w:id="1404"/>
            <w:bookmarkEnd w:id="1405"/>
            <w:bookmarkEnd w:id="1406"/>
            <w:bookmarkEnd w:id="1407"/>
            <w:bookmarkEnd w:id="1408"/>
          </w:p>
        </w:tc>
        <w:tc>
          <w:tcPr>
            <w:tcW w:w="1518" w:type="dxa"/>
            <w:gridSpan w:val="2"/>
            <w:tcBorders>
              <w:tl2br w:val="nil"/>
              <w:tr2bl w:val="nil"/>
            </w:tcBorders>
            <w:vAlign w:val="center"/>
          </w:tcPr>
          <w:p w14:paraId="70E47AA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09" w:name="_Toc6062"/>
            <w:bookmarkStart w:id="1410" w:name="_Toc2793"/>
            <w:bookmarkStart w:id="1411" w:name="_Toc6549"/>
            <w:bookmarkStart w:id="1412" w:name="_Toc14080"/>
            <w:bookmarkStart w:id="1413" w:name="_Toc27860"/>
            <w:r>
              <w:rPr>
                <w:rFonts w:hint="default" w:ascii="Times New Roman" w:hAnsi="Times New Roman" w:cs="Times New Roman"/>
                <w:color w:val="auto"/>
                <w:sz w:val="21"/>
                <w:szCs w:val="21"/>
                <w:highlight w:val="none"/>
              </w:rPr>
              <w:t>锌</w:t>
            </w:r>
            <w:bookmarkEnd w:id="1409"/>
            <w:bookmarkEnd w:id="1410"/>
            <w:bookmarkEnd w:id="1411"/>
            <w:bookmarkEnd w:id="1412"/>
            <w:bookmarkEnd w:id="1413"/>
          </w:p>
        </w:tc>
        <w:tc>
          <w:tcPr>
            <w:tcW w:w="1300" w:type="dxa"/>
            <w:tcBorders>
              <w:tl2br w:val="nil"/>
              <w:tr2bl w:val="nil"/>
            </w:tcBorders>
            <w:vAlign w:val="center"/>
          </w:tcPr>
          <w:p w14:paraId="7FB5706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14" w:name="_Toc29890"/>
            <w:bookmarkStart w:id="1415" w:name="_Toc4756"/>
            <w:bookmarkStart w:id="1416" w:name="_Toc25417"/>
            <w:bookmarkStart w:id="1417" w:name="_Toc21447"/>
            <w:bookmarkStart w:id="1418" w:name="_Toc9021"/>
            <w:r>
              <w:rPr>
                <w:rFonts w:hint="default" w:ascii="Times New Roman" w:hAnsi="Times New Roman" w:cs="Times New Roman"/>
                <w:color w:val="auto"/>
                <w:sz w:val="21"/>
                <w:szCs w:val="21"/>
                <w:highlight w:val="none"/>
              </w:rPr>
              <w:t>200</w:t>
            </w:r>
            <w:bookmarkEnd w:id="1414"/>
            <w:bookmarkEnd w:id="1415"/>
            <w:bookmarkEnd w:id="1416"/>
            <w:bookmarkEnd w:id="1417"/>
            <w:bookmarkEnd w:id="1418"/>
          </w:p>
        </w:tc>
        <w:tc>
          <w:tcPr>
            <w:tcW w:w="1668" w:type="dxa"/>
            <w:tcBorders>
              <w:tl2br w:val="nil"/>
              <w:tr2bl w:val="nil"/>
            </w:tcBorders>
            <w:vAlign w:val="center"/>
          </w:tcPr>
          <w:p w14:paraId="02085E1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19" w:name="_Toc27039"/>
            <w:bookmarkStart w:id="1420" w:name="_Toc17357"/>
            <w:bookmarkStart w:id="1421" w:name="_Toc22336"/>
            <w:bookmarkStart w:id="1422" w:name="_Toc20384"/>
            <w:bookmarkStart w:id="1423" w:name="_Toc27707"/>
            <w:r>
              <w:rPr>
                <w:rFonts w:hint="default" w:ascii="Times New Roman" w:hAnsi="Times New Roman" w:cs="Times New Roman"/>
                <w:color w:val="auto"/>
                <w:sz w:val="21"/>
                <w:szCs w:val="21"/>
                <w:highlight w:val="none"/>
              </w:rPr>
              <w:t>200</w:t>
            </w:r>
            <w:bookmarkEnd w:id="1419"/>
            <w:bookmarkEnd w:id="1420"/>
            <w:bookmarkEnd w:id="1421"/>
            <w:bookmarkEnd w:id="1422"/>
            <w:bookmarkEnd w:id="1423"/>
          </w:p>
        </w:tc>
        <w:tc>
          <w:tcPr>
            <w:tcW w:w="1916" w:type="dxa"/>
            <w:tcBorders>
              <w:tl2br w:val="nil"/>
              <w:tr2bl w:val="nil"/>
            </w:tcBorders>
            <w:vAlign w:val="center"/>
          </w:tcPr>
          <w:p w14:paraId="765D7EE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24" w:name="_Toc23548"/>
            <w:bookmarkStart w:id="1425" w:name="_Toc5109"/>
            <w:bookmarkStart w:id="1426" w:name="_Toc10213"/>
            <w:bookmarkStart w:id="1427" w:name="_Toc8507"/>
            <w:bookmarkStart w:id="1428" w:name="_Toc7766"/>
            <w:r>
              <w:rPr>
                <w:rFonts w:hint="default" w:ascii="Times New Roman" w:hAnsi="Times New Roman" w:cs="Times New Roman"/>
                <w:color w:val="auto"/>
                <w:sz w:val="21"/>
                <w:szCs w:val="21"/>
                <w:highlight w:val="none"/>
              </w:rPr>
              <w:t>250</w:t>
            </w:r>
            <w:bookmarkEnd w:id="1424"/>
            <w:bookmarkEnd w:id="1425"/>
            <w:bookmarkEnd w:id="1426"/>
            <w:bookmarkEnd w:id="1427"/>
            <w:bookmarkEnd w:id="1428"/>
          </w:p>
        </w:tc>
        <w:tc>
          <w:tcPr>
            <w:tcW w:w="1441" w:type="dxa"/>
            <w:tcBorders>
              <w:tl2br w:val="nil"/>
              <w:tr2bl w:val="nil"/>
            </w:tcBorders>
            <w:vAlign w:val="center"/>
          </w:tcPr>
          <w:p w14:paraId="0FD2EEB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29" w:name="_Toc25858"/>
            <w:bookmarkStart w:id="1430" w:name="_Toc21532"/>
            <w:bookmarkStart w:id="1431" w:name="_Toc6654"/>
            <w:bookmarkStart w:id="1432" w:name="_Toc25346"/>
            <w:bookmarkStart w:id="1433" w:name="_Toc10788"/>
            <w:r>
              <w:rPr>
                <w:rFonts w:hint="default" w:ascii="Times New Roman" w:hAnsi="Times New Roman" w:cs="Times New Roman"/>
                <w:color w:val="auto"/>
                <w:sz w:val="21"/>
                <w:szCs w:val="21"/>
                <w:highlight w:val="none"/>
              </w:rPr>
              <w:t>300</w:t>
            </w:r>
            <w:bookmarkEnd w:id="1429"/>
            <w:bookmarkEnd w:id="1430"/>
            <w:bookmarkEnd w:id="1431"/>
            <w:bookmarkEnd w:id="1432"/>
            <w:bookmarkEnd w:id="1433"/>
          </w:p>
        </w:tc>
      </w:tr>
    </w:tbl>
    <w:p w14:paraId="41B6EFD6">
      <w:pPr>
        <w:pStyle w:val="6"/>
        <w:rPr>
          <w:rFonts w:hint="default" w:ascii="Times New Roman" w:hAnsi="Times New Roman" w:cs="Times New Roman"/>
          <w:color w:val="auto"/>
          <w:sz w:val="28"/>
          <w:szCs w:val="28"/>
          <w:highlight w:val="none"/>
        </w:rPr>
      </w:pPr>
      <w:bookmarkStart w:id="1434" w:name="_Toc1082"/>
      <w:bookmarkStart w:id="1435" w:name="_Toc25011"/>
      <w:bookmarkStart w:id="1436" w:name="_Toc20334"/>
      <w:r>
        <w:rPr>
          <w:rFonts w:hint="default" w:ascii="Times New Roman" w:hAnsi="Times New Roman" w:cs="Times New Roman"/>
          <w:color w:val="auto"/>
          <w:sz w:val="28"/>
          <w:szCs w:val="28"/>
          <w:highlight w:val="none"/>
        </w:rPr>
        <w:t>1.4.2污染物排放标准</w:t>
      </w:r>
      <w:bookmarkEnd w:id="1434"/>
      <w:bookmarkEnd w:id="1435"/>
      <w:bookmarkEnd w:id="1436"/>
    </w:p>
    <w:p w14:paraId="05A1696E">
      <w:pPr>
        <w:jc w:val="both"/>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（1）废气排放标准</w:t>
      </w:r>
    </w:p>
    <w:p w14:paraId="4420C3D7">
      <w:pPr>
        <w:jc w:val="both"/>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工程运营期无废气污染物，施工期污染物主要为TSP，执行《大气污染物综合排放标准》（GB16297-1996）表2中的无组织排放监控浓度限值；具体见表1.4-6。</w:t>
      </w:r>
    </w:p>
    <w:p w14:paraId="6483D259">
      <w:pPr>
        <w:ind w:left="0" w:leftChars="0" w:firstLine="0" w:firstLineChars="0"/>
        <w:jc w:val="center"/>
        <w:rPr>
          <w:rFonts w:hint="default" w:ascii="Times New Roman" w:hAnsi="Times New Roman" w:cs="Times New Roman"/>
          <w:b/>
          <w:bCs/>
          <w:color w:val="auto"/>
          <w:sz w:val="24"/>
          <w:szCs w:val="24"/>
          <w:highlight w:val="none"/>
        </w:rPr>
      </w:pPr>
    </w:p>
    <w:p w14:paraId="64FC934B">
      <w:pPr>
        <w:ind w:left="0" w:leftChars="0" w:firstLine="0" w:firstLineChars="0"/>
        <w:jc w:val="center"/>
        <w:rPr>
          <w:rFonts w:hint="default" w:ascii="Times New Roman" w:hAnsi="Times New Roman" w:cs="Times New Roman"/>
          <w:b/>
          <w:bCs/>
          <w:color w:val="auto"/>
          <w:spacing w:val="-10"/>
          <w:sz w:val="24"/>
          <w:szCs w:val="24"/>
          <w:highlight w:val="none"/>
        </w:rPr>
      </w:pPr>
      <w:r>
        <w:rPr>
          <w:rFonts w:hint="default" w:ascii="Times New Roman" w:hAnsi="Times New Roman" w:cs="Times New Roman"/>
          <w:b/>
          <w:bCs/>
          <w:color w:val="auto"/>
          <w:sz w:val="24"/>
          <w:szCs w:val="24"/>
          <w:highlight w:val="none"/>
        </w:rPr>
        <w:t>表1.4-6《大气污染物综合排放标准》</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GB16297-1996</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单位</w:t>
      </w:r>
      <w:r>
        <w:rPr>
          <w:rFonts w:hint="default" w:ascii="Times New Roman" w:hAnsi="Times New Roman" w:cs="Times New Roman"/>
          <w:b/>
          <w:bCs/>
          <w:color w:val="auto"/>
          <w:spacing w:val="-10"/>
          <w:sz w:val="24"/>
          <w:szCs w:val="24"/>
          <w:highlight w:val="none"/>
        </w:rPr>
        <w:t>：mg/m</w:t>
      </w:r>
      <w:r>
        <w:rPr>
          <w:rFonts w:hint="default" w:ascii="Times New Roman" w:hAnsi="Times New Roman" w:cs="Times New Roman"/>
          <w:b/>
          <w:bCs/>
          <w:color w:val="auto"/>
          <w:spacing w:val="-10"/>
          <w:sz w:val="24"/>
          <w:szCs w:val="24"/>
          <w:highlight w:val="none"/>
          <w:vertAlign w:val="superscript"/>
        </w:rPr>
        <w:t>3</w:t>
      </w:r>
    </w:p>
    <w:tbl>
      <w:tblPr>
        <w:tblStyle w:val="31"/>
        <w:tblW w:w="852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44"/>
        <w:gridCol w:w="2511"/>
        <w:gridCol w:w="3467"/>
      </w:tblGrid>
      <w:tr w14:paraId="35697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44" w:type="dxa"/>
            <w:vAlign w:val="center"/>
          </w:tcPr>
          <w:p w14:paraId="67B7960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37" w:name="_Toc29968"/>
            <w:bookmarkStart w:id="1438" w:name="_Toc12451"/>
            <w:bookmarkStart w:id="1439" w:name="_Toc16299"/>
            <w:bookmarkStart w:id="1440" w:name="_Toc23403"/>
            <w:bookmarkStart w:id="1441" w:name="_Toc25989"/>
            <w:r>
              <w:rPr>
                <w:rFonts w:hint="default" w:ascii="Times New Roman" w:hAnsi="Times New Roman" w:cs="Times New Roman"/>
                <w:b/>
                <w:bCs/>
                <w:color w:val="auto"/>
                <w:sz w:val="21"/>
                <w:szCs w:val="21"/>
                <w:highlight w:val="none"/>
              </w:rPr>
              <w:t>污染物</w:t>
            </w:r>
            <w:bookmarkEnd w:id="1437"/>
            <w:bookmarkEnd w:id="1438"/>
            <w:bookmarkEnd w:id="1439"/>
            <w:bookmarkEnd w:id="1440"/>
            <w:bookmarkEnd w:id="1441"/>
          </w:p>
        </w:tc>
        <w:tc>
          <w:tcPr>
            <w:tcW w:w="2511" w:type="dxa"/>
            <w:vAlign w:val="center"/>
          </w:tcPr>
          <w:p w14:paraId="2188983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42" w:name="_Toc19373"/>
            <w:bookmarkStart w:id="1443" w:name="_Toc14024"/>
            <w:bookmarkStart w:id="1444" w:name="_Toc14055"/>
            <w:bookmarkStart w:id="1445" w:name="_Toc8685"/>
            <w:bookmarkStart w:id="1446" w:name="_Toc25353"/>
            <w:r>
              <w:rPr>
                <w:rFonts w:hint="default" w:ascii="Times New Roman" w:hAnsi="Times New Roman" w:cs="Times New Roman"/>
                <w:b/>
                <w:bCs/>
                <w:color w:val="auto"/>
                <w:sz w:val="21"/>
                <w:szCs w:val="21"/>
                <w:highlight w:val="none"/>
              </w:rPr>
              <w:t>颗粒物</w:t>
            </w:r>
            <w:bookmarkEnd w:id="1442"/>
            <w:bookmarkEnd w:id="1443"/>
            <w:bookmarkEnd w:id="1444"/>
            <w:bookmarkEnd w:id="1445"/>
            <w:bookmarkEnd w:id="1446"/>
          </w:p>
        </w:tc>
        <w:tc>
          <w:tcPr>
            <w:tcW w:w="3467" w:type="dxa"/>
            <w:vAlign w:val="center"/>
          </w:tcPr>
          <w:p w14:paraId="4185869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47" w:name="_Toc26329"/>
            <w:bookmarkStart w:id="1448" w:name="_Toc3147"/>
            <w:bookmarkStart w:id="1449" w:name="_Toc14621"/>
            <w:bookmarkStart w:id="1450" w:name="_Toc16090"/>
            <w:bookmarkStart w:id="1451" w:name="_Toc28692"/>
            <w:r>
              <w:rPr>
                <w:rFonts w:hint="default" w:ascii="Times New Roman" w:hAnsi="Times New Roman" w:cs="Times New Roman"/>
                <w:b/>
                <w:bCs/>
                <w:color w:val="auto"/>
                <w:sz w:val="21"/>
                <w:szCs w:val="21"/>
                <w:highlight w:val="none"/>
              </w:rPr>
              <w:t>标准来源</w:t>
            </w:r>
            <w:bookmarkEnd w:id="1447"/>
            <w:bookmarkEnd w:id="1448"/>
            <w:bookmarkEnd w:id="1449"/>
            <w:bookmarkEnd w:id="1450"/>
            <w:bookmarkEnd w:id="1451"/>
          </w:p>
        </w:tc>
      </w:tr>
      <w:tr w14:paraId="3B2F7C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44" w:type="dxa"/>
            <w:vAlign w:val="center"/>
          </w:tcPr>
          <w:p w14:paraId="608083F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52" w:name="_Toc31744"/>
            <w:bookmarkStart w:id="1453" w:name="_Toc24464"/>
            <w:bookmarkStart w:id="1454" w:name="_Toc17056"/>
            <w:bookmarkStart w:id="1455" w:name="_Toc19852"/>
            <w:bookmarkStart w:id="1456" w:name="_Toc10888"/>
            <w:r>
              <w:rPr>
                <w:rFonts w:hint="default" w:ascii="Times New Roman" w:hAnsi="Times New Roman" w:cs="Times New Roman"/>
                <w:color w:val="auto"/>
                <w:sz w:val="21"/>
                <w:szCs w:val="21"/>
                <w:highlight w:val="none"/>
              </w:rPr>
              <w:t>无组织排放监控浓度限值</w:t>
            </w:r>
            <w:bookmarkEnd w:id="1452"/>
            <w:bookmarkEnd w:id="1453"/>
            <w:bookmarkEnd w:id="1454"/>
            <w:bookmarkEnd w:id="1455"/>
            <w:bookmarkEnd w:id="1456"/>
          </w:p>
        </w:tc>
        <w:tc>
          <w:tcPr>
            <w:tcW w:w="2511" w:type="dxa"/>
            <w:vAlign w:val="center"/>
          </w:tcPr>
          <w:p w14:paraId="1AA3D4D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57" w:name="_Toc22897"/>
            <w:bookmarkStart w:id="1458" w:name="_Toc19296"/>
            <w:bookmarkStart w:id="1459" w:name="_Toc3674"/>
            <w:bookmarkStart w:id="1460" w:name="_Toc32031"/>
            <w:bookmarkStart w:id="1461" w:name="_Toc4289"/>
            <w:r>
              <w:rPr>
                <w:rFonts w:hint="default" w:ascii="Times New Roman" w:hAnsi="Times New Roman" w:cs="Times New Roman"/>
                <w:color w:val="auto"/>
                <w:sz w:val="21"/>
                <w:szCs w:val="21"/>
                <w:highlight w:val="none"/>
              </w:rPr>
              <w:t>1.0</w:t>
            </w:r>
            <w:bookmarkEnd w:id="1457"/>
            <w:bookmarkEnd w:id="1458"/>
            <w:bookmarkEnd w:id="1459"/>
            <w:bookmarkEnd w:id="1460"/>
            <w:bookmarkEnd w:id="1461"/>
          </w:p>
        </w:tc>
        <w:tc>
          <w:tcPr>
            <w:tcW w:w="3467" w:type="dxa"/>
            <w:vAlign w:val="center"/>
          </w:tcPr>
          <w:p w14:paraId="5C35AE8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62" w:name="_Toc5422"/>
            <w:bookmarkStart w:id="1463" w:name="_Toc7729"/>
            <w:bookmarkStart w:id="1464" w:name="_Toc31922"/>
            <w:bookmarkStart w:id="1465" w:name="_Toc26142"/>
            <w:bookmarkStart w:id="1466" w:name="_Toc3399"/>
            <w:r>
              <w:rPr>
                <w:rFonts w:hint="default" w:ascii="Times New Roman" w:hAnsi="Times New Roman" w:cs="Times New Roman"/>
                <w:color w:val="auto"/>
                <w:sz w:val="21"/>
                <w:szCs w:val="21"/>
                <w:highlight w:val="none"/>
              </w:rPr>
              <w:t>《大气污染物综合排放标准》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GB16297-1996</w:t>
            </w:r>
            <w:r>
              <w:rPr>
                <w:rFonts w:hint="eastAsia" w:cs="Times New Roman"/>
                <w:color w:val="auto"/>
                <w:sz w:val="21"/>
                <w:szCs w:val="21"/>
                <w:highlight w:val="none"/>
                <w:lang w:eastAsia="zh-CN"/>
              </w:rPr>
              <w:t>）</w:t>
            </w:r>
            <w:bookmarkEnd w:id="1462"/>
            <w:bookmarkEnd w:id="1463"/>
            <w:bookmarkEnd w:id="1464"/>
            <w:bookmarkEnd w:id="1465"/>
            <w:bookmarkEnd w:id="1466"/>
          </w:p>
        </w:tc>
      </w:tr>
    </w:tbl>
    <w:p w14:paraId="70C21913">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（2）噪声排放标准</w:t>
      </w:r>
    </w:p>
    <w:p w14:paraId="5AA1AE41">
      <w:pPr>
        <w:jc w:val="both"/>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项目施工期噪声执行《建筑施工场界环境噪声排放标准》（</w:t>
      </w:r>
      <w:r>
        <w:rPr>
          <w:rFonts w:hint="eastAsia" w:cs="Times New Roman"/>
          <w:snapToGrid w:val="0"/>
          <w:color w:val="auto"/>
          <w:sz w:val="24"/>
          <w:szCs w:val="24"/>
          <w:highlight w:val="none"/>
          <w:lang w:eastAsia="zh-CN"/>
        </w:rPr>
        <w:t>GB12523-2025</w:t>
      </w:r>
      <w:r>
        <w:rPr>
          <w:rFonts w:hint="default" w:ascii="Times New Roman" w:hAnsi="Times New Roman" w:cs="Times New Roman"/>
          <w:snapToGrid w:val="0"/>
          <w:color w:val="auto"/>
          <w:sz w:val="24"/>
          <w:szCs w:val="24"/>
          <w:highlight w:val="none"/>
        </w:rPr>
        <w:t>）详见表1.4-8。</w:t>
      </w:r>
    </w:p>
    <w:p w14:paraId="6C17072F">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表1.4-8环境噪声排放标准表</w:t>
      </w:r>
    </w:p>
    <w:tbl>
      <w:tblPr>
        <w:tblStyle w:val="3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1"/>
        <w:gridCol w:w="3764"/>
        <w:gridCol w:w="1505"/>
        <w:gridCol w:w="962"/>
        <w:gridCol w:w="1350"/>
        <w:gridCol w:w="20"/>
      </w:tblGrid>
      <w:tr w14:paraId="3EC8A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restart"/>
            <w:tcBorders>
              <w:tl2br w:val="nil"/>
              <w:tr2bl w:val="nil"/>
            </w:tcBorders>
            <w:vAlign w:val="center"/>
          </w:tcPr>
          <w:p w14:paraId="39AEB1F0">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67" w:name="_Toc15296"/>
            <w:bookmarkStart w:id="1468" w:name="_Toc2411"/>
            <w:bookmarkStart w:id="1469" w:name="_Toc12660"/>
            <w:bookmarkStart w:id="1470" w:name="_Toc15791"/>
            <w:bookmarkStart w:id="1471" w:name="_Toc18685"/>
            <w:r>
              <w:rPr>
                <w:rFonts w:hint="default" w:ascii="Times New Roman" w:hAnsi="Times New Roman" w:cs="Times New Roman"/>
                <w:b/>
                <w:bCs/>
                <w:color w:val="auto"/>
                <w:sz w:val="21"/>
                <w:szCs w:val="21"/>
                <w:highlight w:val="none"/>
              </w:rPr>
              <w:t>污染类别</w:t>
            </w:r>
            <w:bookmarkEnd w:id="1467"/>
            <w:bookmarkEnd w:id="1468"/>
            <w:bookmarkEnd w:id="1469"/>
            <w:bookmarkEnd w:id="1470"/>
            <w:bookmarkEnd w:id="1471"/>
          </w:p>
        </w:tc>
        <w:tc>
          <w:tcPr>
            <w:tcW w:w="3764" w:type="dxa"/>
            <w:vMerge w:val="restart"/>
            <w:tcBorders>
              <w:tl2br w:val="nil"/>
              <w:tr2bl w:val="nil"/>
            </w:tcBorders>
            <w:vAlign w:val="center"/>
          </w:tcPr>
          <w:p w14:paraId="5EB8704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72" w:name="_Toc545"/>
            <w:bookmarkStart w:id="1473" w:name="_Toc24058"/>
            <w:bookmarkStart w:id="1474" w:name="_Toc10298"/>
            <w:bookmarkStart w:id="1475" w:name="_Toc26382"/>
            <w:bookmarkStart w:id="1476" w:name="_Toc10097"/>
            <w:r>
              <w:rPr>
                <w:rFonts w:hint="default" w:ascii="Times New Roman" w:hAnsi="Times New Roman" w:cs="Times New Roman"/>
                <w:b/>
                <w:bCs/>
                <w:color w:val="auto"/>
                <w:sz w:val="21"/>
                <w:szCs w:val="21"/>
                <w:highlight w:val="none"/>
              </w:rPr>
              <w:t>执行标准</w:t>
            </w:r>
            <w:bookmarkEnd w:id="1472"/>
            <w:bookmarkEnd w:id="1473"/>
            <w:bookmarkEnd w:id="1474"/>
            <w:bookmarkEnd w:id="1475"/>
            <w:bookmarkEnd w:id="1476"/>
          </w:p>
        </w:tc>
        <w:tc>
          <w:tcPr>
            <w:tcW w:w="1505" w:type="dxa"/>
            <w:vMerge w:val="restart"/>
            <w:tcBorders>
              <w:tl2br w:val="nil"/>
              <w:tr2bl w:val="nil"/>
            </w:tcBorders>
            <w:vAlign w:val="center"/>
          </w:tcPr>
          <w:p w14:paraId="7CBB89C6">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77" w:name="_Toc27017"/>
            <w:bookmarkStart w:id="1478" w:name="_Toc31464"/>
            <w:bookmarkStart w:id="1479" w:name="_Toc29255"/>
            <w:bookmarkStart w:id="1480" w:name="_Toc24736"/>
            <w:bookmarkStart w:id="1481" w:name="_Toc24289"/>
            <w:r>
              <w:rPr>
                <w:rFonts w:hint="default" w:ascii="Times New Roman" w:hAnsi="Times New Roman" w:cs="Times New Roman"/>
                <w:b/>
                <w:bCs/>
                <w:color w:val="auto"/>
                <w:sz w:val="21"/>
                <w:szCs w:val="21"/>
                <w:highlight w:val="none"/>
              </w:rPr>
              <w:t>级</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类</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别</w:t>
            </w:r>
            <w:bookmarkEnd w:id="1477"/>
            <w:bookmarkEnd w:id="1478"/>
            <w:bookmarkEnd w:id="1479"/>
            <w:bookmarkEnd w:id="1480"/>
            <w:bookmarkEnd w:id="1481"/>
          </w:p>
        </w:tc>
        <w:tc>
          <w:tcPr>
            <w:tcW w:w="2332" w:type="dxa"/>
            <w:gridSpan w:val="3"/>
            <w:tcBorders>
              <w:tl2br w:val="nil"/>
              <w:tr2bl w:val="nil"/>
            </w:tcBorders>
            <w:vAlign w:val="center"/>
          </w:tcPr>
          <w:p w14:paraId="591047EF">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82" w:name="_Toc25738"/>
            <w:bookmarkStart w:id="1483" w:name="_Toc28805"/>
            <w:bookmarkStart w:id="1484" w:name="_Toc9570"/>
            <w:bookmarkStart w:id="1485" w:name="_Toc16310"/>
            <w:bookmarkStart w:id="1486" w:name="_Toc19339"/>
            <w:r>
              <w:rPr>
                <w:rFonts w:hint="default" w:ascii="Times New Roman" w:hAnsi="Times New Roman" w:cs="Times New Roman"/>
                <w:b/>
                <w:bCs/>
                <w:color w:val="auto"/>
                <w:sz w:val="21"/>
                <w:szCs w:val="21"/>
                <w:highlight w:val="none"/>
              </w:rPr>
              <w:t>标准值dB(A)</w:t>
            </w:r>
            <w:bookmarkEnd w:id="1482"/>
            <w:bookmarkEnd w:id="1483"/>
            <w:bookmarkEnd w:id="1484"/>
            <w:bookmarkEnd w:id="1485"/>
            <w:bookmarkEnd w:id="1486"/>
          </w:p>
        </w:tc>
      </w:tr>
      <w:tr w14:paraId="3BB68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continue"/>
            <w:tcBorders>
              <w:tl2br w:val="nil"/>
              <w:tr2bl w:val="nil"/>
            </w:tcBorders>
            <w:vAlign w:val="center"/>
          </w:tcPr>
          <w:p w14:paraId="6FE7966F">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3764" w:type="dxa"/>
            <w:vMerge w:val="continue"/>
            <w:tcBorders>
              <w:tl2br w:val="nil"/>
              <w:tr2bl w:val="nil"/>
            </w:tcBorders>
            <w:vAlign w:val="center"/>
          </w:tcPr>
          <w:p w14:paraId="0B83C99A">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505" w:type="dxa"/>
            <w:vMerge w:val="continue"/>
            <w:tcBorders>
              <w:tl2br w:val="nil"/>
              <w:tr2bl w:val="nil"/>
            </w:tcBorders>
            <w:vAlign w:val="center"/>
          </w:tcPr>
          <w:p w14:paraId="00CC6B85">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962" w:type="dxa"/>
            <w:tcBorders>
              <w:tl2br w:val="nil"/>
              <w:tr2bl w:val="nil"/>
            </w:tcBorders>
            <w:vAlign w:val="center"/>
          </w:tcPr>
          <w:p w14:paraId="430BBEF1">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87" w:name="_Toc26682"/>
            <w:bookmarkStart w:id="1488" w:name="_Toc2615"/>
            <w:bookmarkStart w:id="1489" w:name="_Toc3569"/>
            <w:bookmarkStart w:id="1490" w:name="_Toc810"/>
            <w:bookmarkStart w:id="1491" w:name="_Toc10659"/>
            <w:r>
              <w:rPr>
                <w:rFonts w:hint="default" w:ascii="Times New Roman" w:hAnsi="Times New Roman" w:cs="Times New Roman"/>
                <w:b/>
                <w:bCs/>
                <w:color w:val="auto"/>
                <w:sz w:val="21"/>
                <w:szCs w:val="21"/>
                <w:highlight w:val="none"/>
              </w:rPr>
              <w:t>昼间</w:t>
            </w:r>
            <w:bookmarkEnd w:id="1487"/>
            <w:bookmarkEnd w:id="1488"/>
            <w:bookmarkEnd w:id="1489"/>
            <w:bookmarkEnd w:id="1490"/>
            <w:bookmarkEnd w:id="1491"/>
          </w:p>
        </w:tc>
        <w:tc>
          <w:tcPr>
            <w:tcW w:w="1370" w:type="dxa"/>
            <w:gridSpan w:val="2"/>
            <w:tcBorders>
              <w:tl2br w:val="nil"/>
              <w:tr2bl w:val="nil"/>
            </w:tcBorders>
            <w:vAlign w:val="center"/>
          </w:tcPr>
          <w:p w14:paraId="333CB9D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492" w:name="_Toc2939"/>
            <w:bookmarkStart w:id="1493" w:name="_Toc19995"/>
            <w:bookmarkStart w:id="1494" w:name="_Toc22933"/>
            <w:bookmarkStart w:id="1495" w:name="_Toc3882"/>
            <w:bookmarkStart w:id="1496" w:name="_Toc17671"/>
            <w:r>
              <w:rPr>
                <w:rFonts w:hint="default" w:ascii="Times New Roman" w:hAnsi="Times New Roman" w:cs="Times New Roman"/>
                <w:b/>
                <w:bCs/>
                <w:color w:val="auto"/>
                <w:sz w:val="21"/>
                <w:szCs w:val="21"/>
                <w:highlight w:val="none"/>
              </w:rPr>
              <w:t>夜间</w:t>
            </w:r>
            <w:bookmarkEnd w:id="1492"/>
            <w:bookmarkEnd w:id="1493"/>
            <w:bookmarkEnd w:id="1494"/>
            <w:bookmarkEnd w:id="1495"/>
            <w:bookmarkEnd w:id="1496"/>
          </w:p>
        </w:tc>
      </w:tr>
      <w:tr w14:paraId="08667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340" w:hRule="atLeast"/>
        </w:trPr>
        <w:tc>
          <w:tcPr>
            <w:tcW w:w="921" w:type="dxa"/>
            <w:tcBorders>
              <w:tl2br w:val="nil"/>
              <w:tr2bl w:val="nil"/>
            </w:tcBorders>
            <w:vAlign w:val="center"/>
          </w:tcPr>
          <w:p w14:paraId="0D0C271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497" w:name="_Toc29087"/>
            <w:bookmarkStart w:id="1498" w:name="_Toc14809"/>
            <w:bookmarkStart w:id="1499" w:name="_Toc27953"/>
            <w:bookmarkStart w:id="1500" w:name="_Toc9363"/>
            <w:bookmarkStart w:id="1501" w:name="_Toc20473"/>
            <w:r>
              <w:rPr>
                <w:rFonts w:hint="default" w:ascii="Times New Roman" w:hAnsi="Times New Roman" w:cs="Times New Roman"/>
                <w:color w:val="auto"/>
                <w:sz w:val="21"/>
                <w:szCs w:val="21"/>
                <w:highlight w:val="none"/>
              </w:rPr>
              <w:t>噪声</w:t>
            </w:r>
            <w:bookmarkEnd w:id="1497"/>
            <w:bookmarkEnd w:id="1498"/>
            <w:bookmarkEnd w:id="1499"/>
            <w:bookmarkEnd w:id="1500"/>
            <w:bookmarkEnd w:id="1501"/>
          </w:p>
        </w:tc>
        <w:tc>
          <w:tcPr>
            <w:tcW w:w="3764" w:type="dxa"/>
            <w:tcBorders>
              <w:tl2br w:val="nil"/>
              <w:tr2bl w:val="nil"/>
            </w:tcBorders>
            <w:vAlign w:val="center"/>
          </w:tcPr>
          <w:p w14:paraId="5E22B05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02" w:name="_Toc32188"/>
            <w:bookmarkStart w:id="1503" w:name="_Toc7648"/>
            <w:bookmarkStart w:id="1504" w:name="_Toc15155"/>
            <w:bookmarkStart w:id="1505" w:name="_Toc5101"/>
            <w:bookmarkStart w:id="1506" w:name="_Toc11468"/>
            <w:r>
              <w:rPr>
                <w:rFonts w:hint="default" w:ascii="Times New Roman" w:hAnsi="Times New Roman" w:cs="Times New Roman"/>
                <w:color w:val="auto"/>
                <w:sz w:val="21"/>
                <w:szCs w:val="21"/>
                <w:highlight w:val="none"/>
              </w:rPr>
              <w:t>《建筑施工场界环境噪声排放标准》（GB12523-20</w:t>
            </w:r>
            <w:r>
              <w:rPr>
                <w:rFonts w:hint="eastAsia"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w:t>
            </w:r>
            <w:bookmarkEnd w:id="1502"/>
            <w:bookmarkEnd w:id="1503"/>
            <w:bookmarkEnd w:id="1504"/>
            <w:bookmarkEnd w:id="1505"/>
            <w:bookmarkEnd w:id="1506"/>
          </w:p>
        </w:tc>
        <w:tc>
          <w:tcPr>
            <w:tcW w:w="1505" w:type="dxa"/>
            <w:tcBorders>
              <w:tl2br w:val="nil"/>
              <w:tr2bl w:val="nil"/>
            </w:tcBorders>
            <w:vAlign w:val="center"/>
          </w:tcPr>
          <w:p w14:paraId="241C321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07" w:name="_Toc10231"/>
            <w:bookmarkStart w:id="1508" w:name="_Toc6790"/>
            <w:bookmarkStart w:id="1509" w:name="_Toc23176"/>
            <w:bookmarkStart w:id="1510" w:name="_Toc7468"/>
            <w:bookmarkStart w:id="1511" w:name="_Toc8982"/>
            <w:r>
              <w:rPr>
                <w:rFonts w:hint="default" w:ascii="Times New Roman" w:hAnsi="Times New Roman" w:cs="Times New Roman"/>
                <w:color w:val="auto"/>
                <w:sz w:val="21"/>
                <w:szCs w:val="21"/>
                <w:highlight w:val="none"/>
              </w:rPr>
              <w:t>/</w:t>
            </w:r>
            <w:bookmarkEnd w:id="1507"/>
            <w:bookmarkEnd w:id="1508"/>
            <w:bookmarkEnd w:id="1509"/>
            <w:bookmarkEnd w:id="1510"/>
            <w:bookmarkEnd w:id="1511"/>
          </w:p>
        </w:tc>
        <w:tc>
          <w:tcPr>
            <w:tcW w:w="962" w:type="dxa"/>
            <w:tcBorders>
              <w:tl2br w:val="nil"/>
              <w:tr2bl w:val="nil"/>
            </w:tcBorders>
            <w:vAlign w:val="center"/>
          </w:tcPr>
          <w:p w14:paraId="27C2E21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12" w:name="_Toc19564"/>
            <w:bookmarkStart w:id="1513" w:name="_Toc6359"/>
            <w:bookmarkStart w:id="1514" w:name="_Toc2554"/>
            <w:bookmarkStart w:id="1515" w:name="_Toc30367"/>
            <w:bookmarkStart w:id="1516" w:name="_Toc25459"/>
            <w:r>
              <w:rPr>
                <w:rFonts w:hint="default" w:ascii="Times New Roman" w:hAnsi="Times New Roman" w:cs="Times New Roman"/>
                <w:color w:val="auto"/>
                <w:sz w:val="21"/>
                <w:szCs w:val="21"/>
                <w:highlight w:val="none"/>
              </w:rPr>
              <w:t>70</w:t>
            </w:r>
            <w:bookmarkEnd w:id="1512"/>
            <w:bookmarkEnd w:id="1513"/>
            <w:bookmarkEnd w:id="1514"/>
            <w:bookmarkEnd w:id="1515"/>
            <w:bookmarkEnd w:id="1516"/>
          </w:p>
        </w:tc>
        <w:tc>
          <w:tcPr>
            <w:tcW w:w="1350" w:type="dxa"/>
            <w:tcBorders>
              <w:tl2br w:val="nil"/>
              <w:tr2bl w:val="nil"/>
            </w:tcBorders>
            <w:vAlign w:val="center"/>
          </w:tcPr>
          <w:p w14:paraId="5B24B8A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17" w:name="_Toc28756"/>
            <w:bookmarkStart w:id="1518" w:name="_Toc522"/>
            <w:bookmarkStart w:id="1519" w:name="_Toc28216"/>
            <w:bookmarkStart w:id="1520" w:name="_Toc11627"/>
            <w:bookmarkStart w:id="1521" w:name="_Toc31673"/>
            <w:r>
              <w:rPr>
                <w:rFonts w:hint="default" w:ascii="Times New Roman" w:hAnsi="Times New Roman" w:cs="Times New Roman"/>
                <w:color w:val="auto"/>
                <w:sz w:val="21"/>
                <w:szCs w:val="21"/>
                <w:highlight w:val="none"/>
              </w:rPr>
              <w:t>55</w:t>
            </w:r>
            <w:bookmarkEnd w:id="1517"/>
            <w:bookmarkEnd w:id="1518"/>
            <w:bookmarkEnd w:id="1519"/>
            <w:bookmarkEnd w:id="1520"/>
            <w:bookmarkEnd w:id="1521"/>
          </w:p>
        </w:tc>
      </w:tr>
    </w:tbl>
    <w:p w14:paraId="03A5B945">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w:t>
      </w:r>
      <w:r>
        <w:rPr>
          <w:rFonts w:hint="default" w:ascii="Times New Roman" w:hAnsi="Times New Roman" w:cs="Times New Roman"/>
          <w:snapToGrid w:val="0"/>
          <w:color w:val="auto"/>
          <w:sz w:val="24"/>
          <w:szCs w:val="24"/>
          <w:highlight w:val="none"/>
          <w:lang w:val="en-US" w:eastAsia="zh-CN"/>
        </w:rPr>
        <w:t>3</w:t>
      </w:r>
      <w:r>
        <w:rPr>
          <w:rFonts w:hint="default" w:ascii="Times New Roman" w:hAnsi="Times New Roman" w:cs="Times New Roman"/>
          <w:snapToGrid w:val="0"/>
          <w:color w:val="auto"/>
          <w:sz w:val="24"/>
          <w:szCs w:val="24"/>
          <w:highlight w:val="none"/>
        </w:rPr>
        <w:t>）固体废物</w:t>
      </w:r>
    </w:p>
    <w:p w14:paraId="6A4260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项目产生的固体废物贮存及处置</w:t>
      </w:r>
      <w:r>
        <w:rPr>
          <w:rFonts w:hint="default" w:ascii="Times New Roman" w:hAnsi="Times New Roman" w:eastAsia="宋体" w:cs="Times New Roman"/>
          <w:color w:val="auto"/>
          <w:sz w:val="24"/>
          <w:szCs w:val="22"/>
          <w:highlight w:val="none"/>
          <w:lang w:eastAsia="zh-CN"/>
        </w:rPr>
        <w:t>参照</w:t>
      </w:r>
      <w:r>
        <w:rPr>
          <w:rFonts w:hint="default" w:ascii="Times New Roman" w:hAnsi="Times New Roman" w:eastAsia="宋体" w:cs="Times New Roman"/>
          <w:color w:val="auto"/>
          <w:sz w:val="24"/>
          <w:szCs w:val="22"/>
          <w:highlight w:val="none"/>
        </w:rPr>
        <w:t>《中华人民共和国固体废物污染环境防治法》（2020年9月1日）进行收集、贮存、转移及处置等</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应当采取防扬散、防流失、防渗漏或者其他防止污染环境的措施，不得擅自倾倒、堆放、丢弃、遗撒固体废物。</w:t>
      </w:r>
    </w:p>
    <w:p w14:paraId="54BAB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施工产生的清淤底泥和疏浚垃圾分类收集、回收利用，不能利用的部分按</w:t>
      </w:r>
      <w:r>
        <w:rPr>
          <w:rFonts w:hint="default" w:ascii="Times New Roman" w:hAnsi="Times New Roman" w:eastAsia="宋体" w:cs="Times New Roman"/>
          <w:color w:val="auto"/>
          <w:sz w:val="24"/>
          <w:szCs w:val="22"/>
          <w:highlight w:val="none"/>
          <w:lang w:val="en-US" w:eastAsia="zh-CN"/>
        </w:rPr>
        <w:t>照《中华人民共和国固体废物污染环境防治法》的规定进行处置，不得擅自倾倒、抛撒或者堆放。</w:t>
      </w:r>
    </w:p>
    <w:p w14:paraId="4C8BC6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rPr>
        <w:t>危险废物执行《危险废物贮存污染控制标准》（GB18597-2023）。</w:t>
      </w:r>
    </w:p>
    <w:p w14:paraId="6176B211">
      <w:pPr>
        <w:pStyle w:val="4"/>
        <w:rPr>
          <w:rFonts w:hint="default" w:ascii="Times New Roman" w:hAnsi="Times New Roman" w:cs="Times New Roman"/>
          <w:color w:val="auto"/>
          <w:sz w:val="28"/>
          <w:szCs w:val="28"/>
          <w:highlight w:val="none"/>
        </w:rPr>
      </w:pPr>
      <w:bookmarkStart w:id="1522" w:name="_Toc25469"/>
      <w:bookmarkStart w:id="1523" w:name="_Toc27075"/>
      <w:bookmarkStart w:id="1524" w:name="_Toc21372"/>
      <w:bookmarkStart w:id="1525" w:name="_Toc6316"/>
      <w:r>
        <w:rPr>
          <w:rFonts w:hint="default" w:ascii="Times New Roman" w:hAnsi="Times New Roman" w:cs="Times New Roman"/>
          <w:color w:val="auto"/>
          <w:sz w:val="28"/>
          <w:szCs w:val="28"/>
          <w:highlight w:val="none"/>
        </w:rPr>
        <w:t>1.5评价等级与评价范围</w:t>
      </w:r>
      <w:bookmarkEnd w:id="1522"/>
      <w:bookmarkEnd w:id="1523"/>
      <w:bookmarkEnd w:id="1524"/>
      <w:bookmarkEnd w:id="1525"/>
    </w:p>
    <w:p w14:paraId="5059D250">
      <w:pPr>
        <w:pStyle w:val="6"/>
        <w:rPr>
          <w:rFonts w:hint="default" w:ascii="Times New Roman" w:hAnsi="Times New Roman" w:cs="Times New Roman"/>
          <w:color w:val="auto"/>
          <w:sz w:val="28"/>
          <w:szCs w:val="28"/>
          <w:highlight w:val="none"/>
        </w:rPr>
      </w:pPr>
      <w:bookmarkStart w:id="1526" w:name="_Toc18849"/>
      <w:bookmarkStart w:id="1527" w:name="_Toc25483"/>
      <w:bookmarkStart w:id="1528" w:name="_Toc32433"/>
      <w:r>
        <w:rPr>
          <w:rFonts w:hint="default" w:ascii="Times New Roman" w:hAnsi="Times New Roman" w:cs="Times New Roman"/>
          <w:color w:val="auto"/>
          <w:sz w:val="28"/>
          <w:szCs w:val="28"/>
          <w:highlight w:val="none"/>
        </w:rPr>
        <w:t>1.5.1评价等级判定</w:t>
      </w:r>
      <w:bookmarkEnd w:id="1526"/>
      <w:bookmarkEnd w:id="1527"/>
      <w:bookmarkEnd w:id="1528"/>
    </w:p>
    <w:p w14:paraId="72D851BA">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1.5.1.1生态环境</w:t>
      </w:r>
    </w:p>
    <w:p w14:paraId="3271B384">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根据《环境影响评价技术导则生态影响》（HJ19-2022）6.1章节规定评价等级判定依据影响区域的生态敏感性和影响程度，评判</w:t>
      </w:r>
      <w:r>
        <w:rPr>
          <w:rFonts w:hint="eastAsia" w:cs="Times New Roman"/>
          <w:snapToGrid w:val="0"/>
          <w:color w:val="auto"/>
          <w:sz w:val="24"/>
          <w:szCs w:val="24"/>
          <w:highlight w:val="none"/>
          <w:lang w:eastAsia="zh-CN"/>
        </w:rPr>
        <w:t>本工程</w:t>
      </w:r>
      <w:r>
        <w:rPr>
          <w:rFonts w:hint="default" w:ascii="Times New Roman" w:hAnsi="Times New Roman" w:cs="Times New Roman"/>
          <w:snapToGrid w:val="0"/>
          <w:color w:val="auto"/>
          <w:sz w:val="24"/>
          <w:szCs w:val="24"/>
          <w:highlight w:val="none"/>
        </w:rPr>
        <w:t>生态影响评价等级。建设项目同时涉及陆生、水生生态影响时，可针对陆生生态、水生生态分别判定评价等级。</w:t>
      </w:r>
    </w:p>
    <w:p w14:paraId="78C7E6C0">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项目生态影响评价工作等级判定见表1.5-1。</w:t>
      </w:r>
    </w:p>
    <w:p w14:paraId="1D2E98E9">
      <w:pPr>
        <w:pStyle w:val="2"/>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1.5-1项目生态影响评价工作等级判定表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87"/>
        <w:gridCol w:w="1447"/>
        <w:gridCol w:w="3388"/>
      </w:tblGrid>
      <w:tr w14:paraId="53F9E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3012" w:type="pct"/>
            <w:gridSpan w:val="2"/>
            <w:tcBorders>
              <w:tl2br w:val="nil"/>
              <w:tr2bl w:val="nil"/>
            </w:tcBorders>
            <w:vAlign w:val="center"/>
          </w:tcPr>
          <w:p w14:paraId="229204E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529" w:name="_Toc19032"/>
            <w:bookmarkStart w:id="1530" w:name="_Toc3140"/>
            <w:bookmarkStart w:id="1531" w:name="_Toc4934"/>
            <w:bookmarkStart w:id="1532" w:name="_Toc17092"/>
            <w:bookmarkStart w:id="1533" w:name="_Toc2933"/>
            <w:r>
              <w:rPr>
                <w:rFonts w:hint="default" w:ascii="Times New Roman" w:hAnsi="Times New Roman" w:cs="Times New Roman"/>
                <w:b/>
                <w:bCs/>
                <w:color w:val="auto"/>
                <w:sz w:val="21"/>
                <w:szCs w:val="21"/>
                <w:highlight w:val="none"/>
              </w:rPr>
              <w:t>等级判定依据</w:t>
            </w:r>
            <w:bookmarkEnd w:id="1529"/>
            <w:bookmarkEnd w:id="1530"/>
            <w:bookmarkEnd w:id="1531"/>
            <w:bookmarkEnd w:id="1532"/>
            <w:bookmarkEnd w:id="1533"/>
          </w:p>
        </w:tc>
        <w:tc>
          <w:tcPr>
            <w:tcW w:w="1987" w:type="pct"/>
            <w:vMerge w:val="restart"/>
            <w:tcBorders>
              <w:tl2br w:val="nil"/>
              <w:tr2bl w:val="nil"/>
            </w:tcBorders>
            <w:vAlign w:val="center"/>
          </w:tcPr>
          <w:p w14:paraId="631FD812">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534" w:name="_Toc15225"/>
            <w:bookmarkStart w:id="1535" w:name="_Toc2141"/>
            <w:bookmarkStart w:id="1536" w:name="_Toc8660"/>
            <w:bookmarkStart w:id="1537" w:name="_Toc5604"/>
            <w:bookmarkStart w:id="1538" w:name="_Toc32510"/>
            <w:r>
              <w:rPr>
                <w:rFonts w:hint="eastAsia" w:cs="Times New Roman"/>
                <w:b/>
                <w:bCs/>
                <w:color w:val="auto"/>
                <w:sz w:val="21"/>
                <w:szCs w:val="21"/>
                <w:highlight w:val="none"/>
                <w:lang w:eastAsia="zh-CN"/>
              </w:rPr>
              <w:t>本工程</w:t>
            </w:r>
            <w:r>
              <w:rPr>
                <w:rFonts w:hint="default" w:ascii="Times New Roman" w:hAnsi="Times New Roman" w:cs="Times New Roman"/>
                <w:b/>
                <w:bCs/>
                <w:color w:val="auto"/>
                <w:sz w:val="21"/>
                <w:szCs w:val="21"/>
                <w:highlight w:val="none"/>
              </w:rPr>
              <w:t>实际</w:t>
            </w:r>
            <w:bookmarkEnd w:id="1534"/>
            <w:bookmarkEnd w:id="1535"/>
            <w:bookmarkEnd w:id="1536"/>
            <w:bookmarkEnd w:id="1537"/>
            <w:bookmarkEnd w:id="1538"/>
          </w:p>
        </w:tc>
      </w:tr>
      <w:tr w14:paraId="497C8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tblHeader/>
        </w:trPr>
        <w:tc>
          <w:tcPr>
            <w:tcW w:w="2163" w:type="pct"/>
            <w:tcBorders>
              <w:tl2br w:val="nil"/>
              <w:tr2bl w:val="nil"/>
            </w:tcBorders>
            <w:vAlign w:val="center"/>
          </w:tcPr>
          <w:p w14:paraId="78E7F0E1">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539" w:name="_Toc26131"/>
            <w:bookmarkStart w:id="1540" w:name="_Toc18683"/>
            <w:bookmarkStart w:id="1541" w:name="_Toc10027"/>
            <w:bookmarkStart w:id="1542" w:name="_Toc27914"/>
            <w:bookmarkStart w:id="1543" w:name="_Toc30764"/>
            <w:r>
              <w:rPr>
                <w:rFonts w:hint="default" w:ascii="Times New Roman" w:hAnsi="Times New Roman" w:cs="Times New Roman"/>
                <w:b/>
                <w:bCs/>
                <w:color w:val="auto"/>
                <w:sz w:val="21"/>
                <w:szCs w:val="21"/>
                <w:highlight w:val="none"/>
              </w:rPr>
              <w:t>敏感性及影响程度</w:t>
            </w:r>
            <w:bookmarkEnd w:id="1539"/>
            <w:bookmarkEnd w:id="1540"/>
            <w:bookmarkEnd w:id="1541"/>
            <w:bookmarkEnd w:id="1542"/>
            <w:bookmarkEnd w:id="1543"/>
          </w:p>
        </w:tc>
        <w:tc>
          <w:tcPr>
            <w:tcW w:w="848" w:type="pct"/>
            <w:tcBorders>
              <w:tl2br w:val="nil"/>
              <w:tr2bl w:val="nil"/>
            </w:tcBorders>
            <w:vAlign w:val="center"/>
          </w:tcPr>
          <w:p w14:paraId="4F0DDAEC">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544" w:name="_Toc20415"/>
            <w:bookmarkStart w:id="1545" w:name="_Toc8122"/>
            <w:bookmarkStart w:id="1546" w:name="_Toc31113"/>
            <w:bookmarkStart w:id="1547" w:name="_Toc27068"/>
            <w:bookmarkStart w:id="1548" w:name="_Toc15953"/>
            <w:r>
              <w:rPr>
                <w:rFonts w:hint="default" w:ascii="Times New Roman" w:hAnsi="Times New Roman" w:cs="Times New Roman"/>
                <w:b/>
                <w:bCs/>
                <w:color w:val="auto"/>
                <w:sz w:val="21"/>
                <w:szCs w:val="21"/>
                <w:highlight w:val="none"/>
              </w:rPr>
              <w:t>评价等级</w:t>
            </w:r>
            <w:bookmarkEnd w:id="1544"/>
            <w:bookmarkEnd w:id="1545"/>
            <w:bookmarkEnd w:id="1546"/>
            <w:bookmarkEnd w:id="1547"/>
            <w:bookmarkEnd w:id="1548"/>
          </w:p>
        </w:tc>
        <w:tc>
          <w:tcPr>
            <w:tcW w:w="1987" w:type="pct"/>
            <w:vMerge w:val="continue"/>
            <w:tcBorders>
              <w:tl2br w:val="nil"/>
              <w:tr2bl w:val="nil"/>
            </w:tcBorders>
            <w:vAlign w:val="center"/>
          </w:tcPr>
          <w:p w14:paraId="7C46499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722CC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3" w:type="pct"/>
            <w:tcBorders>
              <w:tl2br w:val="nil"/>
              <w:tr2bl w:val="nil"/>
            </w:tcBorders>
          </w:tcPr>
          <w:p w14:paraId="4F89EB26">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1549" w:name="_Toc20837"/>
            <w:bookmarkStart w:id="1550" w:name="_Toc24578"/>
            <w:bookmarkStart w:id="1551" w:name="_Toc13976"/>
            <w:bookmarkStart w:id="1552" w:name="_Toc9779"/>
            <w:bookmarkStart w:id="1553" w:name="_Toc15290"/>
            <w:r>
              <w:rPr>
                <w:rFonts w:hint="default" w:ascii="Times New Roman" w:hAnsi="Times New Roman" w:cs="Times New Roman"/>
                <w:color w:val="auto"/>
                <w:sz w:val="21"/>
                <w:szCs w:val="21"/>
                <w:highlight w:val="none"/>
              </w:rPr>
              <w:t>a）涉及国家公园、自然保护区、世界自然遗产、重要生境。</w:t>
            </w:r>
            <w:bookmarkEnd w:id="1549"/>
            <w:bookmarkEnd w:id="1550"/>
            <w:bookmarkEnd w:id="1551"/>
            <w:bookmarkEnd w:id="1552"/>
            <w:bookmarkEnd w:id="1553"/>
          </w:p>
        </w:tc>
        <w:tc>
          <w:tcPr>
            <w:tcW w:w="848" w:type="pct"/>
            <w:tcBorders>
              <w:tl2br w:val="nil"/>
              <w:tr2bl w:val="nil"/>
            </w:tcBorders>
            <w:vAlign w:val="center"/>
          </w:tcPr>
          <w:p w14:paraId="163B76E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54" w:name="_Toc26677"/>
            <w:bookmarkStart w:id="1555" w:name="_Toc1122"/>
            <w:bookmarkStart w:id="1556" w:name="_Toc30428"/>
            <w:bookmarkStart w:id="1557" w:name="_Toc14528"/>
            <w:bookmarkStart w:id="1558" w:name="_Toc30780"/>
            <w:r>
              <w:rPr>
                <w:rFonts w:hint="default" w:ascii="Times New Roman" w:hAnsi="Times New Roman" w:cs="Times New Roman"/>
                <w:color w:val="auto"/>
                <w:sz w:val="21"/>
                <w:szCs w:val="21"/>
                <w:highlight w:val="none"/>
              </w:rPr>
              <w:t>一级</w:t>
            </w:r>
            <w:bookmarkEnd w:id="1554"/>
            <w:bookmarkEnd w:id="1555"/>
            <w:bookmarkEnd w:id="1556"/>
            <w:bookmarkEnd w:id="1557"/>
            <w:bookmarkEnd w:id="1558"/>
          </w:p>
        </w:tc>
        <w:tc>
          <w:tcPr>
            <w:tcW w:w="1987" w:type="pct"/>
            <w:tcBorders>
              <w:tl2br w:val="nil"/>
              <w:tr2bl w:val="nil"/>
            </w:tcBorders>
            <w:vAlign w:val="center"/>
          </w:tcPr>
          <w:p w14:paraId="16BC8C3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59" w:name="_Toc30474"/>
            <w:bookmarkStart w:id="1560" w:name="_Toc17699"/>
            <w:bookmarkStart w:id="1561" w:name="_Toc14875"/>
            <w:bookmarkStart w:id="1562" w:name="_Toc29845"/>
            <w:bookmarkStart w:id="1563" w:name="_Toc2929"/>
            <w:r>
              <w:rPr>
                <w:rFonts w:hint="default" w:ascii="Times New Roman" w:hAnsi="Times New Roman" w:cs="Times New Roman"/>
                <w:color w:val="auto"/>
                <w:sz w:val="21"/>
                <w:szCs w:val="21"/>
                <w:highlight w:val="none"/>
              </w:rPr>
              <w:t>不涉及国家公园、自然保护区、世界自然遗产、重要生境</w:t>
            </w:r>
            <w:bookmarkEnd w:id="1559"/>
            <w:bookmarkEnd w:id="1560"/>
            <w:bookmarkEnd w:id="1561"/>
            <w:bookmarkEnd w:id="1562"/>
            <w:bookmarkEnd w:id="1563"/>
          </w:p>
        </w:tc>
      </w:tr>
      <w:tr w14:paraId="6F200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63" w:type="pct"/>
            <w:tcBorders>
              <w:tl2br w:val="nil"/>
              <w:tr2bl w:val="nil"/>
            </w:tcBorders>
          </w:tcPr>
          <w:p w14:paraId="3D016798">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1564" w:name="_Toc15452"/>
            <w:bookmarkStart w:id="1565" w:name="_Toc23462"/>
            <w:bookmarkStart w:id="1566" w:name="_Toc24586"/>
            <w:bookmarkStart w:id="1567" w:name="_Toc29718"/>
            <w:bookmarkStart w:id="1568" w:name="_Toc29514"/>
            <w:r>
              <w:rPr>
                <w:rFonts w:hint="default" w:ascii="Times New Roman" w:hAnsi="Times New Roman" w:cs="Times New Roman"/>
                <w:color w:val="auto"/>
                <w:sz w:val="21"/>
                <w:szCs w:val="21"/>
                <w:highlight w:val="none"/>
              </w:rPr>
              <w:t>b）涉及自然公园。</w:t>
            </w:r>
            <w:bookmarkEnd w:id="1564"/>
            <w:bookmarkEnd w:id="1565"/>
            <w:bookmarkEnd w:id="1566"/>
            <w:bookmarkEnd w:id="1567"/>
            <w:bookmarkEnd w:id="1568"/>
          </w:p>
        </w:tc>
        <w:tc>
          <w:tcPr>
            <w:tcW w:w="848" w:type="pct"/>
            <w:tcBorders>
              <w:tl2br w:val="nil"/>
              <w:tr2bl w:val="nil"/>
            </w:tcBorders>
            <w:vAlign w:val="center"/>
          </w:tcPr>
          <w:p w14:paraId="22BB032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69" w:name="_Toc23496"/>
            <w:bookmarkStart w:id="1570" w:name="_Toc3841"/>
            <w:bookmarkStart w:id="1571" w:name="_Toc12544"/>
            <w:bookmarkStart w:id="1572" w:name="_Toc20070"/>
            <w:bookmarkStart w:id="1573" w:name="_Toc22650"/>
            <w:r>
              <w:rPr>
                <w:rFonts w:hint="default" w:ascii="Times New Roman" w:hAnsi="Times New Roman" w:cs="Times New Roman"/>
                <w:color w:val="auto"/>
                <w:sz w:val="21"/>
                <w:szCs w:val="21"/>
                <w:highlight w:val="none"/>
              </w:rPr>
              <w:t>二级</w:t>
            </w:r>
            <w:bookmarkEnd w:id="1569"/>
            <w:bookmarkEnd w:id="1570"/>
            <w:bookmarkEnd w:id="1571"/>
            <w:bookmarkEnd w:id="1572"/>
            <w:bookmarkEnd w:id="1573"/>
          </w:p>
        </w:tc>
        <w:tc>
          <w:tcPr>
            <w:tcW w:w="1987" w:type="pct"/>
            <w:tcBorders>
              <w:tl2br w:val="nil"/>
              <w:tr2bl w:val="nil"/>
            </w:tcBorders>
            <w:vAlign w:val="center"/>
          </w:tcPr>
          <w:p w14:paraId="2FB12A0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74" w:name="_Toc21482"/>
            <w:bookmarkStart w:id="1575" w:name="_Toc11753"/>
            <w:bookmarkStart w:id="1576" w:name="_Toc6573"/>
            <w:bookmarkStart w:id="1577" w:name="_Toc267"/>
            <w:bookmarkStart w:id="1578" w:name="_Toc5431"/>
            <w:r>
              <w:rPr>
                <w:rFonts w:hint="default" w:ascii="Times New Roman" w:hAnsi="Times New Roman" w:cs="Times New Roman"/>
                <w:color w:val="auto"/>
                <w:sz w:val="21"/>
                <w:szCs w:val="21"/>
                <w:highlight w:val="none"/>
              </w:rPr>
              <w:t>不涉及自然公园</w:t>
            </w:r>
            <w:bookmarkEnd w:id="1574"/>
            <w:bookmarkEnd w:id="1575"/>
            <w:bookmarkEnd w:id="1576"/>
            <w:bookmarkEnd w:id="1577"/>
            <w:bookmarkEnd w:id="1578"/>
          </w:p>
        </w:tc>
      </w:tr>
      <w:tr w14:paraId="4CA5E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3" w:type="pct"/>
            <w:tcBorders>
              <w:tl2br w:val="nil"/>
              <w:tr2bl w:val="nil"/>
            </w:tcBorders>
          </w:tcPr>
          <w:p w14:paraId="14C2E62F">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1579" w:name="_Toc18896"/>
            <w:bookmarkStart w:id="1580" w:name="_Toc21020"/>
            <w:bookmarkStart w:id="1581" w:name="_Toc26748"/>
            <w:bookmarkStart w:id="1582" w:name="_Toc11564"/>
            <w:bookmarkStart w:id="1583" w:name="_Toc13171"/>
            <w:r>
              <w:rPr>
                <w:rFonts w:hint="default" w:ascii="Times New Roman" w:hAnsi="Times New Roman" w:cs="Times New Roman"/>
                <w:color w:val="auto"/>
                <w:sz w:val="21"/>
                <w:szCs w:val="21"/>
                <w:highlight w:val="none"/>
              </w:rPr>
              <w:t>c）涉及生态保护红线。</w:t>
            </w:r>
            <w:bookmarkEnd w:id="1579"/>
            <w:bookmarkEnd w:id="1580"/>
            <w:bookmarkEnd w:id="1581"/>
            <w:bookmarkEnd w:id="1582"/>
            <w:bookmarkEnd w:id="1583"/>
          </w:p>
        </w:tc>
        <w:tc>
          <w:tcPr>
            <w:tcW w:w="848" w:type="pct"/>
            <w:tcBorders>
              <w:tl2br w:val="nil"/>
              <w:tr2bl w:val="nil"/>
            </w:tcBorders>
            <w:vAlign w:val="center"/>
          </w:tcPr>
          <w:p w14:paraId="651E85D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84" w:name="_Toc1074"/>
            <w:bookmarkStart w:id="1585" w:name="_Toc958"/>
            <w:bookmarkStart w:id="1586" w:name="_Toc7430"/>
            <w:bookmarkStart w:id="1587" w:name="_Toc29482"/>
            <w:bookmarkStart w:id="1588" w:name="_Toc13300"/>
            <w:r>
              <w:rPr>
                <w:rFonts w:hint="default" w:ascii="Times New Roman" w:hAnsi="Times New Roman" w:cs="Times New Roman"/>
                <w:color w:val="auto"/>
                <w:sz w:val="21"/>
                <w:szCs w:val="21"/>
                <w:highlight w:val="none"/>
              </w:rPr>
              <w:t>不低于二级</w:t>
            </w:r>
            <w:bookmarkEnd w:id="1584"/>
            <w:bookmarkEnd w:id="1585"/>
            <w:bookmarkEnd w:id="1586"/>
            <w:bookmarkEnd w:id="1587"/>
            <w:bookmarkEnd w:id="1588"/>
          </w:p>
        </w:tc>
        <w:tc>
          <w:tcPr>
            <w:tcW w:w="1987" w:type="pct"/>
            <w:tcBorders>
              <w:tl2br w:val="nil"/>
              <w:tr2bl w:val="nil"/>
            </w:tcBorders>
            <w:vAlign w:val="center"/>
          </w:tcPr>
          <w:p w14:paraId="544E6DB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89" w:name="_Toc6213"/>
            <w:bookmarkStart w:id="1590" w:name="_Toc12390"/>
            <w:bookmarkStart w:id="1591" w:name="_Toc12289"/>
            <w:bookmarkStart w:id="1592" w:name="_Toc10159"/>
            <w:bookmarkStart w:id="1593" w:name="_Toc31746"/>
            <w:r>
              <w:rPr>
                <w:rFonts w:hint="eastAsia" w:cs="Times New Roman"/>
                <w:color w:val="auto"/>
                <w:sz w:val="21"/>
                <w:szCs w:val="21"/>
                <w:highlight w:val="none"/>
                <w:lang w:val="en-US" w:eastAsia="zh-CN"/>
              </w:rPr>
              <w:t>本工程</w:t>
            </w:r>
            <w:r>
              <w:rPr>
                <w:rFonts w:hint="default" w:ascii="Times New Roman" w:hAnsi="Times New Roman" w:cs="Times New Roman"/>
                <w:color w:val="auto"/>
                <w:sz w:val="21"/>
                <w:szCs w:val="21"/>
                <w:highlight w:val="none"/>
                <w:lang w:val="en-US" w:eastAsia="zh-CN"/>
              </w:rPr>
              <w:t>评价生态影响评价范围</w:t>
            </w:r>
            <w:r>
              <w:rPr>
                <w:rFonts w:hint="default" w:ascii="Times New Roman" w:hAnsi="Times New Roman" w:cs="Times New Roman"/>
                <w:color w:val="auto"/>
                <w:sz w:val="21"/>
                <w:szCs w:val="21"/>
                <w:highlight w:val="none"/>
              </w:rPr>
              <w:t>涉及生态保护红线</w:t>
            </w:r>
            <w:bookmarkEnd w:id="1589"/>
            <w:bookmarkEnd w:id="1590"/>
            <w:bookmarkEnd w:id="1591"/>
            <w:bookmarkEnd w:id="1592"/>
            <w:bookmarkEnd w:id="1593"/>
          </w:p>
        </w:tc>
      </w:tr>
      <w:tr w14:paraId="15907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163" w:type="pct"/>
            <w:tcBorders>
              <w:tl2br w:val="nil"/>
              <w:tr2bl w:val="nil"/>
            </w:tcBorders>
          </w:tcPr>
          <w:p w14:paraId="10C00FFD">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1594" w:name="_Toc22185"/>
            <w:bookmarkStart w:id="1595" w:name="_Toc7182"/>
            <w:bookmarkStart w:id="1596" w:name="_Toc30412"/>
            <w:bookmarkStart w:id="1597" w:name="_Toc19166"/>
            <w:bookmarkStart w:id="1598" w:name="_Toc29096"/>
            <w:r>
              <w:rPr>
                <w:rFonts w:hint="default" w:ascii="Times New Roman" w:hAnsi="Times New Roman" w:cs="Times New Roman"/>
                <w:color w:val="auto"/>
                <w:sz w:val="21"/>
                <w:szCs w:val="21"/>
                <w:highlight w:val="none"/>
              </w:rPr>
              <w:t>d）根据HJ2.3判断属于水文要素影响型且地表水评价等级不低于二级的建设项目。</w:t>
            </w:r>
            <w:bookmarkEnd w:id="1594"/>
            <w:bookmarkEnd w:id="1595"/>
            <w:bookmarkEnd w:id="1596"/>
            <w:bookmarkEnd w:id="1597"/>
            <w:bookmarkEnd w:id="1598"/>
          </w:p>
        </w:tc>
        <w:tc>
          <w:tcPr>
            <w:tcW w:w="848" w:type="pct"/>
            <w:tcBorders>
              <w:tl2br w:val="nil"/>
              <w:tr2bl w:val="nil"/>
            </w:tcBorders>
            <w:vAlign w:val="center"/>
          </w:tcPr>
          <w:p w14:paraId="7B4520A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599" w:name="_Toc17300"/>
            <w:bookmarkStart w:id="1600" w:name="_Toc8473"/>
            <w:bookmarkStart w:id="1601" w:name="_Toc10342"/>
            <w:bookmarkStart w:id="1602" w:name="_Toc14785"/>
            <w:bookmarkStart w:id="1603" w:name="_Toc28417"/>
            <w:r>
              <w:rPr>
                <w:rFonts w:hint="default" w:ascii="Times New Roman" w:hAnsi="Times New Roman" w:cs="Times New Roman"/>
                <w:color w:val="auto"/>
                <w:sz w:val="21"/>
                <w:szCs w:val="21"/>
                <w:highlight w:val="none"/>
              </w:rPr>
              <w:t>不低于二级</w:t>
            </w:r>
            <w:bookmarkEnd w:id="1599"/>
            <w:bookmarkEnd w:id="1600"/>
            <w:bookmarkEnd w:id="1601"/>
            <w:bookmarkEnd w:id="1602"/>
            <w:bookmarkEnd w:id="1603"/>
          </w:p>
        </w:tc>
        <w:tc>
          <w:tcPr>
            <w:tcW w:w="1987" w:type="pct"/>
            <w:tcBorders>
              <w:tl2br w:val="nil"/>
              <w:tr2bl w:val="nil"/>
            </w:tcBorders>
            <w:vAlign w:val="center"/>
          </w:tcPr>
          <w:p w14:paraId="18D52668">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1604" w:name="_Toc20582"/>
            <w:bookmarkStart w:id="1605" w:name="_Toc32549"/>
            <w:bookmarkStart w:id="1606" w:name="_Toc1973"/>
            <w:bookmarkStart w:id="1607" w:name="_Toc13602"/>
            <w:bookmarkStart w:id="1608" w:name="_Toc704"/>
            <w:r>
              <w:rPr>
                <w:rFonts w:hint="default" w:ascii="Times New Roman" w:hAnsi="Times New Roman" w:cs="Times New Roman"/>
                <w:color w:val="auto"/>
                <w:sz w:val="21"/>
                <w:szCs w:val="21"/>
                <w:highlight w:val="none"/>
              </w:rPr>
              <w:t>水文要素型且</w:t>
            </w:r>
            <w:r>
              <w:rPr>
                <w:rFonts w:hint="default" w:ascii="Times New Roman" w:hAnsi="Times New Roman" w:cs="Times New Roman"/>
                <w:color w:val="auto"/>
                <w:sz w:val="21"/>
                <w:szCs w:val="21"/>
                <w:highlight w:val="none"/>
                <w:lang w:val="en-US" w:eastAsia="zh-CN"/>
              </w:rPr>
              <w:t>项目水库</w:t>
            </w:r>
            <w:r>
              <w:rPr>
                <w:rFonts w:hint="default" w:ascii="Times New Roman" w:hAnsi="Times New Roman" w:cs="Times New Roman"/>
                <w:color w:val="auto"/>
                <w:sz w:val="21"/>
                <w:szCs w:val="21"/>
                <w:highlight w:val="none"/>
              </w:rPr>
              <w:t>地表水评价等级为</w:t>
            </w:r>
            <w:bookmarkEnd w:id="1604"/>
            <w:bookmarkEnd w:id="1605"/>
            <w:r>
              <w:rPr>
                <w:rFonts w:hint="default" w:ascii="Times New Roman" w:hAnsi="Times New Roman" w:cs="Times New Roman"/>
                <w:color w:val="auto"/>
                <w:sz w:val="21"/>
                <w:szCs w:val="21"/>
                <w:highlight w:val="none"/>
                <w:lang w:val="en-US" w:eastAsia="zh-CN"/>
              </w:rPr>
              <w:t>二级</w:t>
            </w:r>
            <w:bookmarkEnd w:id="1606"/>
            <w:bookmarkEnd w:id="1607"/>
            <w:bookmarkEnd w:id="1608"/>
          </w:p>
        </w:tc>
      </w:tr>
      <w:tr w14:paraId="5CEB2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63" w:type="pct"/>
            <w:tcBorders>
              <w:tl2br w:val="nil"/>
              <w:tr2bl w:val="nil"/>
            </w:tcBorders>
          </w:tcPr>
          <w:p w14:paraId="0D293DF9">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1609" w:name="_Toc27314"/>
            <w:bookmarkStart w:id="1610" w:name="_Toc30483"/>
            <w:bookmarkStart w:id="1611" w:name="_Toc5027"/>
            <w:bookmarkStart w:id="1612" w:name="_Toc11328"/>
            <w:bookmarkStart w:id="1613" w:name="_Toc4997"/>
            <w:r>
              <w:rPr>
                <w:rFonts w:hint="default" w:ascii="Times New Roman" w:hAnsi="Times New Roman" w:cs="Times New Roman"/>
                <w:color w:val="auto"/>
                <w:sz w:val="21"/>
                <w:szCs w:val="21"/>
                <w:highlight w:val="none"/>
              </w:rPr>
              <w:t>e）根据HJ610、HJ964判断地下水水位或土壤影响范围内分布有天然林、公益林、湿地等生态保护目标的建设项目。</w:t>
            </w:r>
            <w:bookmarkEnd w:id="1609"/>
            <w:bookmarkEnd w:id="1610"/>
            <w:bookmarkEnd w:id="1611"/>
            <w:bookmarkEnd w:id="1612"/>
            <w:bookmarkEnd w:id="1613"/>
          </w:p>
        </w:tc>
        <w:tc>
          <w:tcPr>
            <w:tcW w:w="848" w:type="pct"/>
            <w:tcBorders>
              <w:tl2br w:val="nil"/>
              <w:tr2bl w:val="nil"/>
            </w:tcBorders>
            <w:vAlign w:val="center"/>
          </w:tcPr>
          <w:p w14:paraId="067499D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614" w:name="_Toc10950"/>
            <w:bookmarkStart w:id="1615" w:name="_Toc20500"/>
            <w:bookmarkStart w:id="1616" w:name="_Toc6319"/>
            <w:bookmarkStart w:id="1617" w:name="_Toc20713"/>
            <w:bookmarkStart w:id="1618" w:name="_Toc8959"/>
            <w:r>
              <w:rPr>
                <w:rFonts w:hint="default" w:ascii="Times New Roman" w:hAnsi="Times New Roman" w:cs="Times New Roman"/>
                <w:color w:val="auto"/>
                <w:sz w:val="21"/>
                <w:szCs w:val="21"/>
                <w:highlight w:val="none"/>
              </w:rPr>
              <w:t>不低于二级</w:t>
            </w:r>
            <w:bookmarkEnd w:id="1614"/>
            <w:bookmarkEnd w:id="1615"/>
            <w:bookmarkEnd w:id="1616"/>
            <w:bookmarkEnd w:id="1617"/>
            <w:bookmarkEnd w:id="1618"/>
          </w:p>
        </w:tc>
        <w:tc>
          <w:tcPr>
            <w:tcW w:w="1987" w:type="pct"/>
            <w:tcBorders>
              <w:tl2br w:val="nil"/>
              <w:tr2bl w:val="nil"/>
            </w:tcBorders>
            <w:vAlign w:val="center"/>
          </w:tcPr>
          <w:p w14:paraId="03213B4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619" w:name="_Toc8594"/>
            <w:bookmarkStart w:id="1620" w:name="_Toc2540"/>
            <w:bookmarkStart w:id="1621" w:name="_Toc21353"/>
            <w:bookmarkStart w:id="1622" w:name="_Toc29422"/>
            <w:bookmarkStart w:id="1623" w:name="_Toc20545"/>
            <w:r>
              <w:rPr>
                <w:rFonts w:hint="default" w:ascii="Times New Roman" w:hAnsi="Times New Roman" w:cs="Times New Roman"/>
                <w:color w:val="auto"/>
                <w:sz w:val="21"/>
                <w:szCs w:val="21"/>
                <w:highlight w:val="none"/>
              </w:rPr>
              <w:t>地下水水位、土壤影响范围内不涉及天然林、公益林、湿地等生态保护目标</w:t>
            </w:r>
            <w:bookmarkEnd w:id="1619"/>
            <w:bookmarkEnd w:id="1620"/>
            <w:bookmarkEnd w:id="1621"/>
            <w:bookmarkEnd w:id="1622"/>
            <w:bookmarkEnd w:id="1623"/>
          </w:p>
        </w:tc>
      </w:tr>
      <w:tr w14:paraId="3E7D9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3" w:type="pct"/>
            <w:tcBorders>
              <w:tl2br w:val="nil"/>
              <w:tr2bl w:val="nil"/>
            </w:tcBorders>
          </w:tcPr>
          <w:p w14:paraId="3E49C3E8">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1624" w:name="_Toc14402"/>
            <w:bookmarkStart w:id="1625" w:name="_Toc2373"/>
            <w:bookmarkStart w:id="1626" w:name="_Toc16147"/>
            <w:bookmarkStart w:id="1627" w:name="_Toc1666"/>
            <w:bookmarkStart w:id="1628" w:name="_Toc27276"/>
            <w:r>
              <w:rPr>
                <w:rFonts w:hint="default" w:ascii="Times New Roman" w:hAnsi="Times New Roman" w:cs="Times New Roman"/>
                <w:color w:val="auto"/>
                <w:sz w:val="21"/>
                <w:szCs w:val="21"/>
                <w:highlight w:val="none"/>
              </w:rPr>
              <w:t>f）当工程占地规模大于20km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时（包括永久和临时占用陆域和水域）；改扩建项目的占地范围以新增占地（包括陆域和水域）确定。</w:t>
            </w:r>
            <w:bookmarkEnd w:id="1624"/>
            <w:bookmarkEnd w:id="1625"/>
            <w:bookmarkEnd w:id="1626"/>
            <w:bookmarkEnd w:id="1627"/>
            <w:bookmarkEnd w:id="1628"/>
          </w:p>
        </w:tc>
        <w:tc>
          <w:tcPr>
            <w:tcW w:w="848" w:type="pct"/>
            <w:tcBorders>
              <w:tl2br w:val="nil"/>
              <w:tr2bl w:val="nil"/>
            </w:tcBorders>
            <w:vAlign w:val="center"/>
          </w:tcPr>
          <w:p w14:paraId="69A8AF3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629" w:name="_Toc22259"/>
            <w:bookmarkStart w:id="1630" w:name="_Toc1036"/>
            <w:bookmarkStart w:id="1631" w:name="_Toc12456"/>
            <w:bookmarkStart w:id="1632" w:name="_Toc22040"/>
            <w:bookmarkStart w:id="1633" w:name="_Toc22296"/>
            <w:r>
              <w:rPr>
                <w:rFonts w:hint="default" w:ascii="Times New Roman" w:hAnsi="Times New Roman" w:cs="Times New Roman"/>
                <w:color w:val="auto"/>
                <w:sz w:val="21"/>
                <w:szCs w:val="21"/>
                <w:highlight w:val="none"/>
              </w:rPr>
              <w:t>不低于二级</w:t>
            </w:r>
            <w:bookmarkEnd w:id="1629"/>
            <w:bookmarkEnd w:id="1630"/>
            <w:bookmarkEnd w:id="1631"/>
            <w:bookmarkEnd w:id="1632"/>
            <w:bookmarkEnd w:id="1633"/>
          </w:p>
        </w:tc>
        <w:tc>
          <w:tcPr>
            <w:tcW w:w="1987" w:type="pct"/>
            <w:tcBorders>
              <w:tl2br w:val="nil"/>
              <w:tr2bl w:val="nil"/>
            </w:tcBorders>
            <w:vAlign w:val="center"/>
          </w:tcPr>
          <w:p w14:paraId="52D87F3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634" w:name="_Toc19025"/>
            <w:bookmarkStart w:id="1635" w:name="_Toc30471"/>
            <w:bookmarkStart w:id="1636" w:name="_Toc6822"/>
            <w:bookmarkStart w:id="1637" w:name="_Toc5353"/>
            <w:bookmarkStart w:id="1638" w:name="_Toc31665"/>
            <w:r>
              <w:rPr>
                <w:rFonts w:hint="default" w:ascii="Times New Roman" w:hAnsi="Times New Roman" w:cs="Times New Roman"/>
                <w:color w:val="auto"/>
                <w:sz w:val="21"/>
                <w:szCs w:val="21"/>
                <w:highlight w:val="none"/>
              </w:rPr>
              <w:t>项目工程总占地规模</w:t>
            </w:r>
            <w:bookmarkEnd w:id="1634"/>
            <w:bookmarkStart w:id="1639" w:name="_Toc5343"/>
            <w:r>
              <w:rPr>
                <w:rFonts w:hint="default" w:ascii="Times New Roman" w:hAnsi="Times New Roman" w:cs="Times New Roman"/>
                <w:color w:val="auto"/>
                <w:sz w:val="21"/>
                <w:szCs w:val="21"/>
                <w:highlight w:val="none"/>
              </w:rPr>
              <w:t>0.0345km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，不涉及改扩建工程</w:t>
            </w:r>
            <w:bookmarkEnd w:id="1635"/>
            <w:bookmarkEnd w:id="1636"/>
            <w:bookmarkEnd w:id="1637"/>
            <w:bookmarkEnd w:id="1638"/>
            <w:bookmarkEnd w:id="1639"/>
          </w:p>
        </w:tc>
      </w:tr>
    </w:tbl>
    <w:p w14:paraId="4E1805B1">
      <w:pPr>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本工程主要</w:t>
      </w:r>
      <w:r>
        <w:rPr>
          <w:rFonts w:hint="default" w:ascii="Times New Roman" w:hAnsi="Times New Roman" w:cs="Times New Roman"/>
          <w:color w:val="auto"/>
          <w:sz w:val="24"/>
          <w:szCs w:val="24"/>
          <w:highlight w:val="none"/>
          <w:lang w:val="en-US" w:eastAsia="zh-CN"/>
        </w:rPr>
        <w:t>进行河道治理及水库清淤</w:t>
      </w:r>
      <w:r>
        <w:rPr>
          <w:rFonts w:hint="default" w:ascii="Times New Roman" w:hAnsi="Times New Roman" w:cs="Times New Roman"/>
          <w:color w:val="auto"/>
          <w:sz w:val="24"/>
          <w:szCs w:val="24"/>
          <w:highlight w:val="none"/>
        </w:rPr>
        <w:t>，工程总占地</w:t>
      </w:r>
      <w:r>
        <w:rPr>
          <w:rFonts w:hint="default" w:ascii="Times New Roman" w:hAnsi="Times New Roman" w:cs="Times New Roman"/>
          <w:color w:val="auto"/>
          <w:sz w:val="24"/>
          <w:szCs w:val="24"/>
          <w:highlight w:val="none"/>
          <w:lang w:val="en-US" w:eastAsia="zh-CN"/>
        </w:rPr>
        <w:t>0.0345k</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工程影响区域内不涉及国家公园、自然保护区、自然公园等自然保护地、世界自然遗产；亦不涉及重要物种的天然集中分布区、栖息地，重要水生生物的产卵场、索饵场、越冬场和洄游通道，迁徙鸟类的重要繁殖地、停歇地、越冬地以及野生动物迁徙通道等重要生境</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项目占地不</w:t>
      </w:r>
      <w:r>
        <w:rPr>
          <w:rFonts w:hint="default" w:ascii="Times New Roman" w:hAnsi="Times New Roman" w:cs="Times New Roman"/>
          <w:color w:val="auto"/>
          <w:sz w:val="24"/>
          <w:szCs w:val="24"/>
          <w:highlight w:val="none"/>
        </w:rPr>
        <w:t>涉及生态保护红线，</w:t>
      </w:r>
      <w:r>
        <w:rPr>
          <w:rFonts w:hint="default" w:ascii="Times New Roman" w:hAnsi="Times New Roman" w:cs="Times New Roman"/>
          <w:color w:val="auto"/>
          <w:sz w:val="24"/>
          <w:szCs w:val="24"/>
          <w:highlight w:val="none"/>
          <w:lang w:val="en-US" w:eastAsia="zh-CN"/>
        </w:rPr>
        <w:t>仅生态影响评价范围进入红线范围。项目为水文要素型，且水库部分评价等级为地表水二级。</w:t>
      </w:r>
    </w:p>
    <w:p w14:paraId="600EDEB8">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考虑到项目为线性工程，一期工程（河道工程）与二期工程（水库工程）分期实施且分段实施，根据《环境影响评价技术导则生态影响》（HJ19-2022）中6.1.6要求：线性工程可分段确定评价等级。线性工程地下穿越或地表跨越生态敏感区，在生态敏感区范围内无永久、临时占地时，评价等级可下调一级。</w:t>
      </w:r>
    </w:p>
    <w:p w14:paraId="01B6A1EA">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w:t>
      </w:r>
      <w:r>
        <w:rPr>
          <w:rFonts w:hint="eastAsia" w:ascii="Times New Roman" w:hAnsi="Times New Roman" w:eastAsia="宋体" w:cs="Times New Roman"/>
          <w:color w:val="auto"/>
          <w:sz w:val="24"/>
          <w:szCs w:val="24"/>
          <w:highlight w:val="none"/>
          <w:lang w:val="en-US" w:eastAsia="zh-CN"/>
        </w:rPr>
        <w:t>本工程</w:t>
      </w:r>
      <w:r>
        <w:rPr>
          <w:rFonts w:hint="default" w:ascii="Times New Roman" w:hAnsi="Times New Roman" w:eastAsia="宋体" w:cs="Times New Roman"/>
          <w:color w:val="auto"/>
          <w:sz w:val="24"/>
          <w:szCs w:val="24"/>
          <w:highlight w:val="none"/>
          <w:lang w:val="en-US" w:eastAsia="zh-CN"/>
        </w:rPr>
        <w:t>生态环境评价等级采取分段评价。</w:t>
      </w:r>
    </w:p>
    <w:p w14:paraId="7F504E54">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陆生生态：在红线范围内无永久、临时占地，评价等级下调一级，为三级评价。</w:t>
      </w:r>
    </w:p>
    <w:p w14:paraId="3DF25529">
      <w:pPr>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水生生态：根据1.5.1.2节，水库及沟道部分均为地表水水文要素二级评价，因此，水生生态为二级。</w:t>
      </w:r>
    </w:p>
    <w:p w14:paraId="4AE83FA1">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1.5.1.2地表水环境</w:t>
      </w:r>
    </w:p>
    <w:p w14:paraId="4AB74D31">
      <w:pPr>
        <w:jc w:val="both"/>
        <w:rPr>
          <w:rFonts w:hint="default" w:ascii="Times New Roman" w:hAnsi="Times New Roman" w:cs="Times New Roman"/>
          <w:snapToGrid w:val="0"/>
          <w:color w:val="auto"/>
          <w:sz w:val="24"/>
          <w:szCs w:val="24"/>
          <w:highlight w:val="none"/>
        </w:rPr>
      </w:pPr>
      <w:r>
        <w:rPr>
          <w:rFonts w:hint="eastAsia" w:cs="Times New Roman"/>
          <w:snapToGrid w:val="0"/>
          <w:color w:val="auto"/>
          <w:sz w:val="24"/>
          <w:szCs w:val="24"/>
          <w:highlight w:val="none"/>
          <w:lang w:eastAsia="zh-CN"/>
        </w:rPr>
        <w:t>本工程</w:t>
      </w:r>
      <w:r>
        <w:rPr>
          <w:rFonts w:hint="default" w:ascii="Times New Roman" w:hAnsi="Times New Roman" w:cs="Times New Roman"/>
          <w:snapToGrid w:val="0"/>
          <w:color w:val="auto"/>
          <w:sz w:val="24"/>
          <w:szCs w:val="24"/>
          <w:highlight w:val="none"/>
        </w:rPr>
        <w:t>为</w:t>
      </w:r>
      <w:r>
        <w:rPr>
          <w:rFonts w:hint="default" w:ascii="Times New Roman" w:hAnsi="Times New Roman" w:cs="Times New Roman"/>
          <w:snapToGrid w:val="0"/>
          <w:color w:val="auto"/>
          <w:sz w:val="24"/>
          <w:szCs w:val="24"/>
          <w:highlight w:val="none"/>
          <w:lang w:val="en-US" w:eastAsia="zh-CN"/>
        </w:rPr>
        <w:t>河道治理</w:t>
      </w:r>
      <w:r>
        <w:rPr>
          <w:rFonts w:hint="default" w:ascii="Times New Roman" w:hAnsi="Times New Roman" w:cs="Times New Roman"/>
          <w:snapToGrid w:val="0"/>
          <w:color w:val="auto"/>
          <w:sz w:val="24"/>
          <w:szCs w:val="24"/>
          <w:highlight w:val="none"/>
        </w:rPr>
        <w:t>工程，属于生态影响类项目，根据水文要素影响型建设项目评价等级判定表，水文要素影响型建设项目评价等级划分根据水温、径流与受影响地表水域等三类水文要素的影响程度进行判定，判定依据详见表1.5-2。</w:t>
      </w:r>
    </w:p>
    <w:p w14:paraId="5763C267">
      <w:pPr>
        <w:jc w:val="center"/>
        <w:rPr>
          <w:rFonts w:hint="default" w:ascii="Times New Roman" w:hAnsi="Times New Roman" w:cs="Times New Roman"/>
          <w:b/>
          <w:bCs/>
          <w:snapToGrid w:val="0"/>
          <w:color w:val="auto"/>
          <w:sz w:val="24"/>
          <w:szCs w:val="24"/>
          <w:highlight w:val="none"/>
        </w:rPr>
      </w:pPr>
      <w:r>
        <w:rPr>
          <w:rFonts w:hint="default" w:ascii="Times New Roman" w:hAnsi="Times New Roman" w:cs="Times New Roman"/>
          <w:b/>
          <w:bCs/>
          <w:snapToGrid w:val="0"/>
          <w:color w:val="auto"/>
          <w:sz w:val="24"/>
          <w:szCs w:val="24"/>
          <w:highlight w:val="none"/>
        </w:rPr>
        <w:t>表1.5-2水文要素影响型建设项目评价等级判定</w:t>
      </w:r>
    </w:p>
    <w:tbl>
      <w:tblPr>
        <w:tblStyle w:val="3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41"/>
        <w:gridCol w:w="1322"/>
        <w:gridCol w:w="1153"/>
        <w:gridCol w:w="1332"/>
        <w:gridCol w:w="1358"/>
        <w:gridCol w:w="1790"/>
      </w:tblGrid>
      <w:tr w14:paraId="72803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26" w:type="dxa"/>
            <w:vMerge w:val="restart"/>
            <w:tcBorders>
              <w:tl2br w:val="nil"/>
              <w:tr2bl w:val="nil"/>
            </w:tcBorders>
            <w:vAlign w:val="center"/>
          </w:tcPr>
          <w:p w14:paraId="1F43632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40" w:name="_Toc9828"/>
            <w:bookmarkStart w:id="1641" w:name="_Toc9602"/>
            <w:bookmarkStart w:id="1642" w:name="_Toc5948"/>
            <w:bookmarkStart w:id="1643" w:name="_Toc8851"/>
            <w:bookmarkStart w:id="1644" w:name="_Toc29651"/>
            <w:r>
              <w:rPr>
                <w:rFonts w:hint="default" w:ascii="Times New Roman" w:hAnsi="Times New Roman" w:cs="Times New Roman"/>
                <w:b/>
                <w:bCs/>
                <w:color w:val="auto"/>
                <w:sz w:val="21"/>
                <w:szCs w:val="21"/>
                <w:highlight w:val="none"/>
              </w:rPr>
              <w:t>评</w:t>
            </w:r>
            <w:bookmarkEnd w:id="1640"/>
            <w:bookmarkEnd w:id="1641"/>
            <w:bookmarkEnd w:id="1642"/>
            <w:bookmarkEnd w:id="1643"/>
            <w:bookmarkEnd w:id="1644"/>
          </w:p>
          <w:p w14:paraId="27A6922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45" w:name="_Toc18898"/>
            <w:bookmarkStart w:id="1646" w:name="_Toc3815"/>
            <w:bookmarkStart w:id="1647" w:name="_Toc23486"/>
            <w:bookmarkStart w:id="1648" w:name="_Toc22057"/>
            <w:bookmarkStart w:id="1649" w:name="_Toc17445"/>
            <w:r>
              <w:rPr>
                <w:rFonts w:hint="default" w:ascii="Times New Roman" w:hAnsi="Times New Roman" w:cs="Times New Roman"/>
                <w:b/>
                <w:bCs/>
                <w:color w:val="auto"/>
                <w:sz w:val="21"/>
                <w:szCs w:val="21"/>
                <w:highlight w:val="none"/>
              </w:rPr>
              <w:t>价</w:t>
            </w:r>
            <w:bookmarkEnd w:id="1645"/>
            <w:bookmarkEnd w:id="1646"/>
            <w:bookmarkEnd w:id="1647"/>
            <w:bookmarkEnd w:id="1648"/>
            <w:bookmarkEnd w:id="1649"/>
          </w:p>
          <w:p w14:paraId="35261478">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50" w:name="_Toc1574"/>
            <w:bookmarkStart w:id="1651" w:name="_Toc7370"/>
            <w:bookmarkStart w:id="1652" w:name="_Toc11313"/>
            <w:bookmarkStart w:id="1653" w:name="_Toc7171"/>
            <w:bookmarkStart w:id="1654" w:name="_Toc9007"/>
            <w:r>
              <w:rPr>
                <w:rFonts w:hint="default" w:ascii="Times New Roman" w:hAnsi="Times New Roman" w:cs="Times New Roman"/>
                <w:b/>
                <w:bCs/>
                <w:color w:val="auto"/>
                <w:sz w:val="21"/>
                <w:szCs w:val="21"/>
                <w:highlight w:val="none"/>
              </w:rPr>
              <w:t>等</w:t>
            </w:r>
            <w:bookmarkEnd w:id="1650"/>
            <w:bookmarkEnd w:id="1651"/>
            <w:bookmarkEnd w:id="1652"/>
            <w:bookmarkEnd w:id="1653"/>
            <w:bookmarkEnd w:id="1654"/>
          </w:p>
          <w:p w14:paraId="57779A22">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55" w:name="_Toc10552"/>
            <w:bookmarkStart w:id="1656" w:name="_Toc30421"/>
            <w:bookmarkStart w:id="1657" w:name="_Toc14116"/>
            <w:bookmarkStart w:id="1658" w:name="_Toc8329"/>
            <w:bookmarkStart w:id="1659" w:name="_Toc7089"/>
            <w:r>
              <w:rPr>
                <w:rFonts w:hint="default" w:ascii="Times New Roman" w:hAnsi="Times New Roman" w:cs="Times New Roman"/>
                <w:b/>
                <w:bCs/>
                <w:color w:val="auto"/>
                <w:sz w:val="21"/>
                <w:szCs w:val="21"/>
                <w:highlight w:val="none"/>
              </w:rPr>
              <w:t>级</w:t>
            </w:r>
            <w:bookmarkEnd w:id="1655"/>
            <w:bookmarkEnd w:id="1656"/>
            <w:bookmarkEnd w:id="1657"/>
            <w:bookmarkEnd w:id="1658"/>
            <w:bookmarkEnd w:id="1659"/>
          </w:p>
        </w:tc>
        <w:tc>
          <w:tcPr>
            <w:tcW w:w="1141" w:type="dxa"/>
            <w:tcBorders>
              <w:tl2br w:val="nil"/>
              <w:tr2bl w:val="nil"/>
            </w:tcBorders>
            <w:vAlign w:val="center"/>
          </w:tcPr>
          <w:p w14:paraId="327C444C">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60" w:name="_Toc13362"/>
            <w:bookmarkStart w:id="1661" w:name="_Toc29676"/>
            <w:bookmarkStart w:id="1662" w:name="_Toc21845"/>
            <w:bookmarkStart w:id="1663" w:name="_Toc25251"/>
            <w:bookmarkStart w:id="1664" w:name="_Toc15783"/>
            <w:r>
              <w:rPr>
                <w:rFonts w:hint="default" w:ascii="Times New Roman" w:hAnsi="Times New Roman" w:cs="Times New Roman"/>
                <w:b/>
                <w:bCs/>
                <w:color w:val="auto"/>
                <w:sz w:val="21"/>
                <w:szCs w:val="21"/>
                <w:highlight w:val="none"/>
              </w:rPr>
              <w:t>水温</w:t>
            </w:r>
            <w:bookmarkEnd w:id="1660"/>
            <w:bookmarkEnd w:id="1661"/>
            <w:bookmarkEnd w:id="1662"/>
            <w:bookmarkEnd w:id="1663"/>
            <w:bookmarkEnd w:id="1664"/>
          </w:p>
        </w:tc>
        <w:tc>
          <w:tcPr>
            <w:tcW w:w="2475" w:type="dxa"/>
            <w:gridSpan w:val="2"/>
            <w:tcBorders>
              <w:tl2br w:val="nil"/>
              <w:tr2bl w:val="nil"/>
            </w:tcBorders>
            <w:vAlign w:val="center"/>
          </w:tcPr>
          <w:p w14:paraId="3A1A10B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65" w:name="_Toc434"/>
            <w:bookmarkStart w:id="1666" w:name="_Toc1174"/>
            <w:bookmarkStart w:id="1667" w:name="_Toc31990"/>
            <w:bookmarkStart w:id="1668" w:name="_Toc24089"/>
            <w:bookmarkStart w:id="1669" w:name="_Toc11539"/>
            <w:r>
              <w:rPr>
                <w:rFonts w:hint="default" w:ascii="Times New Roman" w:hAnsi="Times New Roman" w:cs="Times New Roman"/>
                <w:b/>
                <w:bCs/>
                <w:color w:val="auto"/>
                <w:sz w:val="21"/>
                <w:szCs w:val="21"/>
                <w:highlight w:val="none"/>
              </w:rPr>
              <w:t>径流</w:t>
            </w:r>
            <w:bookmarkEnd w:id="1665"/>
            <w:bookmarkEnd w:id="1666"/>
            <w:bookmarkEnd w:id="1667"/>
            <w:bookmarkEnd w:id="1668"/>
            <w:bookmarkEnd w:id="1669"/>
          </w:p>
        </w:tc>
        <w:tc>
          <w:tcPr>
            <w:tcW w:w="4480" w:type="dxa"/>
            <w:gridSpan w:val="3"/>
            <w:tcBorders>
              <w:tl2br w:val="nil"/>
              <w:tr2bl w:val="nil"/>
            </w:tcBorders>
            <w:vAlign w:val="center"/>
          </w:tcPr>
          <w:p w14:paraId="3A16668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70" w:name="_Toc12774"/>
            <w:bookmarkStart w:id="1671" w:name="_Toc17884"/>
            <w:bookmarkStart w:id="1672" w:name="_Toc4598"/>
            <w:bookmarkStart w:id="1673" w:name="_Toc15574"/>
            <w:bookmarkStart w:id="1674" w:name="_Toc25033"/>
            <w:r>
              <w:rPr>
                <w:rFonts w:hint="default" w:ascii="Times New Roman" w:hAnsi="Times New Roman" w:cs="Times New Roman"/>
                <w:b/>
                <w:bCs/>
                <w:color w:val="auto"/>
                <w:sz w:val="21"/>
                <w:szCs w:val="21"/>
                <w:highlight w:val="none"/>
              </w:rPr>
              <w:t>受影响地表水域</w:t>
            </w:r>
            <w:bookmarkEnd w:id="1670"/>
            <w:bookmarkEnd w:id="1671"/>
            <w:bookmarkEnd w:id="1672"/>
            <w:bookmarkEnd w:id="1673"/>
            <w:bookmarkEnd w:id="1674"/>
          </w:p>
        </w:tc>
      </w:tr>
      <w:tr w14:paraId="5676D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4" w:hRule="atLeast"/>
          <w:tblHeader/>
        </w:trPr>
        <w:tc>
          <w:tcPr>
            <w:tcW w:w="426" w:type="dxa"/>
            <w:vMerge w:val="continue"/>
            <w:tcBorders>
              <w:tl2br w:val="nil"/>
              <w:tr2bl w:val="nil"/>
            </w:tcBorders>
            <w:vAlign w:val="center"/>
          </w:tcPr>
          <w:p w14:paraId="21544F1A">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141" w:type="dxa"/>
            <w:vMerge w:val="restart"/>
            <w:tcBorders>
              <w:tl2br w:val="nil"/>
              <w:tr2bl w:val="nil"/>
            </w:tcBorders>
            <w:vAlign w:val="center"/>
          </w:tcPr>
          <w:p w14:paraId="04B1E871">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75" w:name="_Toc28544"/>
            <w:bookmarkStart w:id="1676" w:name="_Toc12454"/>
            <w:bookmarkStart w:id="1677" w:name="_Toc8805"/>
            <w:bookmarkStart w:id="1678" w:name="_Toc5040"/>
            <w:bookmarkStart w:id="1679" w:name="_Toc32429"/>
            <w:r>
              <w:rPr>
                <w:rFonts w:hint="default" w:ascii="Times New Roman" w:hAnsi="Times New Roman" w:cs="Times New Roman"/>
                <w:b/>
                <w:bCs/>
                <w:color w:val="auto"/>
                <w:sz w:val="21"/>
                <w:szCs w:val="21"/>
                <w:highlight w:val="none"/>
              </w:rPr>
              <w:t>年径流量与总库容百分比α</w:t>
            </w:r>
            <w:bookmarkEnd w:id="1675"/>
            <w:bookmarkEnd w:id="1676"/>
            <w:bookmarkEnd w:id="1677"/>
            <w:bookmarkEnd w:id="1678"/>
            <w:bookmarkEnd w:id="1679"/>
          </w:p>
        </w:tc>
        <w:tc>
          <w:tcPr>
            <w:tcW w:w="1322" w:type="dxa"/>
            <w:vMerge w:val="restart"/>
            <w:tcBorders>
              <w:tl2br w:val="nil"/>
              <w:tr2bl w:val="nil"/>
            </w:tcBorders>
            <w:vAlign w:val="center"/>
          </w:tcPr>
          <w:p w14:paraId="26BE6544">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80" w:name="_Toc20807"/>
            <w:bookmarkStart w:id="1681" w:name="_Toc576"/>
            <w:bookmarkStart w:id="1682" w:name="_Toc23742"/>
            <w:bookmarkStart w:id="1683" w:name="_Toc26611"/>
            <w:bookmarkStart w:id="1684" w:name="_Toc18589"/>
            <w:r>
              <w:rPr>
                <w:rFonts w:hint="default" w:ascii="Times New Roman" w:hAnsi="Times New Roman" w:cs="Times New Roman"/>
                <w:b/>
                <w:bCs/>
                <w:color w:val="auto"/>
                <w:sz w:val="21"/>
                <w:szCs w:val="21"/>
                <w:highlight w:val="none"/>
              </w:rPr>
              <w:t>兴利库容与年径流量百分比β/%</w:t>
            </w:r>
            <w:bookmarkEnd w:id="1680"/>
            <w:bookmarkEnd w:id="1681"/>
            <w:bookmarkEnd w:id="1682"/>
            <w:bookmarkEnd w:id="1683"/>
            <w:bookmarkEnd w:id="1684"/>
          </w:p>
        </w:tc>
        <w:tc>
          <w:tcPr>
            <w:tcW w:w="1153" w:type="dxa"/>
            <w:vMerge w:val="restart"/>
            <w:tcBorders>
              <w:tl2br w:val="nil"/>
              <w:tr2bl w:val="nil"/>
            </w:tcBorders>
            <w:vAlign w:val="center"/>
          </w:tcPr>
          <w:p w14:paraId="0A716D9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85" w:name="_Toc22355"/>
            <w:bookmarkStart w:id="1686" w:name="_Toc12932"/>
            <w:bookmarkStart w:id="1687" w:name="_Toc13615"/>
            <w:bookmarkStart w:id="1688" w:name="_Toc2838"/>
            <w:bookmarkStart w:id="1689" w:name="_Toc9587"/>
            <w:r>
              <w:rPr>
                <w:rFonts w:hint="default" w:ascii="Times New Roman" w:hAnsi="Times New Roman" w:cs="Times New Roman"/>
                <w:b/>
                <w:bCs/>
                <w:color w:val="auto"/>
                <w:sz w:val="21"/>
                <w:szCs w:val="21"/>
                <w:highlight w:val="none"/>
              </w:rPr>
              <w:t>取水量占多年平均径流量百</w:t>
            </w:r>
            <w:bookmarkEnd w:id="1685"/>
            <w:bookmarkEnd w:id="1686"/>
            <w:bookmarkEnd w:id="1687"/>
            <w:bookmarkEnd w:id="1688"/>
            <w:bookmarkEnd w:id="1689"/>
          </w:p>
          <w:p w14:paraId="257BB57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90" w:name="_Toc31146"/>
            <w:bookmarkStart w:id="1691" w:name="_Toc18097"/>
            <w:bookmarkStart w:id="1692" w:name="_Toc26449"/>
            <w:bookmarkStart w:id="1693" w:name="_Toc6969"/>
            <w:bookmarkStart w:id="1694" w:name="_Toc3720"/>
            <w:r>
              <w:rPr>
                <w:rFonts w:hint="default" w:ascii="Times New Roman" w:hAnsi="Times New Roman" w:cs="Times New Roman"/>
                <w:b/>
                <w:bCs/>
                <w:color w:val="auto"/>
                <w:sz w:val="21"/>
                <w:szCs w:val="21"/>
                <w:highlight w:val="none"/>
              </w:rPr>
              <w:t>分比γ</w:t>
            </w:r>
            <w:bookmarkEnd w:id="1690"/>
            <w:bookmarkEnd w:id="1691"/>
            <w:bookmarkEnd w:id="1692"/>
            <w:bookmarkEnd w:id="1693"/>
            <w:bookmarkEnd w:id="1694"/>
          </w:p>
          <w:p w14:paraId="39AE4076">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695" w:name="_Toc22894"/>
            <w:bookmarkStart w:id="1696" w:name="_Toc1257"/>
            <w:bookmarkStart w:id="1697" w:name="_Toc28236"/>
            <w:bookmarkStart w:id="1698" w:name="_Toc9669"/>
            <w:bookmarkStart w:id="1699" w:name="_Toc25648"/>
            <w:r>
              <w:rPr>
                <w:rFonts w:hint="default" w:ascii="Times New Roman" w:hAnsi="Times New Roman" w:cs="Times New Roman"/>
                <w:b/>
                <w:bCs/>
                <w:color w:val="auto"/>
                <w:sz w:val="21"/>
                <w:szCs w:val="21"/>
                <w:highlight w:val="none"/>
              </w:rPr>
              <w:t>/%</w:t>
            </w:r>
            <w:bookmarkEnd w:id="1695"/>
            <w:bookmarkEnd w:id="1696"/>
            <w:bookmarkEnd w:id="1697"/>
            <w:bookmarkEnd w:id="1698"/>
            <w:bookmarkEnd w:id="1699"/>
          </w:p>
        </w:tc>
        <w:tc>
          <w:tcPr>
            <w:tcW w:w="2690" w:type="dxa"/>
            <w:gridSpan w:val="2"/>
            <w:tcBorders>
              <w:tl2br w:val="nil"/>
              <w:tr2bl w:val="nil"/>
            </w:tcBorders>
            <w:vAlign w:val="center"/>
          </w:tcPr>
          <w:p w14:paraId="1AA89151">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700" w:name="_Toc14558"/>
            <w:bookmarkStart w:id="1701" w:name="_Toc9568"/>
            <w:bookmarkStart w:id="1702" w:name="_Toc31908"/>
            <w:bookmarkStart w:id="1703" w:name="_Toc7879"/>
            <w:bookmarkStart w:id="1704" w:name="_Toc22668"/>
            <w:r>
              <w:rPr>
                <w:rFonts w:hint="default" w:ascii="Times New Roman" w:hAnsi="Times New Roman" w:cs="Times New Roman"/>
                <w:b/>
                <w:bCs/>
                <w:color w:val="auto"/>
                <w:sz w:val="21"/>
                <w:szCs w:val="21"/>
                <w:highlight w:val="none"/>
              </w:rPr>
              <w:t>工程垂直投影面积及外扩范围A1/km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；工程扰动水底面积A2/km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；过水断面宽度占用比例或占用水域面积比例R/%</w:t>
            </w:r>
            <w:bookmarkEnd w:id="1700"/>
            <w:bookmarkEnd w:id="1701"/>
            <w:bookmarkEnd w:id="1702"/>
            <w:bookmarkEnd w:id="1703"/>
            <w:bookmarkEnd w:id="1704"/>
          </w:p>
        </w:tc>
        <w:tc>
          <w:tcPr>
            <w:tcW w:w="1790" w:type="dxa"/>
            <w:tcBorders>
              <w:tl2br w:val="nil"/>
              <w:tr2bl w:val="nil"/>
            </w:tcBorders>
            <w:vAlign w:val="center"/>
          </w:tcPr>
          <w:p w14:paraId="4CD7BAE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705" w:name="_Toc839"/>
            <w:bookmarkStart w:id="1706" w:name="_Toc25441"/>
            <w:bookmarkStart w:id="1707" w:name="_Toc29275"/>
            <w:bookmarkStart w:id="1708" w:name="_Toc32536"/>
            <w:bookmarkStart w:id="1709" w:name="_Toc19779"/>
            <w:r>
              <w:rPr>
                <w:rFonts w:hint="default" w:ascii="Times New Roman" w:hAnsi="Times New Roman" w:cs="Times New Roman"/>
                <w:b/>
                <w:bCs/>
                <w:color w:val="auto"/>
                <w:sz w:val="21"/>
                <w:szCs w:val="21"/>
                <w:highlight w:val="none"/>
              </w:rPr>
              <w:t>工程垂直投影面积及外扩范围A1/km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；工程扰动水底面积A2/km</w:t>
            </w:r>
            <w:r>
              <w:rPr>
                <w:rFonts w:hint="default" w:ascii="Times New Roman" w:hAnsi="Times New Roman" w:cs="Times New Roman"/>
                <w:b/>
                <w:bCs/>
                <w:color w:val="auto"/>
                <w:sz w:val="21"/>
                <w:szCs w:val="21"/>
                <w:highlight w:val="none"/>
                <w:vertAlign w:val="superscript"/>
              </w:rPr>
              <w:t>2</w:t>
            </w:r>
            <w:bookmarkEnd w:id="1705"/>
            <w:bookmarkEnd w:id="1706"/>
            <w:bookmarkEnd w:id="1707"/>
            <w:bookmarkEnd w:id="1708"/>
            <w:bookmarkEnd w:id="1709"/>
          </w:p>
        </w:tc>
      </w:tr>
      <w:tr w14:paraId="33FEB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426" w:type="dxa"/>
            <w:vMerge w:val="continue"/>
            <w:tcBorders>
              <w:tl2br w:val="nil"/>
              <w:tr2bl w:val="nil"/>
            </w:tcBorders>
            <w:vAlign w:val="center"/>
          </w:tcPr>
          <w:p w14:paraId="51EBC735">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141" w:type="dxa"/>
            <w:vMerge w:val="continue"/>
            <w:tcBorders>
              <w:tl2br w:val="nil"/>
              <w:tr2bl w:val="nil"/>
            </w:tcBorders>
            <w:vAlign w:val="center"/>
          </w:tcPr>
          <w:p w14:paraId="378E0454">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322" w:type="dxa"/>
            <w:vMerge w:val="continue"/>
            <w:tcBorders>
              <w:tl2br w:val="nil"/>
              <w:tr2bl w:val="nil"/>
            </w:tcBorders>
            <w:vAlign w:val="center"/>
          </w:tcPr>
          <w:p w14:paraId="459EBC9B">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153" w:type="dxa"/>
            <w:vMerge w:val="continue"/>
            <w:tcBorders>
              <w:tl2br w:val="nil"/>
              <w:tr2bl w:val="nil"/>
            </w:tcBorders>
            <w:vAlign w:val="center"/>
          </w:tcPr>
          <w:p w14:paraId="5DEA7ADF">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1332" w:type="dxa"/>
            <w:tcBorders>
              <w:tl2br w:val="nil"/>
              <w:tr2bl w:val="nil"/>
            </w:tcBorders>
            <w:vAlign w:val="center"/>
          </w:tcPr>
          <w:p w14:paraId="5134918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710" w:name="_Toc6869"/>
            <w:bookmarkStart w:id="1711" w:name="_Toc26420"/>
            <w:bookmarkStart w:id="1712" w:name="_Toc16406"/>
            <w:bookmarkStart w:id="1713" w:name="_Toc27510"/>
            <w:bookmarkStart w:id="1714" w:name="_Toc13365"/>
            <w:r>
              <w:rPr>
                <w:rFonts w:hint="default" w:ascii="Times New Roman" w:hAnsi="Times New Roman" w:cs="Times New Roman"/>
                <w:b/>
                <w:bCs/>
                <w:color w:val="auto"/>
                <w:sz w:val="21"/>
                <w:szCs w:val="21"/>
                <w:highlight w:val="none"/>
              </w:rPr>
              <w:t>河流</w:t>
            </w:r>
            <w:bookmarkEnd w:id="1710"/>
            <w:bookmarkEnd w:id="1711"/>
            <w:bookmarkEnd w:id="1712"/>
            <w:bookmarkEnd w:id="1713"/>
            <w:bookmarkEnd w:id="1714"/>
          </w:p>
        </w:tc>
        <w:tc>
          <w:tcPr>
            <w:tcW w:w="1358" w:type="dxa"/>
            <w:tcBorders>
              <w:tl2br w:val="nil"/>
              <w:tr2bl w:val="nil"/>
            </w:tcBorders>
            <w:vAlign w:val="center"/>
          </w:tcPr>
          <w:p w14:paraId="0E8916C4">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715" w:name="_Toc11099"/>
            <w:bookmarkStart w:id="1716" w:name="_Toc21380"/>
            <w:bookmarkStart w:id="1717" w:name="_Toc29816"/>
            <w:bookmarkStart w:id="1718" w:name="_Toc24176"/>
            <w:bookmarkStart w:id="1719" w:name="_Toc14503"/>
            <w:r>
              <w:rPr>
                <w:rFonts w:hint="default" w:ascii="Times New Roman" w:hAnsi="Times New Roman" w:cs="Times New Roman"/>
                <w:b/>
                <w:bCs/>
                <w:color w:val="auto"/>
                <w:sz w:val="21"/>
                <w:szCs w:val="21"/>
                <w:highlight w:val="none"/>
              </w:rPr>
              <w:t>湖库</w:t>
            </w:r>
            <w:bookmarkEnd w:id="1715"/>
            <w:bookmarkEnd w:id="1716"/>
            <w:bookmarkEnd w:id="1717"/>
            <w:bookmarkEnd w:id="1718"/>
            <w:bookmarkEnd w:id="1719"/>
          </w:p>
        </w:tc>
        <w:tc>
          <w:tcPr>
            <w:tcW w:w="1790" w:type="dxa"/>
            <w:tcBorders>
              <w:tl2br w:val="nil"/>
              <w:tr2bl w:val="nil"/>
            </w:tcBorders>
            <w:vAlign w:val="center"/>
          </w:tcPr>
          <w:p w14:paraId="189C2EF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720" w:name="_Toc24170"/>
            <w:bookmarkStart w:id="1721" w:name="_Toc12116"/>
            <w:bookmarkStart w:id="1722" w:name="_Toc30982"/>
            <w:bookmarkStart w:id="1723" w:name="_Toc27352"/>
            <w:bookmarkStart w:id="1724" w:name="_Toc30825"/>
            <w:r>
              <w:rPr>
                <w:rFonts w:hint="default" w:ascii="Times New Roman" w:hAnsi="Times New Roman" w:cs="Times New Roman"/>
                <w:b/>
                <w:bCs/>
                <w:color w:val="auto"/>
                <w:sz w:val="21"/>
                <w:szCs w:val="21"/>
                <w:highlight w:val="none"/>
              </w:rPr>
              <w:t>入海河口、近岸海域</w:t>
            </w:r>
            <w:bookmarkEnd w:id="1720"/>
            <w:bookmarkEnd w:id="1721"/>
            <w:bookmarkEnd w:id="1722"/>
            <w:bookmarkEnd w:id="1723"/>
            <w:bookmarkEnd w:id="1724"/>
          </w:p>
        </w:tc>
      </w:tr>
      <w:tr w14:paraId="13F18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14:paraId="401EB3D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25" w:name="_Toc5072"/>
            <w:bookmarkStart w:id="1726" w:name="_Toc3389"/>
            <w:bookmarkStart w:id="1727" w:name="_Toc12573"/>
            <w:bookmarkStart w:id="1728" w:name="_Toc14465"/>
            <w:bookmarkStart w:id="1729" w:name="_Toc5745"/>
            <w:r>
              <w:rPr>
                <w:rFonts w:hint="default" w:ascii="Times New Roman" w:hAnsi="Times New Roman" w:cs="Times New Roman"/>
                <w:color w:val="auto"/>
                <w:sz w:val="21"/>
                <w:szCs w:val="21"/>
                <w:highlight w:val="none"/>
              </w:rPr>
              <w:t>一</w:t>
            </w:r>
            <w:bookmarkEnd w:id="1725"/>
            <w:bookmarkEnd w:id="1726"/>
            <w:bookmarkEnd w:id="1727"/>
            <w:bookmarkEnd w:id="1728"/>
            <w:bookmarkEnd w:id="1729"/>
          </w:p>
          <w:p w14:paraId="13E1A6F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30" w:name="_Toc14485"/>
            <w:bookmarkStart w:id="1731" w:name="_Toc15116"/>
            <w:bookmarkStart w:id="1732" w:name="_Toc24948"/>
            <w:bookmarkStart w:id="1733" w:name="_Toc25007"/>
            <w:bookmarkStart w:id="1734" w:name="_Toc5811"/>
            <w:r>
              <w:rPr>
                <w:rFonts w:hint="default" w:ascii="Times New Roman" w:hAnsi="Times New Roman" w:cs="Times New Roman"/>
                <w:color w:val="auto"/>
                <w:sz w:val="21"/>
                <w:szCs w:val="21"/>
                <w:highlight w:val="none"/>
              </w:rPr>
              <w:t>级</w:t>
            </w:r>
            <w:bookmarkEnd w:id="1730"/>
            <w:bookmarkEnd w:id="1731"/>
            <w:bookmarkEnd w:id="1732"/>
            <w:bookmarkEnd w:id="1733"/>
            <w:bookmarkEnd w:id="1734"/>
          </w:p>
        </w:tc>
        <w:tc>
          <w:tcPr>
            <w:tcW w:w="1141" w:type="dxa"/>
            <w:tcBorders>
              <w:tl2br w:val="nil"/>
              <w:tr2bl w:val="nil"/>
            </w:tcBorders>
            <w:vAlign w:val="center"/>
          </w:tcPr>
          <w:p w14:paraId="07E3F18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35" w:name="_Toc3305"/>
            <w:bookmarkStart w:id="1736" w:name="_Toc32039"/>
            <w:bookmarkStart w:id="1737" w:name="_Toc26666"/>
            <w:bookmarkStart w:id="1738" w:name="_Toc7857"/>
            <w:bookmarkStart w:id="1739" w:name="_Toc2317"/>
            <w:r>
              <w:rPr>
                <w:rFonts w:hint="default" w:ascii="Times New Roman" w:hAnsi="Times New Roman" w:cs="Times New Roman"/>
                <w:color w:val="auto"/>
                <w:sz w:val="21"/>
                <w:szCs w:val="21"/>
                <w:highlight w:val="none"/>
              </w:rPr>
              <w:t>α≤10；或稳定分层</w:t>
            </w:r>
            <w:bookmarkEnd w:id="1735"/>
            <w:bookmarkEnd w:id="1736"/>
            <w:bookmarkEnd w:id="1737"/>
            <w:bookmarkEnd w:id="1738"/>
            <w:bookmarkEnd w:id="1739"/>
          </w:p>
        </w:tc>
        <w:tc>
          <w:tcPr>
            <w:tcW w:w="1322" w:type="dxa"/>
            <w:tcBorders>
              <w:tl2br w:val="nil"/>
              <w:tr2bl w:val="nil"/>
            </w:tcBorders>
            <w:vAlign w:val="center"/>
          </w:tcPr>
          <w:p w14:paraId="2566D14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40" w:name="_Toc13293"/>
            <w:bookmarkStart w:id="1741" w:name="_Toc16186"/>
            <w:bookmarkStart w:id="1742" w:name="_Toc23087"/>
            <w:bookmarkStart w:id="1743" w:name="_Toc4623"/>
            <w:bookmarkStart w:id="1744" w:name="_Toc19711"/>
            <w:r>
              <w:rPr>
                <w:rFonts w:hint="default" w:ascii="Times New Roman" w:hAnsi="Times New Roman" w:cs="Times New Roman"/>
                <w:color w:val="auto"/>
                <w:sz w:val="21"/>
                <w:szCs w:val="21"/>
                <w:highlight w:val="none"/>
              </w:rPr>
              <w:t>β≥20；或完</w:t>
            </w:r>
            <w:bookmarkEnd w:id="1740"/>
            <w:bookmarkEnd w:id="1741"/>
            <w:bookmarkEnd w:id="1742"/>
            <w:bookmarkEnd w:id="1743"/>
            <w:bookmarkEnd w:id="1744"/>
          </w:p>
          <w:p w14:paraId="0B2DE4B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45" w:name="_Toc20428"/>
            <w:bookmarkStart w:id="1746" w:name="_Toc27271"/>
            <w:bookmarkStart w:id="1747" w:name="_Toc430"/>
            <w:bookmarkStart w:id="1748" w:name="_Toc31392"/>
            <w:bookmarkStart w:id="1749" w:name="_Toc3851"/>
            <w:r>
              <w:rPr>
                <w:rFonts w:hint="default" w:ascii="Times New Roman" w:hAnsi="Times New Roman" w:cs="Times New Roman"/>
                <w:color w:val="auto"/>
                <w:sz w:val="21"/>
                <w:szCs w:val="21"/>
                <w:highlight w:val="none"/>
              </w:rPr>
              <w:t>全年调节与</w:t>
            </w:r>
            <w:bookmarkEnd w:id="1745"/>
            <w:bookmarkEnd w:id="1746"/>
            <w:bookmarkEnd w:id="1747"/>
            <w:bookmarkEnd w:id="1748"/>
            <w:bookmarkEnd w:id="1749"/>
          </w:p>
          <w:p w14:paraId="604F09F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50" w:name="_Toc26669"/>
            <w:bookmarkStart w:id="1751" w:name="_Toc21879"/>
            <w:bookmarkStart w:id="1752" w:name="_Toc2968"/>
            <w:bookmarkStart w:id="1753" w:name="_Toc15185"/>
            <w:bookmarkStart w:id="1754" w:name="_Toc25094"/>
            <w:r>
              <w:rPr>
                <w:rFonts w:hint="default" w:ascii="Times New Roman" w:hAnsi="Times New Roman" w:cs="Times New Roman"/>
                <w:color w:val="auto"/>
                <w:sz w:val="21"/>
                <w:szCs w:val="21"/>
                <w:highlight w:val="none"/>
              </w:rPr>
              <w:t>多年调节</w:t>
            </w:r>
            <w:bookmarkEnd w:id="1750"/>
            <w:bookmarkEnd w:id="1751"/>
            <w:bookmarkEnd w:id="1752"/>
            <w:bookmarkEnd w:id="1753"/>
            <w:bookmarkEnd w:id="1754"/>
          </w:p>
        </w:tc>
        <w:tc>
          <w:tcPr>
            <w:tcW w:w="1153" w:type="dxa"/>
            <w:tcBorders>
              <w:tl2br w:val="nil"/>
              <w:tr2bl w:val="nil"/>
            </w:tcBorders>
            <w:vAlign w:val="center"/>
          </w:tcPr>
          <w:p w14:paraId="44A2090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55" w:name="_Toc8493"/>
            <w:bookmarkStart w:id="1756" w:name="_Toc11401"/>
            <w:bookmarkStart w:id="1757" w:name="_Toc23077"/>
            <w:bookmarkStart w:id="1758" w:name="_Toc17074"/>
            <w:bookmarkStart w:id="1759" w:name="_Toc18066"/>
            <w:r>
              <w:rPr>
                <w:rFonts w:hint="default" w:ascii="Times New Roman" w:hAnsi="Times New Roman" w:cs="Times New Roman"/>
                <w:color w:val="auto"/>
                <w:sz w:val="21"/>
                <w:szCs w:val="21"/>
                <w:highlight w:val="none"/>
              </w:rPr>
              <w:t>γ≥30</w:t>
            </w:r>
            <w:bookmarkEnd w:id="1755"/>
            <w:bookmarkEnd w:id="1756"/>
            <w:bookmarkEnd w:id="1757"/>
            <w:bookmarkEnd w:id="1758"/>
            <w:bookmarkEnd w:id="1759"/>
          </w:p>
        </w:tc>
        <w:tc>
          <w:tcPr>
            <w:tcW w:w="1332" w:type="dxa"/>
            <w:tcBorders>
              <w:tl2br w:val="nil"/>
              <w:tr2bl w:val="nil"/>
            </w:tcBorders>
            <w:vAlign w:val="center"/>
          </w:tcPr>
          <w:p w14:paraId="4158ABF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60" w:name="_Toc4429"/>
            <w:bookmarkStart w:id="1761" w:name="_Toc1455"/>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≥0.3；或</w:t>
            </w:r>
            <w:bookmarkEnd w:id="1760"/>
            <w:bookmarkEnd w:id="1761"/>
          </w:p>
          <w:p w14:paraId="6D56C036">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762" w:name="_Toc30772"/>
            <w:bookmarkStart w:id="1763" w:name="_Toc26642"/>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≥1.5；或</w:t>
            </w:r>
            <w:r>
              <w:rPr>
                <w:rFonts w:hint="default" w:ascii="Times New Roman" w:hAnsi="Times New Roman" w:cs="Times New Roman"/>
                <w:i/>
                <w:iCs/>
                <w:color w:val="auto"/>
                <w:sz w:val="21"/>
                <w:szCs w:val="21"/>
                <w:highlight w:val="none"/>
              </w:rPr>
              <w:t>R</w:t>
            </w:r>
            <w:r>
              <w:rPr>
                <w:rFonts w:hint="default" w:ascii="Times New Roman" w:hAnsi="Times New Roman" w:cs="Times New Roman"/>
                <w:color w:val="auto"/>
                <w:sz w:val="21"/>
                <w:szCs w:val="21"/>
                <w:highlight w:val="none"/>
              </w:rPr>
              <w:t>≥10</w:t>
            </w:r>
            <w:bookmarkEnd w:id="1762"/>
            <w:bookmarkEnd w:id="1763"/>
          </w:p>
        </w:tc>
        <w:tc>
          <w:tcPr>
            <w:tcW w:w="1358" w:type="dxa"/>
            <w:tcBorders>
              <w:tl2br w:val="nil"/>
              <w:tr2bl w:val="nil"/>
            </w:tcBorders>
            <w:vAlign w:val="center"/>
          </w:tcPr>
          <w:p w14:paraId="5ACAB742">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764" w:name="_Toc20779"/>
            <w:bookmarkStart w:id="1765" w:name="_Toc7636"/>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≥0.3；或</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≥1.5；或</w:t>
            </w:r>
            <w:r>
              <w:rPr>
                <w:rFonts w:hint="default" w:ascii="Times New Roman" w:hAnsi="Times New Roman" w:cs="Times New Roman"/>
                <w:i/>
                <w:iCs/>
                <w:color w:val="auto"/>
                <w:sz w:val="21"/>
                <w:szCs w:val="21"/>
                <w:highlight w:val="none"/>
              </w:rPr>
              <w:t>R</w:t>
            </w:r>
            <w:r>
              <w:rPr>
                <w:rFonts w:hint="default" w:ascii="Times New Roman" w:hAnsi="Times New Roman" w:cs="Times New Roman"/>
                <w:color w:val="auto"/>
                <w:sz w:val="21"/>
                <w:szCs w:val="21"/>
                <w:highlight w:val="none"/>
              </w:rPr>
              <w:t>≥20</w:t>
            </w:r>
            <w:bookmarkEnd w:id="1764"/>
            <w:bookmarkEnd w:id="1765"/>
          </w:p>
        </w:tc>
        <w:tc>
          <w:tcPr>
            <w:tcW w:w="1790" w:type="dxa"/>
            <w:tcBorders>
              <w:tl2br w:val="nil"/>
              <w:tr2bl w:val="nil"/>
            </w:tcBorders>
            <w:vAlign w:val="center"/>
          </w:tcPr>
          <w:p w14:paraId="5473C826">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766" w:name="_Toc20717"/>
            <w:bookmarkStart w:id="1767" w:name="_Toc17634"/>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≥0.5；或</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≥3</w:t>
            </w:r>
            <w:bookmarkEnd w:id="1766"/>
            <w:bookmarkEnd w:id="1767"/>
          </w:p>
        </w:tc>
      </w:tr>
      <w:tr w14:paraId="7A4A1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14:paraId="384DFEC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68" w:name="_Toc31960"/>
            <w:bookmarkStart w:id="1769" w:name="_Toc5929"/>
            <w:bookmarkStart w:id="1770" w:name="_Toc32086"/>
            <w:bookmarkStart w:id="1771" w:name="_Toc18070"/>
            <w:bookmarkStart w:id="1772" w:name="_Toc28340"/>
            <w:r>
              <w:rPr>
                <w:rFonts w:hint="default" w:ascii="Times New Roman" w:hAnsi="Times New Roman" w:cs="Times New Roman"/>
                <w:color w:val="auto"/>
                <w:sz w:val="21"/>
                <w:szCs w:val="21"/>
                <w:highlight w:val="none"/>
              </w:rPr>
              <w:t>二级</w:t>
            </w:r>
            <w:bookmarkEnd w:id="1768"/>
            <w:bookmarkEnd w:id="1769"/>
            <w:bookmarkEnd w:id="1770"/>
            <w:bookmarkEnd w:id="1771"/>
            <w:bookmarkEnd w:id="1772"/>
          </w:p>
        </w:tc>
        <w:tc>
          <w:tcPr>
            <w:tcW w:w="1141" w:type="dxa"/>
            <w:tcBorders>
              <w:tl2br w:val="nil"/>
              <w:tr2bl w:val="nil"/>
            </w:tcBorders>
            <w:vAlign w:val="center"/>
          </w:tcPr>
          <w:p w14:paraId="294E5C5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73" w:name="_Toc647"/>
            <w:bookmarkStart w:id="1774" w:name="_Toc25716"/>
            <w:bookmarkStart w:id="1775" w:name="_Toc5017"/>
            <w:bookmarkStart w:id="1776" w:name="_Toc10976"/>
            <w:bookmarkStart w:id="1777" w:name="_Toc10092"/>
            <w:r>
              <w:rPr>
                <w:rFonts w:hint="default" w:ascii="Times New Roman" w:hAnsi="Times New Roman" w:cs="Times New Roman"/>
                <w:color w:val="auto"/>
                <w:sz w:val="21"/>
                <w:szCs w:val="21"/>
                <w:highlight w:val="none"/>
              </w:rPr>
              <w:t>20</w:t>
            </w:r>
            <w:r>
              <w:rPr>
                <w:rFonts w:hint="eastAsia" w:cs="Times New Roman"/>
                <w:color w:val="auto"/>
                <w:sz w:val="21"/>
                <w:szCs w:val="21"/>
                <w:highlight w:val="none"/>
                <w:lang w:eastAsia="zh-CN"/>
              </w:rPr>
              <w:t>&gt;</w:t>
            </w:r>
            <w:r>
              <w:rPr>
                <w:rFonts w:hint="default" w:ascii="Times New Roman" w:hAnsi="Times New Roman" w:cs="Times New Roman"/>
                <w:color w:val="auto"/>
                <w:sz w:val="21"/>
                <w:szCs w:val="21"/>
                <w:highlight w:val="none"/>
              </w:rPr>
              <w:t>α</w:t>
            </w:r>
            <w:r>
              <w:rPr>
                <w:rFonts w:hint="eastAsia" w:cs="Times New Roman"/>
                <w:color w:val="auto"/>
                <w:sz w:val="21"/>
                <w:szCs w:val="21"/>
                <w:highlight w:val="none"/>
                <w:lang w:eastAsia="zh-CN"/>
              </w:rPr>
              <w:t>&gt;</w:t>
            </w:r>
            <w:bookmarkEnd w:id="1773"/>
            <w:bookmarkEnd w:id="1774"/>
            <w:bookmarkEnd w:id="1775"/>
            <w:bookmarkEnd w:id="1776"/>
            <w:bookmarkEnd w:id="1777"/>
          </w:p>
          <w:p w14:paraId="202E55B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78" w:name="_Toc2155"/>
            <w:bookmarkStart w:id="1779" w:name="_Toc10369"/>
            <w:bookmarkStart w:id="1780" w:name="_Toc30577"/>
            <w:bookmarkStart w:id="1781" w:name="_Toc29769"/>
            <w:bookmarkStart w:id="1782" w:name="_Toc26837"/>
            <w:r>
              <w:rPr>
                <w:rFonts w:hint="default" w:ascii="Times New Roman" w:hAnsi="Times New Roman" w:cs="Times New Roman"/>
                <w:color w:val="auto"/>
                <w:sz w:val="21"/>
                <w:szCs w:val="21"/>
                <w:highlight w:val="none"/>
              </w:rPr>
              <w:t>10；或不稳定分层</w:t>
            </w:r>
            <w:bookmarkEnd w:id="1778"/>
            <w:bookmarkEnd w:id="1779"/>
            <w:bookmarkEnd w:id="1780"/>
            <w:bookmarkEnd w:id="1781"/>
            <w:bookmarkEnd w:id="1782"/>
          </w:p>
        </w:tc>
        <w:tc>
          <w:tcPr>
            <w:tcW w:w="1322" w:type="dxa"/>
            <w:tcBorders>
              <w:tl2br w:val="nil"/>
              <w:tr2bl w:val="nil"/>
            </w:tcBorders>
            <w:vAlign w:val="center"/>
          </w:tcPr>
          <w:p w14:paraId="35F32B5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83" w:name="_Toc15378"/>
            <w:bookmarkStart w:id="1784" w:name="_Toc17841"/>
            <w:bookmarkStart w:id="1785" w:name="_Toc1120"/>
            <w:bookmarkStart w:id="1786" w:name="_Toc10139"/>
            <w:bookmarkStart w:id="1787" w:name="_Toc25852"/>
            <w:r>
              <w:rPr>
                <w:rFonts w:hint="default" w:ascii="Times New Roman" w:hAnsi="Times New Roman" w:cs="Times New Roman"/>
                <w:color w:val="auto"/>
                <w:sz w:val="21"/>
                <w:szCs w:val="21"/>
                <w:highlight w:val="none"/>
              </w:rPr>
              <w:t>20＞β＞2；或季调节与不完全年调节</w:t>
            </w:r>
            <w:bookmarkEnd w:id="1783"/>
            <w:bookmarkEnd w:id="1784"/>
            <w:bookmarkEnd w:id="1785"/>
            <w:bookmarkEnd w:id="1786"/>
            <w:bookmarkEnd w:id="1787"/>
          </w:p>
        </w:tc>
        <w:tc>
          <w:tcPr>
            <w:tcW w:w="1153" w:type="dxa"/>
            <w:tcBorders>
              <w:tl2br w:val="nil"/>
              <w:tr2bl w:val="nil"/>
            </w:tcBorders>
            <w:vAlign w:val="center"/>
          </w:tcPr>
          <w:p w14:paraId="0FBC579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88" w:name="_Toc29186"/>
            <w:bookmarkStart w:id="1789" w:name="_Toc26446"/>
            <w:bookmarkStart w:id="1790" w:name="_Toc15981"/>
            <w:bookmarkStart w:id="1791" w:name="_Toc22322"/>
            <w:bookmarkStart w:id="1792" w:name="_Toc13641"/>
            <w:r>
              <w:rPr>
                <w:rFonts w:hint="default" w:ascii="Times New Roman" w:hAnsi="Times New Roman" w:cs="Times New Roman"/>
                <w:color w:val="auto"/>
                <w:sz w:val="21"/>
                <w:szCs w:val="21"/>
                <w:highlight w:val="none"/>
              </w:rPr>
              <w:t>30</w:t>
            </w:r>
            <w:r>
              <w:rPr>
                <w:rFonts w:hint="eastAsia" w:cs="Times New Roman"/>
                <w:color w:val="auto"/>
                <w:sz w:val="21"/>
                <w:szCs w:val="21"/>
                <w:highlight w:val="none"/>
                <w:lang w:eastAsia="zh-CN"/>
              </w:rPr>
              <w:t>&gt;</w:t>
            </w:r>
            <w:r>
              <w:rPr>
                <w:rFonts w:hint="default" w:ascii="Times New Roman" w:hAnsi="Times New Roman" w:cs="Times New Roman"/>
                <w:color w:val="auto"/>
                <w:sz w:val="21"/>
                <w:szCs w:val="21"/>
                <w:highlight w:val="none"/>
              </w:rPr>
              <w:t>γ</w:t>
            </w:r>
            <w:r>
              <w:rPr>
                <w:rFonts w:hint="eastAsia" w:cs="Times New Roman"/>
                <w:color w:val="auto"/>
                <w:sz w:val="21"/>
                <w:szCs w:val="21"/>
                <w:highlight w:val="none"/>
                <w:lang w:eastAsia="zh-CN"/>
              </w:rPr>
              <w:t>&gt;</w:t>
            </w:r>
            <w:r>
              <w:rPr>
                <w:rFonts w:hint="default" w:ascii="Times New Roman" w:hAnsi="Times New Roman" w:cs="Times New Roman"/>
                <w:color w:val="auto"/>
                <w:sz w:val="21"/>
                <w:szCs w:val="21"/>
                <w:highlight w:val="none"/>
              </w:rPr>
              <w:t>10</w:t>
            </w:r>
            <w:bookmarkEnd w:id="1788"/>
            <w:bookmarkEnd w:id="1789"/>
            <w:bookmarkEnd w:id="1790"/>
            <w:bookmarkEnd w:id="1791"/>
            <w:bookmarkEnd w:id="1792"/>
          </w:p>
        </w:tc>
        <w:tc>
          <w:tcPr>
            <w:tcW w:w="1332" w:type="dxa"/>
            <w:tcBorders>
              <w:tl2br w:val="nil"/>
              <w:tr2bl w:val="nil"/>
            </w:tcBorders>
            <w:vAlign w:val="center"/>
          </w:tcPr>
          <w:p w14:paraId="2245B67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93" w:name="_Toc19184"/>
            <w:bookmarkStart w:id="1794" w:name="_Toc23270"/>
            <w:r>
              <w:rPr>
                <w:rFonts w:hint="default" w:ascii="Times New Roman" w:hAnsi="Times New Roman" w:cs="Times New Roman"/>
                <w:color w:val="auto"/>
                <w:sz w:val="21"/>
                <w:szCs w:val="21"/>
                <w:highlight w:val="none"/>
              </w:rPr>
              <w:t>0.3＞</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＞0.05；或</w:t>
            </w:r>
            <w:bookmarkEnd w:id="1793"/>
            <w:bookmarkEnd w:id="1794"/>
          </w:p>
          <w:p w14:paraId="5B9E346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95" w:name="_Toc32483"/>
            <w:bookmarkStart w:id="1796" w:name="_Toc27078"/>
            <w:r>
              <w:rPr>
                <w:rFonts w:hint="default" w:ascii="Times New Roman" w:hAnsi="Times New Roman" w:cs="Times New Roman"/>
                <w:color w:val="auto"/>
                <w:sz w:val="21"/>
                <w:szCs w:val="21"/>
                <w:highlight w:val="none"/>
              </w:rPr>
              <w:t>1.5＞</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＞0.2；或10</w:t>
            </w:r>
            <w:bookmarkEnd w:id="1795"/>
            <w:bookmarkEnd w:id="1796"/>
          </w:p>
          <w:p w14:paraId="0C957156">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797" w:name="_Toc9093"/>
            <w:bookmarkStart w:id="1798" w:name="_Toc31292"/>
            <w:r>
              <w:rPr>
                <w:rFonts w:hint="default" w:ascii="Times New Roman" w:hAnsi="Times New Roman" w:cs="Times New Roman"/>
                <w:color w:val="auto"/>
                <w:sz w:val="21"/>
                <w:szCs w:val="21"/>
                <w:highlight w:val="none"/>
              </w:rPr>
              <w:t>＞</w:t>
            </w:r>
            <w:r>
              <w:rPr>
                <w:rFonts w:hint="default" w:ascii="Times New Roman" w:hAnsi="Times New Roman" w:cs="Times New Roman"/>
                <w:i/>
                <w:iCs/>
                <w:color w:val="auto"/>
                <w:sz w:val="21"/>
                <w:szCs w:val="21"/>
                <w:highlight w:val="none"/>
              </w:rPr>
              <w:t>R</w:t>
            </w:r>
            <w:r>
              <w:rPr>
                <w:rFonts w:hint="default" w:ascii="Times New Roman" w:hAnsi="Times New Roman" w:cs="Times New Roman"/>
                <w:color w:val="auto"/>
                <w:sz w:val="21"/>
                <w:szCs w:val="21"/>
                <w:highlight w:val="none"/>
              </w:rPr>
              <w:t>＞5</w:t>
            </w:r>
            <w:bookmarkEnd w:id="1797"/>
            <w:bookmarkEnd w:id="1798"/>
          </w:p>
        </w:tc>
        <w:tc>
          <w:tcPr>
            <w:tcW w:w="1358" w:type="dxa"/>
            <w:tcBorders>
              <w:tl2br w:val="nil"/>
              <w:tr2bl w:val="nil"/>
            </w:tcBorders>
            <w:vAlign w:val="center"/>
          </w:tcPr>
          <w:p w14:paraId="2130789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799" w:name="_Toc6979"/>
            <w:bookmarkStart w:id="1800" w:name="_Toc8691"/>
            <w:r>
              <w:rPr>
                <w:rFonts w:hint="default" w:ascii="Times New Roman" w:hAnsi="Times New Roman" w:cs="Times New Roman"/>
                <w:color w:val="auto"/>
                <w:sz w:val="21"/>
                <w:szCs w:val="21"/>
                <w:highlight w:val="none"/>
              </w:rPr>
              <w:t>0.3＞</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＞0.05；或</w:t>
            </w:r>
            <w:bookmarkEnd w:id="1799"/>
            <w:bookmarkEnd w:id="1800"/>
          </w:p>
          <w:p w14:paraId="5ED6CAD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01" w:name="_Toc11518"/>
            <w:bookmarkStart w:id="1802" w:name="_Toc11903"/>
            <w:r>
              <w:rPr>
                <w:rFonts w:hint="default" w:ascii="Times New Roman" w:hAnsi="Times New Roman" w:cs="Times New Roman"/>
                <w:color w:val="auto"/>
                <w:sz w:val="21"/>
                <w:szCs w:val="21"/>
                <w:highlight w:val="none"/>
              </w:rPr>
              <w:t>1.5＞</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＞0.2；或</w:t>
            </w:r>
            <w:bookmarkEnd w:id="1801"/>
            <w:bookmarkEnd w:id="1802"/>
          </w:p>
          <w:p w14:paraId="0C789C7F">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803" w:name="_Toc25284"/>
            <w:bookmarkStart w:id="1804" w:name="_Toc19191"/>
            <w:r>
              <w:rPr>
                <w:rFonts w:hint="default" w:ascii="Times New Roman" w:hAnsi="Times New Roman" w:cs="Times New Roman"/>
                <w:color w:val="auto"/>
                <w:sz w:val="21"/>
                <w:szCs w:val="21"/>
                <w:highlight w:val="none"/>
              </w:rPr>
              <w:t>20＞</w:t>
            </w:r>
            <w:r>
              <w:rPr>
                <w:rFonts w:hint="default" w:ascii="Times New Roman" w:hAnsi="Times New Roman" w:cs="Times New Roman"/>
                <w:i/>
                <w:iCs/>
                <w:color w:val="auto"/>
                <w:sz w:val="21"/>
                <w:szCs w:val="21"/>
                <w:highlight w:val="none"/>
              </w:rPr>
              <w:t>R</w:t>
            </w:r>
            <w:r>
              <w:rPr>
                <w:rFonts w:hint="default" w:ascii="Times New Roman" w:hAnsi="Times New Roman" w:cs="Times New Roman"/>
                <w:color w:val="auto"/>
                <w:sz w:val="21"/>
                <w:szCs w:val="21"/>
                <w:highlight w:val="none"/>
              </w:rPr>
              <w:t>＞5</w:t>
            </w:r>
            <w:bookmarkEnd w:id="1803"/>
            <w:bookmarkEnd w:id="1804"/>
          </w:p>
        </w:tc>
        <w:tc>
          <w:tcPr>
            <w:tcW w:w="1790" w:type="dxa"/>
            <w:tcBorders>
              <w:tl2br w:val="nil"/>
              <w:tr2bl w:val="nil"/>
            </w:tcBorders>
            <w:vAlign w:val="center"/>
          </w:tcPr>
          <w:p w14:paraId="382E19F4">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805" w:name="_Toc24596"/>
            <w:bookmarkStart w:id="1806" w:name="_Toc1964"/>
            <w:r>
              <w:rPr>
                <w:rFonts w:hint="default" w:ascii="Times New Roman" w:hAnsi="Times New Roman" w:cs="Times New Roman"/>
                <w:color w:val="auto"/>
                <w:sz w:val="21"/>
                <w:szCs w:val="21"/>
                <w:highlight w:val="none"/>
              </w:rPr>
              <w:t>0.5＞</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＞0.15；或3＞</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＞0.5</w:t>
            </w:r>
            <w:bookmarkEnd w:id="1805"/>
            <w:bookmarkEnd w:id="1806"/>
          </w:p>
        </w:tc>
      </w:tr>
      <w:tr w14:paraId="3EFB6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vAlign w:val="center"/>
          </w:tcPr>
          <w:p w14:paraId="07AC850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07" w:name="_Toc20962"/>
            <w:bookmarkStart w:id="1808" w:name="_Toc4278"/>
            <w:bookmarkStart w:id="1809" w:name="_Toc7211"/>
            <w:bookmarkStart w:id="1810" w:name="_Toc5553"/>
            <w:bookmarkStart w:id="1811" w:name="_Toc23706"/>
            <w:r>
              <w:rPr>
                <w:rFonts w:hint="default" w:ascii="Times New Roman" w:hAnsi="Times New Roman" w:cs="Times New Roman"/>
                <w:color w:val="auto"/>
                <w:sz w:val="21"/>
                <w:szCs w:val="21"/>
                <w:highlight w:val="none"/>
              </w:rPr>
              <w:t>三</w:t>
            </w:r>
            <w:bookmarkEnd w:id="1807"/>
            <w:bookmarkEnd w:id="1808"/>
            <w:bookmarkEnd w:id="1809"/>
            <w:bookmarkEnd w:id="1810"/>
            <w:bookmarkEnd w:id="1811"/>
          </w:p>
          <w:p w14:paraId="588FAD9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12" w:name="_Toc1195"/>
            <w:bookmarkStart w:id="1813" w:name="_Toc26490"/>
            <w:bookmarkStart w:id="1814" w:name="_Toc3629"/>
            <w:bookmarkStart w:id="1815" w:name="_Toc20370"/>
            <w:bookmarkStart w:id="1816" w:name="_Toc15114"/>
            <w:r>
              <w:rPr>
                <w:rFonts w:hint="default" w:ascii="Times New Roman" w:hAnsi="Times New Roman" w:cs="Times New Roman"/>
                <w:color w:val="auto"/>
                <w:sz w:val="21"/>
                <w:szCs w:val="21"/>
                <w:highlight w:val="none"/>
              </w:rPr>
              <w:t>级</w:t>
            </w:r>
            <w:bookmarkEnd w:id="1812"/>
            <w:bookmarkEnd w:id="1813"/>
            <w:bookmarkEnd w:id="1814"/>
            <w:bookmarkEnd w:id="1815"/>
            <w:bookmarkEnd w:id="1816"/>
          </w:p>
        </w:tc>
        <w:tc>
          <w:tcPr>
            <w:tcW w:w="1141" w:type="dxa"/>
            <w:tcBorders>
              <w:tl2br w:val="nil"/>
              <w:tr2bl w:val="nil"/>
            </w:tcBorders>
            <w:vAlign w:val="center"/>
          </w:tcPr>
          <w:p w14:paraId="782BDDB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17" w:name="_Toc4510"/>
            <w:bookmarkStart w:id="1818" w:name="_Toc29878"/>
            <w:bookmarkStart w:id="1819" w:name="_Toc9187"/>
            <w:bookmarkStart w:id="1820" w:name="_Toc3288"/>
            <w:bookmarkStart w:id="1821" w:name="_Toc13787"/>
            <w:r>
              <w:rPr>
                <w:rFonts w:hint="default" w:ascii="Times New Roman" w:hAnsi="Times New Roman" w:cs="Times New Roman"/>
                <w:color w:val="auto"/>
                <w:sz w:val="21"/>
                <w:szCs w:val="21"/>
                <w:highlight w:val="none"/>
              </w:rPr>
              <w:t>α≥20；或</w:t>
            </w:r>
            <w:bookmarkEnd w:id="1817"/>
            <w:bookmarkEnd w:id="1818"/>
            <w:bookmarkEnd w:id="1819"/>
            <w:bookmarkEnd w:id="1820"/>
            <w:bookmarkEnd w:id="1821"/>
          </w:p>
          <w:p w14:paraId="5AA1D3F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22" w:name="_Toc1350"/>
            <w:bookmarkStart w:id="1823" w:name="_Toc12003"/>
            <w:bookmarkStart w:id="1824" w:name="_Toc1414"/>
            <w:bookmarkStart w:id="1825" w:name="_Toc13696"/>
            <w:bookmarkStart w:id="1826" w:name="_Toc27217"/>
            <w:r>
              <w:rPr>
                <w:rFonts w:hint="default" w:ascii="Times New Roman" w:hAnsi="Times New Roman" w:cs="Times New Roman"/>
                <w:color w:val="auto"/>
                <w:sz w:val="21"/>
                <w:szCs w:val="21"/>
                <w:highlight w:val="none"/>
              </w:rPr>
              <w:t>混合型</w:t>
            </w:r>
            <w:bookmarkEnd w:id="1822"/>
            <w:bookmarkEnd w:id="1823"/>
            <w:bookmarkEnd w:id="1824"/>
            <w:bookmarkEnd w:id="1825"/>
            <w:bookmarkEnd w:id="1826"/>
          </w:p>
        </w:tc>
        <w:tc>
          <w:tcPr>
            <w:tcW w:w="1322" w:type="dxa"/>
            <w:tcBorders>
              <w:tl2br w:val="nil"/>
              <w:tr2bl w:val="nil"/>
            </w:tcBorders>
            <w:vAlign w:val="center"/>
          </w:tcPr>
          <w:p w14:paraId="1DB3FD2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27" w:name="_Toc6905"/>
            <w:bookmarkStart w:id="1828" w:name="_Toc26803"/>
            <w:bookmarkStart w:id="1829" w:name="_Toc12046"/>
            <w:bookmarkStart w:id="1830" w:name="_Toc4346"/>
            <w:bookmarkStart w:id="1831" w:name="_Toc28669"/>
            <w:r>
              <w:rPr>
                <w:rFonts w:hint="default" w:ascii="Times New Roman" w:hAnsi="Times New Roman" w:cs="Times New Roman"/>
                <w:color w:val="auto"/>
                <w:sz w:val="21"/>
                <w:szCs w:val="21"/>
                <w:highlight w:val="none"/>
              </w:rPr>
              <w:t>β≤2；或无调节</w:t>
            </w:r>
            <w:bookmarkEnd w:id="1827"/>
            <w:bookmarkEnd w:id="1828"/>
            <w:bookmarkEnd w:id="1829"/>
            <w:bookmarkEnd w:id="1830"/>
            <w:bookmarkEnd w:id="1831"/>
          </w:p>
        </w:tc>
        <w:tc>
          <w:tcPr>
            <w:tcW w:w="1153" w:type="dxa"/>
            <w:tcBorders>
              <w:tl2br w:val="nil"/>
              <w:tr2bl w:val="nil"/>
            </w:tcBorders>
            <w:vAlign w:val="center"/>
          </w:tcPr>
          <w:p w14:paraId="43FDD98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32" w:name="_Toc16386"/>
            <w:bookmarkStart w:id="1833" w:name="_Toc719"/>
            <w:bookmarkStart w:id="1834" w:name="_Toc14105"/>
            <w:bookmarkStart w:id="1835" w:name="_Toc19111"/>
            <w:bookmarkStart w:id="1836" w:name="_Toc25948"/>
            <w:r>
              <w:rPr>
                <w:rFonts w:hint="default" w:ascii="Times New Roman" w:hAnsi="Times New Roman" w:cs="Times New Roman"/>
                <w:color w:val="auto"/>
                <w:sz w:val="21"/>
                <w:szCs w:val="21"/>
                <w:highlight w:val="none"/>
              </w:rPr>
              <w:t>γ≤10</w:t>
            </w:r>
            <w:bookmarkEnd w:id="1832"/>
            <w:bookmarkEnd w:id="1833"/>
            <w:bookmarkEnd w:id="1834"/>
            <w:bookmarkEnd w:id="1835"/>
            <w:bookmarkEnd w:id="1836"/>
          </w:p>
        </w:tc>
        <w:tc>
          <w:tcPr>
            <w:tcW w:w="1332" w:type="dxa"/>
            <w:tcBorders>
              <w:tl2br w:val="nil"/>
              <w:tr2bl w:val="nil"/>
            </w:tcBorders>
            <w:vAlign w:val="center"/>
          </w:tcPr>
          <w:p w14:paraId="543CF80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37" w:name="_Toc28080"/>
            <w:bookmarkStart w:id="1838" w:name="_Toc2844"/>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≤0.05；或</w:t>
            </w:r>
            <w:bookmarkEnd w:id="1837"/>
            <w:bookmarkEnd w:id="1838"/>
          </w:p>
          <w:p w14:paraId="4F2B27CA">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839" w:name="_Toc25219"/>
            <w:bookmarkStart w:id="1840" w:name="_Toc9190"/>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≤0.2；或</w:t>
            </w:r>
            <w:r>
              <w:rPr>
                <w:rFonts w:hint="default" w:ascii="Times New Roman" w:hAnsi="Times New Roman" w:cs="Times New Roman"/>
                <w:i/>
                <w:iCs/>
                <w:color w:val="auto"/>
                <w:sz w:val="21"/>
                <w:szCs w:val="21"/>
                <w:highlight w:val="none"/>
              </w:rPr>
              <w:t>R</w:t>
            </w:r>
            <w:r>
              <w:rPr>
                <w:rFonts w:hint="default" w:ascii="Times New Roman" w:hAnsi="Times New Roman" w:cs="Times New Roman"/>
                <w:color w:val="auto"/>
                <w:sz w:val="21"/>
                <w:szCs w:val="21"/>
                <w:highlight w:val="none"/>
              </w:rPr>
              <w:t>≤5</w:t>
            </w:r>
            <w:bookmarkEnd w:id="1839"/>
            <w:bookmarkEnd w:id="1840"/>
          </w:p>
        </w:tc>
        <w:tc>
          <w:tcPr>
            <w:tcW w:w="1358" w:type="dxa"/>
            <w:tcBorders>
              <w:tl2br w:val="nil"/>
              <w:tr2bl w:val="nil"/>
            </w:tcBorders>
            <w:vAlign w:val="center"/>
          </w:tcPr>
          <w:p w14:paraId="2A81BC8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41" w:name="_Toc17308"/>
            <w:bookmarkStart w:id="1842" w:name="_Toc24802"/>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≤0.05；或</w:t>
            </w:r>
            <w:bookmarkEnd w:id="1841"/>
            <w:bookmarkEnd w:id="1842"/>
          </w:p>
          <w:p w14:paraId="4A6F9B85">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843" w:name="_Toc25957"/>
            <w:bookmarkStart w:id="1844" w:name="_Toc30227"/>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≤0.2；或</w:t>
            </w:r>
            <w:r>
              <w:rPr>
                <w:rFonts w:hint="default" w:ascii="Times New Roman" w:hAnsi="Times New Roman" w:cs="Times New Roman"/>
                <w:i/>
                <w:iCs/>
                <w:color w:val="auto"/>
                <w:sz w:val="21"/>
                <w:szCs w:val="21"/>
                <w:highlight w:val="none"/>
              </w:rPr>
              <w:t>R</w:t>
            </w:r>
            <w:r>
              <w:rPr>
                <w:rFonts w:hint="default" w:ascii="Times New Roman" w:hAnsi="Times New Roman" w:cs="Times New Roman"/>
                <w:color w:val="auto"/>
                <w:sz w:val="21"/>
                <w:szCs w:val="21"/>
                <w:highlight w:val="none"/>
              </w:rPr>
              <w:t>≤5</w:t>
            </w:r>
            <w:bookmarkEnd w:id="1843"/>
            <w:bookmarkEnd w:id="1844"/>
          </w:p>
        </w:tc>
        <w:tc>
          <w:tcPr>
            <w:tcW w:w="1790" w:type="dxa"/>
            <w:tcBorders>
              <w:tl2br w:val="nil"/>
              <w:tr2bl w:val="nil"/>
            </w:tcBorders>
            <w:vAlign w:val="center"/>
          </w:tcPr>
          <w:p w14:paraId="05AC7A55">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1845" w:name="_Toc31319"/>
            <w:bookmarkStart w:id="1846" w:name="_Toc24134"/>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1</w:t>
            </w:r>
            <w:r>
              <w:rPr>
                <w:rFonts w:hint="default" w:ascii="Times New Roman" w:hAnsi="Times New Roman" w:cs="Times New Roman"/>
                <w:color w:val="auto"/>
                <w:sz w:val="21"/>
                <w:szCs w:val="21"/>
                <w:highlight w:val="none"/>
              </w:rPr>
              <w:t>≤0.15；或</w:t>
            </w:r>
            <w:r>
              <w:rPr>
                <w:rFonts w:hint="default" w:ascii="Times New Roman" w:hAnsi="Times New Roman" w:cs="Times New Roman"/>
                <w:i/>
                <w:iCs/>
                <w:color w:val="auto"/>
                <w:sz w:val="21"/>
                <w:szCs w:val="21"/>
                <w:highlight w:val="none"/>
              </w:rPr>
              <w:t>A</w:t>
            </w:r>
            <w:r>
              <w:rPr>
                <w:rFonts w:hint="default" w:ascii="Times New Roman" w:hAnsi="Times New Roman" w:cs="Times New Roman"/>
                <w:i/>
                <w:iCs/>
                <w:color w:val="auto"/>
                <w:sz w:val="21"/>
                <w:szCs w:val="21"/>
                <w:highlight w:val="none"/>
                <w:vertAlign w:val="subscript"/>
              </w:rPr>
              <w:t>2</w:t>
            </w:r>
            <w:r>
              <w:rPr>
                <w:rFonts w:hint="default" w:ascii="Times New Roman" w:hAnsi="Times New Roman" w:cs="Times New Roman"/>
                <w:color w:val="auto"/>
                <w:sz w:val="21"/>
                <w:szCs w:val="21"/>
                <w:highlight w:val="none"/>
              </w:rPr>
              <w:t>≤0.5</w:t>
            </w:r>
            <w:bookmarkEnd w:id="1845"/>
            <w:bookmarkEnd w:id="1846"/>
          </w:p>
        </w:tc>
      </w:tr>
    </w:tbl>
    <w:p w14:paraId="4AA105E4">
      <w:pP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本工程</w:t>
      </w:r>
      <w:r>
        <w:rPr>
          <w:rFonts w:hint="default" w:ascii="Times New Roman" w:hAnsi="Times New Roman" w:cs="Times New Roman"/>
          <w:color w:val="auto"/>
          <w:sz w:val="24"/>
          <w:szCs w:val="24"/>
          <w:highlight w:val="none"/>
          <w:lang w:val="en-US" w:eastAsia="zh-CN"/>
        </w:rPr>
        <w:t>为线性工程，一期工程（河道工程）与二期工程（水库工程）分期实施且分段实施，本次地表水分段进行评价。</w:t>
      </w:r>
    </w:p>
    <w:p w14:paraId="6D93D92E">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项目建设</w:t>
      </w:r>
      <w:r>
        <w:rPr>
          <w:rFonts w:hint="default" w:ascii="Times New Roman" w:hAnsi="Times New Roman" w:cs="Times New Roman"/>
          <w:snapToGrid w:val="0"/>
          <w:color w:val="auto"/>
          <w:sz w:val="24"/>
          <w:szCs w:val="24"/>
          <w:highlight w:val="none"/>
          <w:lang w:val="en-US" w:eastAsia="zh-CN"/>
        </w:rPr>
        <w:t>各工程均</w:t>
      </w:r>
      <w:r>
        <w:rPr>
          <w:rFonts w:hint="default" w:ascii="Times New Roman" w:hAnsi="Times New Roman" w:cs="Times New Roman"/>
          <w:snapToGrid w:val="0"/>
          <w:color w:val="auto"/>
          <w:sz w:val="24"/>
          <w:szCs w:val="24"/>
          <w:highlight w:val="none"/>
        </w:rPr>
        <w:t>不涉及水温</w:t>
      </w:r>
      <w:r>
        <w:rPr>
          <w:rFonts w:hint="default" w:ascii="Times New Roman" w:hAnsi="Times New Roman" w:cs="Times New Roman"/>
          <w:snapToGrid w:val="0"/>
          <w:color w:val="auto"/>
          <w:sz w:val="24"/>
          <w:szCs w:val="24"/>
          <w:highlight w:val="none"/>
          <w:lang w:val="en-US" w:eastAsia="zh-CN"/>
        </w:rPr>
        <w:t>及径流</w:t>
      </w:r>
      <w:r>
        <w:rPr>
          <w:rFonts w:hint="default" w:ascii="Times New Roman" w:hAnsi="Times New Roman" w:cs="Times New Roman"/>
          <w:snapToGrid w:val="0"/>
          <w:color w:val="auto"/>
          <w:sz w:val="24"/>
          <w:szCs w:val="24"/>
          <w:highlight w:val="none"/>
        </w:rPr>
        <w:t>影响</w:t>
      </w: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lang w:val="en-US" w:eastAsia="zh-CN"/>
        </w:rPr>
        <w:t>工程河道及水库清淤将扰动水底</w:t>
      </w:r>
      <w:r>
        <w:rPr>
          <w:rFonts w:hint="default" w:ascii="Times New Roman" w:hAnsi="Times New Roman" w:cs="Times New Roman"/>
          <w:snapToGrid w:val="0"/>
          <w:color w:val="auto"/>
          <w:sz w:val="24"/>
          <w:szCs w:val="24"/>
          <w:highlight w:val="none"/>
        </w:rPr>
        <w:t>，属</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受影响地表水域</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要素影响型。</w:t>
      </w:r>
    </w:p>
    <w:p w14:paraId="1246A6A8">
      <w:pPr>
        <w:rPr>
          <w:rFonts w:hint="default" w:ascii="Times New Roman" w:hAnsi="Times New Roman" w:eastAsia="宋体" w:cs="Times New Roman"/>
          <w:snapToGrid w:val="0"/>
          <w:color w:val="auto"/>
          <w:sz w:val="24"/>
          <w:szCs w:val="24"/>
          <w:highlight w:val="none"/>
          <w:vertAlign w:val="baseline"/>
          <w:lang w:val="en-US" w:eastAsia="zh-CN"/>
        </w:rPr>
      </w:pPr>
      <w:r>
        <w:rPr>
          <w:rFonts w:hint="default" w:ascii="Times New Roman" w:hAnsi="Times New Roman" w:cs="Times New Roman"/>
          <w:snapToGrid w:val="0"/>
          <w:color w:val="auto"/>
          <w:sz w:val="24"/>
          <w:szCs w:val="24"/>
          <w:highlight w:val="none"/>
          <w:lang w:val="en-US" w:eastAsia="zh-CN"/>
        </w:rPr>
        <w:t>水库：石头崾岘水库</w:t>
      </w:r>
      <w:r>
        <w:rPr>
          <w:rFonts w:hint="default" w:ascii="Times New Roman" w:hAnsi="Times New Roman" w:cs="Times New Roman"/>
          <w:color w:val="auto"/>
          <w:highlight w:val="none"/>
        </w:rPr>
        <w:t>清淤面积</w:t>
      </w:r>
      <w:r>
        <w:rPr>
          <w:rFonts w:hint="default" w:ascii="Times New Roman" w:hAnsi="Times New Roman" w:cs="Times New Roman"/>
          <w:i/>
          <w:iCs/>
          <w:color w:val="auto"/>
          <w:highlight w:val="none"/>
        </w:rPr>
        <w:t>A</w:t>
      </w:r>
      <w:r>
        <w:rPr>
          <w:rFonts w:hint="default" w:ascii="Times New Roman" w:hAnsi="Times New Roman" w:cs="Times New Roman"/>
          <w:i/>
          <w:iCs/>
          <w:color w:val="auto"/>
          <w:highlight w:val="none"/>
          <w:vertAlign w:val="subscript"/>
        </w:rPr>
        <w:t>2</w:t>
      </w:r>
      <w:r>
        <w:rPr>
          <w:rFonts w:hint="default" w:ascii="Times New Roman" w:hAnsi="Times New Roman" w:cs="Times New Roman"/>
          <w:color w:val="auto"/>
          <w:highlight w:val="none"/>
        </w:rPr>
        <w:t>为0.48</w:t>
      </w: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val="en-US" w:eastAsia="zh-CN"/>
        </w:rPr>
        <w:t>，</w:t>
      </w:r>
      <w:r>
        <w:rPr>
          <w:rFonts w:hint="default" w:ascii="Times New Roman" w:hAnsi="Times New Roman" w:eastAsia="宋体" w:cs="Times New Roman"/>
          <w:color w:val="auto"/>
          <w:highlight w:val="none"/>
        </w:rPr>
        <w:t>1.5＞</w:t>
      </w:r>
      <w:r>
        <w:rPr>
          <w:rFonts w:hint="default" w:ascii="Times New Roman" w:hAnsi="Times New Roman" w:eastAsia="宋体" w:cs="Times New Roman"/>
          <w:i/>
          <w:iCs/>
          <w:color w:val="auto"/>
          <w:highlight w:val="none"/>
        </w:rPr>
        <w:t>A</w:t>
      </w:r>
      <w:r>
        <w:rPr>
          <w:rFonts w:hint="default" w:ascii="Times New Roman" w:hAnsi="Times New Roman" w:eastAsia="宋体" w:cs="Times New Roman"/>
          <w:i/>
          <w:iCs/>
          <w:color w:val="auto"/>
          <w:highlight w:val="none"/>
          <w:vertAlign w:val="subscript"/>
        </w:rPr>
        <w:t>2</w:t>
      </w:r>
      <w:r>
        <w:rPr>
          <w:rFonts w:hint="default" w:ascii="Times New Roman" w:hAnsi="Times New Roman" w:eastAsia="宋体" w:cs="Times New Roman"/>
          <w:color w:val="auto"/>
          <w:highlight w:val="none"/>
        </w:rPr>
        <w:t>＞0.2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z w:val="24"/>
          <w:szCs w:val="24"/>
          <w:highlight w:val="none"/>
          <w:lang w:val="en-US" w:eastAsia="zh-CN"/>
        </w:rPr>
        <w:t>地表水水文要素为二级评价。</w:t>
      </w:r>
    </w:p>
    <w:p w14:paraId="77E2EF3F">
      <w:pPr>
        <w:rPr>
          <w:rFonts w:hint="default" w:ascii="Times New Roman" w:hAnsi="Times New Roman" w:eastAsia="宋体" w:cs="Times New Roman"/>
          <w:snapToGrid w:val="0"/>
          <w:color w:val="auto"/>
          <w:sz w:val="24"/>
          <w:szCs w:val="24"/>
          <w:highlight w:val="none"/>
          <w:vertAlign w:val="baseline"/>
          <w:lang w:val="en-US" w:eastAsia="zh-CN"/>
        </w:rPr>
      </w:pPr>
      <w:r>
        <w:rPr>
          <w:rFonts w:hint="default" w:ascii="Times New Roman" w:hAnsi="Times New Roman" w:cs="Times New Roman"/>
          <w:snapToGrid w:val="0"/>
          <w:color w:val="auto"/>
          <w:sz w:val="24"/>
          <w:szCs w:val="24"/>
          <w:highlight w:val="none"/>
          <w:lang w:val="en-US" w:eastAsia="zh-CN"/>
        </w:rPr>
        <w:t>河道：</w:t>
      </w:r>
      <w:r>
        <w:rPr>
          <w:rFonts w:hint="default" w:ascii="Times New Roman" w:hAnsi="Times New Roman" w:cs="Times New Roman"/>
          <w:bCs/>
          <w:color w:val="auto"/>
          <w:sz w:val="24"/>
          <w:highlight w:val="none"/>
        </w:rPr>
        <w:t>河道疏浚9.43km</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清淤面积</w:t>
      </w:r>
      <w:r>
        <w:rPr>
          <w:rFonts w:hint="default" w:ascii="Times New Roman" w:hAnsi="Times New Roman" w:cs="Times New Roman"/>
          <w:i/>
          <w:iCs/>
          <w:color w:val="auto"/>
          <w:highlight w:val="none"/>
        </w:rPr>
        <w:t>A</w:t>
      </w:r>
      <w:r>
        <w:rPr>
          <w:rFonts w:hint="default" w:ascii="Times New Roman" w:hAnsi="Times New Roman" w:cs="Times New Roman"/>
          <w:i/>
          <w:iCs/>
          <w:color w:val="auto"/>
          <w:highlight w:val="none"/>
          <w:vertAlign w:val="subscript"/>
        </w:rPr>
        <w:t>2</w:t>
      </w:r>
      <w:r>
        <w:rPr>
          <w:rFonts w:hint="default" w:ascii="Times New Roman" w:hAnsi="Times New Roman" w:cs="Times New Roman"/>
          <w:bCs/>
          <w:color w:val="auto"/>
          <w:sz w:val="24"/>
          <w:highlight w:val="none"/>
          <w:lang w:val="en-US" w:eastAsia="zh-CN"/>
        </w:rPr>
        <w:t>约</w:t>
      </w:r>
      <w:r>
        <w:rPr>
          <w:rFonts w:hint="default" w:ascii="Times New Roman" w:hAnsi="Times New Roman" w:cs="Times New Roman"/>
          <w:color w:val="auto"/>
          <w:highlight w:val="none"/>
        </w:rPr>
        <w:t>为</w:t>
      </w:r>
      <w:r>
        <w:rPr>
          <w:rFonts w:hint="default" w:ascii="Times New Roman" w:hAnsi="Times New Roman" w:cs="Times New Roman"/>
          <w:bCs/>
          <w:color w:val="auto"/>
          <w:sz w:val="24"/>
          <w:highlight w:val="none"/>
          <w:lang w:val="en-US" w:eastAsia="zh-CN"/>
        </w:rPr>
        <w:t>0.32</w:t>
      </w: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val="en-US" w:eastAsia="zh-CN"/>
        </w:rPr>
        <w:t>，</w:t>
      </w:r>
      <w:r>
        <w:rPr>
          <w:rFonts w:hint="default" w:ascii="Times New Roman" w:hAnsi="Times New Roman" w:eastAsia="宋体" w:cs="Times New Roman"/>
          <w:color w:val="auto"/>
          <w:highlight w:val="none"/>
        </w:rPr>
        <w:t>1.5＞</w:t>
      </w:r>
      <w:r>
        <w:rPr>
          <w:rFonts w:hint="default" w:ascii="Times New Roman" w:hAnsi="Times New Roman" w:eastAsia="宋体" w:cs="Times New Roman"/>
          <w:i/>
          <w:iCs/>
          <w:color w:val="auto"/>
          <w:highlight w:val="none"/>
        </w:rPr>
        <w:t>A</w:t>
      </w:r>
      <w:r>
        <w:rPr>
          <w:rFonts w:hint="default" w:ascii="Times New Roman" w:hAnsi="Times New Roman" w:eastAsia="宋体" w:cs="Times New Roman"/>
          <w:i/>
          <w:iCs/>
          <w:color w:val="auto"/>
          <w:highlight w:val="none"/>
          <w:vertAlign w:val="subscript"/>
        </w:rPr>
        <w:t>2</w:t>
      </w:r>
      <w:r>
        <w:rPr>
          <w:rFonts w:hint="default" w:ascii="Times New Roman" w:hAnsi="Times New Roman" w:eastAsia="宋体" w:cs="Times New Roman"/>
          <w:color w:val="auto"/>
          <w:highlight w:val="none"/>
        </w:rPr>
        <w:t>＞0.2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sz w:val="24"/>
          <w:szCs w:val="24"/>
          <w:highlight w:val="none"/>
          <w:lang w:val="en-US" w:eastAsia="zh-CN"/>
        </w:rPr>
        <w:t>地表水水文要素为二级评价。</w:t>
      </w:r>
    </w:p>
    <w:p w14:paraId="3F4DA35C">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1.5.1.3地下水环境</w:t>
      </w:r>
    </w:p>
    <w:p w14:paraId="6A4BBCCB">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（1）项目类别</w:t>
      </w:r>
    </w:p>
    <w:p w14:paraId="631EDAF7">
      <w:pPr>
        <w:jc w:val="both"/>
        <w:rPr>
          <w:rFonts w:hint="default" w:ascii="Times New Roman" w:hAnsi="Times New Roman" w:cs="Times New Roman"/>
          <w:snapToGrid w:val="0"/>
          <w:color w:val="auto"/>
          <w:sz w:val="24"/>
          <w:szCs w:val="24"/>
          <w:highlight w:val="none"/>
        </w:rPr>
      </w:pPr>
      <w:r>
        <w:rPr>
          <w:rFonts w:hint="eastAsia" w:cs="Times New Roman"/>
          <w:snapToGrid w:val="0"/>
          <w:color w:val="auto"/>
          <w:sz w:val="24"/>
          <w:szCs w:val="24"/>
          <w:highlight w:val="none"/>
          <w:lang w:eastAsia="zh-CN"/>
        </w:rPr>
        <w:t>本工程</w:t>
      </w:r>
      <w:r>
        <w:rPr>
          <w:rFonts w:hint="default" w:ascii="Times New Roman" w:hAnsi="Times New Roman" w:cs="Times New Roman"/>
          <w:snapToGrid w:val="0"/>
          <w:color w:val="auto"/>
          <w:sz w:val="24"/>
          <w:szCs w:val="24"/>
          <w:highlight w:val="none"/>
          <w:lang w:val="en-US" w:eastAsia="zh-CN"/>
        </w:rPr>
        <w:t>为河道治理工程</w:t>
      </w:r>
      <w:r>
        <w:rPr>
          <w:rFonts w:hint="default" w:ascii="Times New Roman" w:hAnsi="Times New Roman" w:cs="Times New Roman"/>
          <w:snapToGrid w:val="0"/>
          <w:color w:val="auto"/>
          <w:sz w:val="24"/>
          <w:szCs w:val="24"/>
          <w:highlight w:val="none"/>
        </w:rPr>
        <w:t>。按照</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环境影响评价技术导则地下水环境》（HJ610-2016）附录A，本工程属于Ⅲ类</w:t>
      </w: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lang w:val="en-US" w:eastAsia="zh-CN"/>
        </w:rPr>
        <w:t>河湖整治工程</w:t>
      </w:r>
      <w:r>
        <w:rPr>
          <w:rFonts w:hint="default" w:ascii="Times New Roman" w:hAnsi="Times New Roman"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w:t>
      </w:r>
    </w:p>
    <w:p w14:paraId="041BC52B">
      <w:pPr>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（2）地下水环境敏感程度</w:t>
      </w:r>
    </w:p>
    <w:p w14:paraId="7D56AC7E">
      <w:pPr>
        <w:numPr>
          <w:ilvl w:val="0"/>
          <w:numId w:val="0"/>
        </w:numPr>
        <w:ind w:leftChars="200"/>
        <w:rPr>
          <w:rFonts w:hint="eastAsia" w:cs="Times New Roman"/>
          <w:snapToGrid w:val="0"/>
          <w:color w:val="auto"/>
          <w:sz w:val="24"/>
          <w:szCs w:val="24"/>
          <w:highlight w:val="none"/>
          <w:lang w:val="en-US" w:eastAsia="zh-CN"/>
        </w:rPr>
      </w:pPr>
      <w:r>
        <w:rPr>
          <w:rFonts w:hint="eastAsia" w:cs="Times New Roman"/>
          <w:snapToGrid w:val="0"/>
          <w:color w:val="auto"/>
          <w:sz w:val="24"/>
          <w:szCs w:val="24"/>
          <w:highlight w:val="none"/>
          <w:lang w:eastAsia="zh-CN"/>
        </w:rPr>
        <w:t>地下水环境敏感程度分级表见表</w:t>
      </w:r>
      <w:r>
        <w:rPr>
          <w:rFonts w:hint="eastAsia" w:cs="Times New Roman"/>
          <w:snapToGrid w:val="0"/>
          <w:color w:val="auto"/>
          <w:sz w:val="24"/>
          <w:szCs w:val="24"/>
          <w:highlight w:val="none"/>
          <w:lang w:val="en-US" w:eastAsia="zh-CN"/>
        </w:rPr>
        <w:t>1.5-4</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7424"/>
      </w:tblGrid>
      <w:tr w14:paraId="03ED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Borders>
              <w:top w:val="single" w:color="auto" w:sz="12" w:space="0"/>
              <w:left w:val="nil"/>
            </w:tcBorders>
            <w:vAlign w:val="center"/>
          </w:tcPr>
          <w:p w14:paraId="23E199AB">
            <w:pPr>
              <w:pStyle w:val="29"/>
              <w:suppressLineNumbers w:val="0"/>
              <w:bidi w:val="0"/>
              <w:spacing w:beforeAutospacing="0" w:afterAutospacing="0"/>
              <w:ind w:left="0" w:right="0"/>
              <w:jc w:val="center"/>
              <w:rPr>
                <w:rFonts w:hint="eastAsia" w:ascii="Times New Roman" w:hAnsi="Times New Roman" w:cs="Times New Roman"/>
                <w:color w:val="auto"/>
                <w:sz w:val="21"/>
                <w:szCs w:val="21"/>
                <w:highlight w:val="none"/>
                <w:lang w:val="en-US" w:eastAsia="zh-CN"/>
              </w:rPr>
            </w:pPr>
            <w:bookmarkStart w:id="1847" w:name="_Toc31351"/>
            <w:bookmarkStart w:id="1848" w:name="_Toc961"/>
            <w:r>
              <w:rPr>
                <w:rFonts w:hint="eastAsia" w:ascii="Times New Roman" w:hAnsi="Times New Roman" w:cs="Times New Roman"/>
                <w:color w:val="auto"/>
                <w:sz w:val="21"/>
                <w:szCs w:val="21"/>
                <w:highlight w:val="none"/>
                <w:lang w:val="en-US" w:eastAsia="zh-CN"/>
              </w:rPr>
              <w:t>敏感程度</w:t>
            </w:r>
            <w:bookmarkEnd w:id="1847"/>
            <w:bookmarkEnd w:id="1848"/>
          </w:p>
        </w:tc>
        <w:tc>
          <w:tcPr>
            <w:tcW w:w="7424" w:type="dxa"/>
            <w:tcBorders>
              <w:top w:val="single" w:color="auto" w:sz="12" w:space="0"/>
              <w:right w:val="nil"/>
            </w:tcBorders>
            <w:vAlign w:val="center"/>
          </w:tcPr>
          <w:p w14:paraId="1CCC8851">
            <w:pPr>
              <w:pStyle w:val="29"/>
              <w:suppressLineNumbers w:val="0"/>
              <w:bidi w:val="0"/>
              <w:spacing w:beforeAutospacing="0" w:afterAutospacing="0"/>
              <w:ind w:left="0" w:right="0"/>
              <w:jc w:val="center"/>
              <w:rPr>
                <w:rFonts w:hint="eastAsia" w:ascii="Times New Roman" w:hAnsi="Times New Roman" w:cs="Times New Roman"/>
                <w:color w:val="auto"/>
                <w:sz w:val="21"/>
                <w:szCs w:val="21"/>
                <w:highlight w:val="none"/>
                <w:lang w:val="en-US" w:eastAsia="zh-CN"/>
              </w:rPr>
            </w:pPr>
            <w:bookmarkStart w:id="1849" w:name="_Toc13127"/>
            <w:bookmarkStart w:id="1850" w:name="_Toc10575"/>
            <w:r>
              <w:rPr>
                <w:rFonts w:hint="eastAsia" w:ascii="Times New Roman" w:hAnsi="Times New Roman" w:cs="Times New Roman"/>
                <w:color w:val="auto"/>
                <w:sz w:val="21"/>
                <w:szCs w:val="21"/>
                <w:highlight w:val="none"/>
                <w:lang w:val="en-US" w:eastAsia="zh-CN"/>
              </w:rPr>
              <w:t>地下水环境敏感特征</w:t>
            </w:r>
            <w:bookmarkEnd w:id="1849"/>
            <w:bookmarkEnd w:id="1850"/>
          </w:p>
        </w:tc>
      </w:tr>
      <w:tr w14:paraId="6AB0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Borders>
              <w:left w:val="nil"/>
            </w:tcBorders>
            <w:vAlign w:val="center"/>
          </w:tcPr>
          <w:p w14:paraId="60418206">
            <w:pPr>
              <w:pStyle w:val="29"/>
              <w:suppressLineNumbers w:val="0"/>
              <w:bidi w:val="0"/>
              <w:spacing w:beforeAutospacing="0" w:afterAutospacing="0"/>
              <w:ind w:left="0" w:right="0"/>
              <w:jc w:val="center"/>
              <w:rPr>
                <w:rFonts w:hint="eastAsia" w:ascii="Times New Roman" w:hAnsi="Times New Roman" w:cs="Times New Roman"/>
                <w:color w:val="auto"/>
                <w:sz w:val="21"/>
                <w:szCs w:val="21"/>
                <w:highlight w:val="none"/>
                <w:lang w:val="en-US" w:eastAsia="zh-CN"/>
              </w:rPr>
            </w:pPr>
            <w:bookmarkStart w:id="1851" w:name="_Toc25676"/>
            <w:bookmarkStart w:id="1852" w:name="_Toc9711"/>
            <w:r>
              <w:rPr>
                <w:rFonts w:hint="eastAsia" w:ascii="Times New Roman" w:hAnsi="Times New Roman" w:cs="Times New Roman"/>
                <w:color w:val="auto"/>
                <w:sz w:val="21"/>
                <w:szCs w:val="21"/>
                <w:highlight w:val="none"/>
                <w:lang w:val="en-US" w:eastAsia="zh-CN"/>
              </w:rPr>
              <w:t>敏感</w:t>
            </w:r>
            <w:bookmarkEnd w:id="1851"/>
            <w:bookmarkEnd w:id="1852"/>
          </w:p>
        </w:tc>
        <w:tc>
          <w:tcPr>
            <w:tcW w:w="7424" w:type="dxa"/>
            <w:tcBorders>
              <w:right w:val="nil"/>
            </w:tcBorders>
            <w:vAlign w:val="center"/>
          </w:tcPr>
          <w:p w14:paraId="24381E86">
            <w:pPr>
              <w:pStyle w:val="29"/>
              <w:suppressLineNumbers w:val="0"/>
              <w:bidi w:val="0"/>
              <w:spacing w:beforeAutospacing="0" w:afterAutospacing="0"/>
              <w:ind w:left="0" w:right="0"/>
              <w:jc w:val="center"/>
              <w:rPr>
                <w:rFonts w:hint="eastAsia" w:ascii="Times New Roman" w:hAnsi="Times New Roman" w:cs="Times New Roman"/>
                <w:color w:val="auto"/>
                <w:sz w:val="21"/>
                <w:szCs w:val="21"/>
                <w:highlight w:val="none"/>
                <w:lang w:val="en-US" w:eastAsia="zh-CN"/>
              </w:rPr>
            </w:pPr>
            <w:bookmarkStart w:id="1853" w:name="_Toc4133"/>
            <w:bookmarkStart w:id="1854" w:name="_Toc24178"/>
            <w:r>
              <w:rPr>
                <w:rFonts w:hint="eastAsia" w:ascii="Times New Roman" w:hAnsi="Times New Roman" w:cs="Times New Roman"/>
                <w:color w:val="auto"/>
                <w:sz w:val="21"/>
                <w:szCs w:val="21"/>
                <w:highlight w:val="none"/>
                <w:lang w:val="en-US" w:eastAsia="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bookmarkEnd w:id="1853"/>
            <w:bookmarkEnd w:id="1854"/>
          </w:p>
        </w:tc>
      </w:tr>
      <w:tr w14:paraId="5AEC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Borders>
              <w:left w:val="nil"/>
            </w:tcBorders>
            <w:vAlign w:val="center"/>
          </w:tcPr>
          <w:p w14:paraId="2219DEAC">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1855" w:name="_Toc31094"/>
            <w:bookmarkStart w:id="1856" w:name="_Toc31903"/>
            <w:r>
              <w:rPr>
                <w:rFonts w:hint="eastAsia" w:ascii="Times New Roman" w:hAnsi="Times New Roman" w:cs="Times New Roman"/>
                <w:color w:val="auto"/>
                <w:sz w:val="21"/>
                <w:szCs w:val="21"/>
                <w:highlight w:val="none"/>
                <w:lang w:val="en-US" w:eastAsia="zh-CN"/>
              </w:rPr>
              <w:t>较敏感</w:t>
            </w:r>
            <w:bookmarkEnd w:id="1855"/>
            <w:bookmarkEnd w:id="1856"/>
          </w:p>
        </w:tc>
        <w:tc>
          <w:tcPr>
            <w:tcW w:w="7424" w:type="dxa"/>
            <w:tcBorders>
              <w:right w:val="nil"/>
            </w:tcBorders>
            <w:vAlign w:val="center"/>
          </w:tcPr>
          <w:p w14:paraId="5EEF6080">
            <w:pPr>
              <w:pStyle w:val="29"/>
              <w:suppressLineNumbers w:val="0"/>
              <w:bidi w:val="0"/>
              <w:spacing w:beforeAutospacing="0" w:afterAutospacing="0"/>
              <w:ind w:left="0" w:right="0"/>
              <w:jc w:val="center"/>
              <w:rPr>
                <w:rFonts w:hint="eastAsia" w:ascii="Times New Roman" w:hAnsi="Times New Roman" w:cs="Times New Roman"/>
                <w:color w:val="auto"/>
                <w:sz w:val="21"/>
                <w:szCs w:val="21"/>
                <w:highlight w:val="none"/>
                <w:lang w:val="en-US" w:eastAsia="zh-CN"/>
              </w:rPr>
            </w:pPr>
            <w:bookmarkStart w:id="1857" w:name="_Toc11544"/>
            <w:bookmarkStart w:id="1858" w:name="_Toc14567"/>
            <w:r>
              <w:rPr>
                <w:rFonts w:hint="eastAsia" w:ascii="Times New Roman" w:hAnsi="Times New Roman" w:cs="Times New Roman"/>
                <w:color w:val="auto"/>
                <w:sz w:val="21"/>
                <w:szCs w:val="21"/>
                <w:highlight w:val="none"/>
                <w:lang w:val="en-US" w:eastAsia="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bookmarkEnd w:id="1857"/>
            <w:bookmarkEnd w:id="1858"/>
          </w:p>
        </w:tc>
      </w:tr>
      <w:tr w14:paraId="7FFC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Borders>
              <w:left w:val="nil"/>
              <w:bottom w:val="single" w:color="auto" w:sz="12" w:space="0"/>
            </w:tcBorders>
            <w:vAlign w:val="center"/>
          </w:tcPr>
          <w:p w14:paraId="4D089352">
            <w:pPr>
              <w:pStyle w:val="29"/>
              <w:suppressLineNumbers w:val="0"/>
              <w:bidi w:val="0"/>
              <w:spacing w:beforeAutospacing="0" w:afterAutospacing="0"/>
              <w:ind w:left="0" w:right="0"/>
              <w:jc w:val="center"/>
              <w:rPr>
                <w:rFonts w:hint="eastAsia" w:ascii="Times New Roman" w:hAnsi="Times New Roman" w:cs="Times New Roman"/>
                <w:color w:val="auto"/>
                <w:sz w:val="21"/>
                <w:szCs w:val="21"/>
                <w:highlight w:val="none"/>
                <w:lang w:val="en-US" w:eastAsia="zh-CN"/>
              </w:rPr>
            </w:pPr>
            <w:bookmarkStart w:id="1859" w:name="_Toc23352"/>
            <w:bookmarkStart w:id="1860" w:name="_Toc19743"/>
            <w:r>
              <w:rPr>
                <w:rFonts w:hint="eastAsia" w:ascii="Times New Roman" w:hAnsi="Times New Roman" w:cs="Times New Roman"/>
                <w:color w:val="auto"/>
                <w:sz w:val="21"/>
                <w:szCs w:val="21"/>
                <w:highlight w:val="none"/>
                <w:lang w:val="en-US" w:eastAsia="zh-CN"/>
              </w:rPr>
              <w:t>不敏感</w:t>
            </w:r>
            <w:bookmarkEnd w:id="1859"/>
            <w:bookmarkEnd w:id="1860"/>
          </w:p>
        </w:tc>
        <w:tc>
          <w:tcPr>
            <w:tcW w:w="7424" w:type="dxa"/>
            <w:tcBorders>
              <w:bottom w:val="single" w:color="auto" w:sz="12" w:space="0"/>
              <w:right w:val="nil"/>
            </w:tcBorders>
            <w:vAlign w:val="center"/>
          </w:tcPr>
          <w:p w14:paraId="752C1F1E">
            <w:pPr>
              <w:pStyle w:val="29"/>
              <w:suppressLineNumbers w:val="0"/>
              <w:bidi w:val="0"/>
              <w:spacing w:beforeAutospacing="0" w:afterAutospacing="0"/>
              <w:ind w:left="0" w:right="0"/>
              <w:jc w:val="center"/>
              <w:rPr>
                <w:rFonts w:hint="eastAsia" w:ascii="Times New Roman" w:hAnsi="Times New Roman" w:cs="Times New Roman"/>
                <w:color w:val="auto"/>
                <w:sz w:val="21"/>
                <w:szCs w:val="21"/>
                <w:highlight w:val="none"/>
                <w:lang w:val="en-US" w:eastAsia="zh-CN"/>
              </w:rPr>
            </w:pPr>
            <w:bookmarkStart w:id="1861" w:name="_Toc16190"/>
            <w:bookmarkStart w:id="1862" w:name="_Toc24373"/>
            <w:r>
              <w:rPr>
                <w:rFonts w:hint="eastAsia" w:ascii="Times New Roman" w:hAnsi="Times New Roman" w:cs="Times New Roman"/>
                <w:color w:val="auto"/>
                <w:sz w:val="21"/>
                <w:szCs w:val="21"/>
                <w:highlight w:val="none"/>
                <w:lang w:val="en-US" w:eastAsia="zh-CN"/>
              </w:rPr>
              <w:t>上述地区之外的其他地区</w:t>
            </w:r>
            <w:bookmarkEnd w:id="1861"/>
            <w:bookmarkEnd w:id="1862"/>
          </w:p>
        </w:tc>
      </w:tr>
    </w:tbl>
    <w:p w14:paraId="6C9F53DF">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现场调查，项目周边无集中式饮用水水源地及与地下水环境相关的其他保护区，也不在集中式饮用水水源准保护区以外的补给径流区，周边无分散式饮用水水源地、周围无具有饮用水开发利用价值的地下水含水层。</w:t>
      </w:r>
    </w:p>
    <w:p w14:paraId="64A23D8D">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地下水评价等级分级表见表1.5-</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5ACD7CCA">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表1.5-</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地下水环境影响评价工作等级分级表</w:t>
      </w:r>
    </w:p>
    <w:tbl>
      <w:tblPr>
        <w:tblStyle w:val="3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1634"/>
        <w:gridCol w:w="2131"/>
        <w:gridCol w:w="2131"/>
      </w:tblGrid>
      <w:tr w14:paraId="35E85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6" w:type="dxa"/>
            <w:tcBorders>
              <w:top w:val="single" w:color="auto" w:sz="12" w:space="0"/>
              <w:left w:val="nil"/>
              <w:bottom w:val="single" w:color="auto" w:sz="4" w:space="0"/>
              <w:right w:val="single" w:color="auto" w:sz="4" w:space="0"/>
            </w:tcBorders>
            <w:vAlign w:val="center"/>
          </w:tcPr>
          <w:p w14:paraId="14F9C7D6">
            <w:pPr>
              <w:pStyle w:val="29"/>
              <w:suppressLineNumbers w:val="0"/>
              <w:bidi w:val="0"/>
              <w:spacing w:beforeAutospacing="0" w:afterAutospacing="0"/>
              <w:ind w:left="0" w:right="0"/>
              <w:jc w:val="right"/>
              <w:rPr>
                <w:rFonts w:hint="default" w:ascii="Times New Roman" w:hAnsi="Times New Roman" w:cs="Times New Roman"/>
                <w:b/>
                <w:bCs/>
                <w:color w:val="auto"/>
                <w:sz w:val="21"/>
                <w:szCs w:val="21"/>
                <w:highlight w:val="none"/>
              </w:rPr>
            </w:pPr>
            <w:bookmarkStart w:id="1863" w:name="_Toc24770"/>
            <w:bookmarkStart w:id="1864" w:name="_Toc10657"/>
            <w:bookmarkStart w:id="1865" w:name="_Toc8989"/>
            <w:bookmarkStart w:id="1866" w:name="_Toc1529"/>
            <w:bookmarkStart w:id="1867" w:name="_Toc23673"/>
            <w:r>
              <w:rPr>
                <w:rFonts w:hint="default" w:ascii="Times New Roman" w:hAnsi="Times New Roman" w:cs="Times New Roman"/>
                <w:b/>
                <w:bCs/>
                <w:color w:val="auto"/>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-54610</wp:posOffset>
                      </wp:positionH>
                      <wp:positionV relativeFrom="paragraph">
                        <wp:posOffset>18415</wp:posOffset>
                      </wp:positionV>
                      <wp:extent cx="1651000" cy="297180"/>
                      <wp:effectExtent l="635" t="4445" r="5715" b="22225"/>
                      <wp:wrapNone/>
                      <wp:docPr id="3" name="直接连接符 67"/>
                      <wp:cNvGraphicFramePr/>
                      <a:graphic xmlns:a="http://schemas.openxmlformats.org/drawingml/2006/main">
                        <a:graphicData uri="http://schemas.microsoft.com/office/word/2010/wordprocessingShape">
                          <wps:wsp>
                            <wps:cNvCnPr/>
                            <wps:spPr>
                              <a:xfrm>
                                <a:off x="0" y="0"/>
                                <a:ext cx="1456055" cy="339090"/>
                              </a:xfrm>
                              <a:prstGeom prst="line">
                                <a:avLst/>
                              </a:prstGeom>
                              <a:ln w="6350" cap="flat" cmpd="sng">
                                <a:solidFill>
                                  <a:srgbClr val="000000"/>
                                </a:solidFill>
                                <a:prstDash val="solid"/>
                                <a:headEnd type="none" w="med" len="med"/>
                                <a:tailEnd type="none" w="med" len="med"/>
                              </a:ln>
                              <a:effectLst/>
                            </wps:spPr>
                            <wps:bodyPr/>
                          </wps:wsp>
                        </a:graphicData>
                      </a:graphic>
                    </wp:anchor>
                  </w:drawing>
                </mc:Choice>
                <mc:Fallback>
                  <w:pict>
                    <v:line id="直接连接符 67" o:spid="_x0000_s1026" o:spt="20" style="position:absolute;left:0pt;margin-left:-4.3pt;margin-top:1.45pt;height:23.4pt;width:130pt;z-index:251659264;mso-width-relative:page;mso-height-relative:page;" filled="f" stroked="t" coordsize="21600,21600" o:gfxdata="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XlGZXVAAAABwEAAA8AAAAAAAAAAQAgAAAAIgAAAGRycy9kb3ducmV2LnhtbFBL&#10;AQIUABQAAAAIAIdO4kD+eRTg+QEAAOwDAAAOAAAAAAAAAAEAIAAAACQBAABkcnMvZTJvRG9jLnht&#10;bFBLBQYAAAAABgAGAFkBAACPBQAAAAA=&#10;">
                      <v:fill on="f" focussize="0,0"/>
                      <v:stroke weight="0.5pt" color="#000000" joinstyle="round"/>
                      <v:imagedata o:title=""/>
                      <o:lock v:ext="edit" aspectratio="f"/>
                    </v:line>
                  </w:pict>
                </mc:Fallback>
              </mc:AlternateContent>
            </w:r>
            <w:r>
              <w:rPr>
                <w:rFonts w:hint="default" w:ascii="Times New Roman" w:hAnsi="Times New Roman" w:cs="Times New Roman"/>
                <w:b/>
                <w:bCs/>
                <w:color w:val="auto"/>
                <w:sz w:val="21"/>
                <w:szCs w:val="21"/>
                <w:highlight w:val="none"/>
              </w:rPr>
              <w:t>项目类别</w:t>
            </w:r>
            <w:bookmarkEnd w:id="1863"/>
            <w:bookmarkEnd w:id="1864"/>
            <w:bookmarkEnd w:id="1865"/>
            <w:bookmarkEnd w:id="1866"/>
            <w:bookmarkEnd w:id="1867"/>
          </w:p>
          <w:p w14:paraId="2E233FED">
            <w:pPr>
              <w:pStyle w:val="29"/>
              <w:suppressLineNumbers w:val="0"/>
              <w:bidi w:val="0"/>
              <w:spacing w:beforeAutospacing="0" w:afterAutospacing="0"/>
              <w:ind w:left="0" w:right="0"/>
              <w:jc w:val="both"/>
              <w:rPr>
                <w:rFonts w:hint="default" w:ascii="Times New Roman" w:hAnsi="Times New Roman" w:cs="Times New Roman"/>
                <w:b/>
                <w:bCs/>
                <w:color w:val="auto"/>
                <w:sz w:val="21"/>
                <w:szCs w:val="21"/>
                <w:highlight w:val="none"/>
              </w:rPr>
            </w:pPr>
            <w:bookmarkStart w:id="1868" w:name="_Toc11822"/>
            <w:bookmarkStart w:id="1869" w:name="_Toc8917"/>
            <w:bookmarkStart w:id="1870" w:name="_Toc27033"/>
            <w:bookmarkStart w:id="1871" w:name="_Toc712"/>
            <w:bookmarkStart w:id="1872" w:name="_Toc23443"/>
            <w:r>
              <w:rPr>
                <w:rFonts w:hint="default" w:ascii="Times New Roman" w:hAnsi="Times New Roman" w:cs="Times New Roman"/>
                <w:b/>
                <w:bCs/>
                <w:color w:val="auto"/>
                <w:sz w:val="21"/>
                <w:szCs w:val="21"/>
                <w:highlight w:val="none"/>
              </w:rPr>
              <w:t>环境敏感程度</w:t>
            </w:r>
            <w:bookmarkEnd w:id="1868"/>
            <w:bookmarkEnd w:id="1869"/>
            <w:bookmarkEnd w:id="1870"/>
            <w:bookmarkEnd w:id="1871"/>
            <w:bookmarkEnd w:id="1872"/>
          </w:p>
        </w:tc>
        <w:tc>
          <w:tcPr>
            <w:tcW w:w="1634" w:type="dxa"/>
            <w:tcBorders>
              <w:top w:val="single" w:color="auto" w:sz="12" w:space="0"/>
              <w:left w:val="single" w:color="auto" w:sz="4" w:space="0"/>
              <w:bottom w:val="single" w:color="auto" w:sz="4" w:space="0"/>
              <w:right w:val="single" w:color="auto" w:sz="4" w:space="0"/>
            </w:tcBorders>
            <w:vAlign w:val="center"/>
          </w:tcPr>
          <w:p w14:paraId="6397B99F">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873" w:name="_Toc26177"/>
            <w:bookmarkStart w:id="1874" w:name="_Toc24639"/>
            <w:bookmarkStart w:id="1875" w:name="_Toc472"/>
            <w:bookmarkStart w:id="1876" w:name="_Toc25905"/>
            <w:bookmarkStart w:id="1877" w:name="_Toc18185"/>
            <w:r>
              <w:rPr>
                <w:rFonts w:hint="default" w:ascii="Times New Roman" w:hAnsi="Times New Roman" w:cs="Times New Roman"/>
                <w:b/>
                <w:bCs/>
                <w:color w:val="auto"/>
                <w:sz w:val="21"/>
                <w:szCs w:val="21"/>
                <w:highlight w:val="none"/>
              </w:rPr>
              <w:fldChar w:fldCharType="begin"/>
            </w:r>
            <w:r>
              <w:rPr>
                <w:rFonts w:hint="default" w:ascii="Times New Roman" w:hAnsi="Times New Roman" w:cs="Times New Roman"/>
                <w:b/>
                <w:bCs/>
                <w:color w:val="auto"/>
                <w:sz w:val="21"/>
                <w:szCs w:val="21"/>
                <w:highlight w:val="none"/>
              </w:rPr>
              <w:instrText xml:space="preserve"> = 1 \* ROMAN </w:instrText>
            </w:r>
            <w:r>
              <w:rPr>
                <w:rFonts w:hint="default" w:ascii="Times New Roman" w:hAnsi="Times New Roman" w:cs="Times New Roman"/>
                <w:b/>
                <w:bCs/>
                <w:color w:val="auto"/>
                <w:sz w:val="21"/>
                <w:szCs w:val="21"/>
                <w:highlight w:val="none"/>
              </w:rPr>
              <w:fldChar w:fldCharType="separate"/>
            </w:r>
            <w:r>
              <w:rPr>
                <w:rFonts w:hint="default" w:ascii="Times New Roman" w:hAnsi="Times New Roman" w:cs="Times New Roman"/>
                <w:b/>
                <w:bCs/>
                <w:color w:val="auto"/>
                <w:sz w:val="21"/>
                <w:szCs w:val="21"/>
                <w:highlight w:val="none"/>
              </w:rPr>
              <w:t>I</w:t>
            </w:r>
            <w:r>
              <w:rPr>
                <w:rFonts w:hint="default" w:ascii="Times New Roman" w:hAnsi="Times New Roman" w:cs="Times New Roman"/>
                <w:b/>
                <w:bCs/>
                <w:color w:val="auto"/>
                <w:sz w:val="21"/>
                <w:szCs w:val="21"/>
                <w:highlight w:val="none"/>
              </w:rPr>
              <w:fldChar w:fldCharType="end"/>
            </w:r>
            <w:r>
              <w:rPr>
                <w:rFonts w:hint="default" w:ascii="Times New Roman" w:hAnsi="Times New Roman" w:cs="Times New Roman"/>
                <w:b/>
                <w:bCs/>
                <w:color w:val="auto"/>
                <w:sz w:val="21"/>
                <w:szCs w:val="21"/>
                <w:highlight w:val="none"/>
              </w:rPr>
              <w:t>类</w:t>
            </w:r>
            <w:bookmarkEnd w:id="1873"/>
            <w:bookmarkEnd w:id="1874"/>
            <w:bookmarkEnd w:id="1875"/>
            <w:bookmarkEnd w:id="1876"/>
            <w:bookmarkEnd w:id="1877"/>
          </w:p>
        </w:tc>
        <w:tc>
          <w:tcPr>
            <w:tcW w:w="2131" w:type="dxa"/>
            <w:tcBorders>
              <w:top w:val="single" w:color="auto" w:sz="12" w:space="0"/>
              <w:left w:val="single" w:color="auto" w:sz="4" w:space="0"/>
              <w:bottom w:val="single" w:color="auto" w:sz="4" w:space="0"/>
              <w:right w:val="single" w:color="auto" w:sz="4" w:space="0"/>
            </w:tcBorders>
            <w:vAlign w:val="center"/>
          </w:tcPr>
          <w:p w14:paraId="2A88A668">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878" w:name="_Toc27772"/>
            <w:bookmarkStart w:id="1879" w:name="_Toc4915"/>
            <w:bookmarkStart w:id="1880" w:name="_Toc17713"/>
            <w:bookmarkStart w:id="1881" w:name="_Toc12592"/>
            <w:bookmarkStart w:id="1882" w:name="_Toc27442"/>
            <w:r>
              <w:rPr>
                <w:rFonts w:hint="default" w:ascii="Times New Roman" w:hAnsi="Times New Roman" w:cs="Times New Roman"/>
                <w:b/>
                <w:bCs/>
                <w:color w:val="auto"/>
                <w:sz w:val="21"/>
                <w:szCs w:val="21"/>
                <w:highlight w:val="none"/>
              </w:rPr>
              <w:fldChar w:fldCharType="begin"/>
            </w:r>
            <w:r>
              <w:rPr>
                <w:rFonts w:hint="default" w:ascii="Times New Roman" w:hAnsi="Times New Roman" w:cs="Times New Roman"/>
                <w:b/>
                <w:bCs/>
                <w:color w:val="auto"/>
                <w:sz w:val="21"/>
                <w:szCs w:val="21"/>
                <w:highlight w:val="none"/>
              </w:rPr>
              <w:instrText xml:space="preserve"> = 2 \* ROMAN </w:instrText>
            </w:r>
            <w:r>
              <w:rPr>
                <w:rFonts w:hint="default" w:ascii="Times New Roman" w:hAnsi="Times New Roman" w:cs="Times New Roman"/>
                <w:b/>
                <w:bCs/>
                <w:color w:val="auto"/>
                <w:sz w:val="21"/>
                <w:szCs w:val="21"/>
                <w:highlight w:val="none"/>
              </w:rPr>
              <w:fldChar w:fldCharType="separate"/>
            </w:r>
            <w:r>
              <w:rPr>
                <w:rFonts w:hint="eastAsia" w:cs="Times New Roman"/>
                <w:b/>
                <w:bCs/>
                <w:color w:val="auto"/>
                <w:sz w:val="21"/>
                <w:szCs w:val="21"/>
                <w:highlight w:val="none"/>
                <w:lang w:eastAsia="zh-CN"/>
              </w:rPr>
              <w:t>Ⅱ</w:t>
            </w:r>
            <w:r>
              <w:rPr>
                <w:rFonts w:hint="default" w:ascii="Times New Roman" w:hAnsi="Times New Roman" w:cs="Times New Roman"/>
                <w:b/>
                <w:bCs/>
                <w:color w:val="auto"/>
                <w:sz w:val="21"/>
                <w:szCs w:val="21"/>
                <w:highlight w:val="none"/>
              </w:rPr>
              <w:fldChar w:fldCharType="end"/>
            </w:r>
            <w:r>
              <w:rPr>
                <w:rFonts w:hint="default" w:ascii="Times New Roman" w:hAnsi="Times New Roman" w:cs="Times New Roman"/>
                <w:b/>
                <w:bCs/>
                <w:color w:val="auto"/>
                <w:sz w:val="21"/>
                <w:szCs w:val="21"/>
                <w:highlight w:val="none"/>
              </w:rPr>
              <w:t>类</w:t>
            </w:r>
            <w:bookmarkEnd w:id="1878"/>
            <w:bookmarkEnd w:id="1879"/>
            <w:bookmarkEnd w:id="1880"/>
            <w:bookmarkEnd w:id="1881"/>
            <w:bookmarkEnd w:id="1882"/>
          </w:p>
        </w:tc>
        <w:tc>
          <w:tcPr>
            <w:tcW w:w="2131" w:type="dxa"/>
            <w:tcBorders>
              <w:top w:val="single" w:color="auto" w:sz="12" w:space="0"/>
              <w:left w:val="single" w:color="auto" w:sz="4" w:space="0"/>
              <w:bottom w:val="single" w:color="auto" w:sz="4" w:space="0"/>
              <w:right w:val="nil"/>
            </w:tcBorders>
            <w:vAlign w:val="center"/>
          </w:tcPr>
          <w:p w14:paraId="1A7B1621">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883" w:name="_Toc21904"/>
            <w:bookmarkStart w:id="1884" w:name="_Toc9757"/>
            <w:bookmarkStart w:id="1885" w:name="_Toc10815"/>
            <w:bookmarkStart w:id="1886" w:name="_Toc27280"/>
            <w:bookmarkStart w:id="1887" w:name="_Toc13285"/>
            <w:r>
              <w:rPr>
                <w:rFonts w:hint="default" w:ascii="Times New Roman" w:hAnsi="Times New Roman" w:cs="Times New Roman"/>
                <w:b/>
                <w:bCs/>
                <w:color w:val="auto"/>
                <w:sz w:val="21"/>
                <w:szCs w:val="21"/>
                <w:highlight w:val="none"/>
              </w:rPr>
              <w:fldChar w:fldCharType="begin"/>
            </w:r>
            <w:r>
              <w:rPr>
                <w:rFonts w:hint="default" w:ascii="Times New Roman" w:hAnsi="Times New Roman" w:cs="Times New Roman"/>
                <w:b/>
                <w:bCs/>
                <w:color w:val="auto"/>
                <w:sz w:val="21"/>
                <w:szCs w:val="21"/>
                <w:highlight w:val="none"/>
              </w:rPr>
              <w:instrText xml:space="preserve"> = 3 \* ROMAN </w:instrText>
            </w:r>
            <w:r>
              <w:rPr>
                <w:rFonts w:hint="default" w:ascii="Times New Roman" w:hAnsi="Times New Roman" w:cs="Times New Roman"/>
                <w:b/>
                <w:bCs/>
                <w:color w:val="auto"/>
                <w:sz w:val="21"/>
                <w:szCs w:val="21"/>
                <w:highlight w:val="none"/>
              </w:rPr>
              <w:fldChar w:fldCharType="separate"/>
            </w:r>
            <w:r>
              <w:rPr>
                <w:rFonts w:hint="eastAsia" w:cs="Times New Roman"/>
                <w:b/>
                <w:bCs/>
                <w:color w:val="auto"/>
                <w:sz w:val="21"/>
                <w:szCs w:val="21"/>
                <w:highlight w:val="none"/>
                <w:lang w:eastAsia="zh-CN"/>
              </w:rPr>
              <w:t>Ⅲ</w:t>
            </w:r>
            <w:r>
              <w:rPr>
                <w:rFonts w:hint="default" w:ascii="Times New Roman" w:hAnsi="Times New Roman" w:cs="Times New Roman"/>
                <w:b/>
                <w:bCs/>
                <w:color w:val="auto"/>
                <w:sz w:val="21"/>
                <w:szCs w:val="21"/>
                <w:highlight w:val="none"/>
              </w:rPr>
              <w:fldChar w:fldCharType="end"/>
            </w:r>
            <w:r>
              <w:rPr>
                <w:rFonts w:hint="default" w:ascii="Times New Roman" w:hAnsi="Times New Roman" w:cs="Times New Roman"/>
                <w:b/>
                <w:bCs/>
                <w:color w:val="auto"/>
                <w:sz w:val="21"/>
                <w:szCs w:val="21"/>
                <w:highlight w:val="none"/>
              </w:rPr>
              <w:t>类</w:t>
            </w:r>
            <w:bookmarkEnd w:id="1883"/>
            <w:bookmarkEnd w:id="1884"/>
            <w:bookmarkEnd w:id="1885"/>
            <w:bookmarkEnd w:id="1886"/>
            <w:bookmarkEnd w:id="1887"/>
          </w:p>
        </w:tc>
      </w:tr>
      <w:tr w14:paraId="1A584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6" w:type="dxa"/>
            <w:tcBorders>
              <w:top w:val="single" w:color="auto" w:sz="4" w:space="0"/>
              <w:left w:val="nil"/>
              <w:bottom w:val="single" w:color="auto" w:sz="4" w:space="0"/>
              <w:right w:val="single" w:color="auto" w:sz="4" w:space="0"/>
            </w:tcBorders>
            <w:vAlign w:val="center"/>
          </w:tcPr>
          <w:p w14:paraId="5F72C3A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88" w:name="_Toc13312"/>
            <w:bookmarkStart w:id="1889" w:name="_Toc22231"/>
            <w:bookmarkStart w:id="1890" w:name="_Toc15403"/>
            <w:bookmarkStart w:id="1891" w:name="_Toc14230"/>
            <w:bookmarkStart w:id="1892" w:name="_Toc30856"/>
            <w:r>
              <w:rPr>
                <w:rFonts w:hint="default" w:ascii="Times New Roman" w:hAnsi="Times New Roman" w:cs="Times New Roman"/>
                <w:color w:val="auto"/>
                <w:sz w:val="21"/>
                <w:szCs w:val="21"/>
                <w:highlight w:val="none"/>
              </w:rPr>
              <w:t>敏感</w:t>
            </w:r>
            <w:bookmarkEnd w:id="1888"/>
            <w:bookmarkEnd w:id="1889"/>
            <w:bookmarkEnd w:id="1890"/>
            <w:bookmarkEnd w:id="1891"/>
            <w:bookmarkEnd w:id="1892"/>
          </w:p>
        </w:tc>
        <w:tc>
          <w:tcPr>
            <w:tcW w:w="1634" w:type="dxa"/>
            <w:tcBorders>
              <w:top w:val="single" w:color="auto" w:sz="4" w:space="0"/>
              <w:left w:val="single" w:color="auto" w:sz="4" w:space="0"/>
              <w:bottom w:val="single" w:color="auto" w:sz="4" w:space="0"/>
              <w:right w:val="single" w:color="auto" w:sz="4" w:space="0"/>
            </w:tcBorders>
            <w:vAlign w:val="center"/>
          </w:tcPr>
          <w:p w14:paraId="42E7B15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93" w:name="_Toc14096"/>
            <w:bookmarkStart w:id="1894" w:name="_Toc15331"/>
            <w:bookmarkStart w:id="1895" w:name="_Toc25700"/>
            <w:bookmarkStart w:id="1896" w:name="_Toc362"/>
            <w:bookmarkStart w:id="1897" w:name="_Toc29793"/>
            <w:r>
              <w:rPr>
                <w:rFonts w:hint="default" w:ascii="Times New Roman" w:hAnsi="Times New Roman" w:cs="Times New Roman"/>
                <w:color w:val="auto"/>
                <w:sz w:val="21"/>
                <w:szCs w:val="21"/>
                <w:highlight w:val="none"/>
              </w:rPr>
              <w:t>一</w:t>
            </w:r>
            <w:bookmarkEnd w:id="1893"/>
            <w:bookmarkEnd w:id="1894"/>
            <w:bookmarkEnd w:id="1895"/>
            <w:bookmarkEnd w:id="1896"/>
            <w:bookmarkEnd w:id="1897"/>
          </w:p>
        </w:tc>
        <w:tc>
          <w:tcPr>
            <w:tcW w:w="2131" w:type="dxa"/>
            <w:tcBorders>
              <w:top w:val="single" w:color="auto" w:sz="4" w:space="0"/>
              <w:left w:val="single" w:color="auto" w:sz="4" w:space="0"/>
              <w:bottom w:val="single" w:color="auto" w:sz="4" w:space="0"/>
              <w:right w:val="single" w:color="auto" w:sz="4" w:space="0"/>
            </w:tcBorders>
            <w:vAlign w:val="center"/>
          </w:tcPr>
          <w:p w14:paraId="75AE996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898" w:name="_Toc9556"/>
            <w:bookmarkStart w:id="1899" w:name="_Toc24678"/>
            <w:bookmarkStart w:id="1900" w:name="_Toc9423"/>
            <w:bookmarkStart w:id="1901" w:name="_Toc21368"/>
            <w:bookmarkStart w:id="1902" w:name="_Toc9111"/>
            <w:r>
              <w:rPr>
                <w:rFonts w:hint="default" w:ascii="Times New Roman" w:hAnsi="Times New Roman" w:cs="Times New Roman"/>
                <w:color w:val="auto"/>
                <w:sz w:val="21"/>
                <w:szCs w:val="21"/>
                <w:highlight w:val="none"/>
              </w:rPr>
              <w:t>一</w:t>
            </w:r>
            <w:bookmarkEnd w:id="1898"/>
            <w:bookmarkEnd w:id="1899"/>
            <w:bookmarkEnd w:id="1900"/>
            <w:bookmarkEnd w:id="1901"/>
            <w:bookmarkEnd w:id="1902"/>
          </w:p>
        </w:tc>
        <w:tc>
          <w:tcPr>
            <w:tcW w:w="2131" w:type="dxa"/>
            <w:tcBorders>
              <w:top w:val="single" w:color="auto" w:sz="4" w:space="0"/>
              <w:left w:val="single" w:color="auto" w:sz="4" w:space="0"/>
              <w:bottom w:val="single" w:color="auto" w:sz="4" w:space="0"/>
              <w:right w:val="nil"/>
            </w:tcBorders>
            <w:vAlign w:val="center"/>
          </w:tcPr>
          <w:p w14:paraId="6496EDD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03" w:name="_Toc1772"/>
            <w:bookmarkStart w:id="1904" w:name="_Toc17398"/>
            <w:bookmarkStart w:id="1905" w:name="_Toc19086"/>
            <w:bookmarkStart w:id="1906" w:name="_Toc23814"/>
            <w:bookmarkStart w:id="1907" w:name="_Toc10977"/>
            <w:r>
              <w:rPr>
                <w:rFonts w:hint="default" w:ascii="Times New Roman" w:hAnsi="Times New Roman" w:cs="Times New Roman"/>
                <w:color w:val="auto"/>
                <w:sz w:val="21"/>
                <w:szCs w:val="21"/>
                <w:highlight w:val="none"/>
              </w:rPr>
              <w:t>二</w:t>
            </w:r>
            <w:bookmarkEnd w:id="1903"/>
            <w:bookmarkEnd w:id="1904"/>
            <w:bookmarkEnd w:id="1905"/>
            <w:bookmarkEnd w:id="1906"/>
            <w:bookmarkEnd w:id="1907"/>
          </w:p>
        </w:tc>
      </w:tr>
      <w:tr w14:paraId="6DEE9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6" w:type="dxa"/>
            <w:tcBorders>
              <w:top w:val="single" w:color="auto" w:sz="4" w:space="0"/>
              <w:left w:val="nil"/>
              <w:bottom w:val="single" w:color="auto" w:sz="4" w:space="0"/>
              <w:right w:val="single" w:color="auto" w:sz="4" w:space="0"/>
            </w:tcBorders>
            <w:vAlign w:val="center"/>
          </w:tcPr>
          <w:p w14:paraId="57C914F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08" w:name="_Toc25849"/>
            <w:bookmarkStart w:id="1909" w:name="_Toc18846"/>
            <w:bookmarkStart w:id="1910" w:name="_Toc26519"/>
            <w:bookmarkStart w:id="1911" w:name="_Toc9699"/>
            <w:bookmarkStart w:id="1912" w:name="_Toc4995"/>
            <w:r>
              <w:rPr>
                <w:rFonts w:hint="default" w:ascii="Times New Roman" w:hAnsi="Times New Roman" w:cs="Times New Roman"/>
                <w:color w:val="auto"/>
                <w:sz w:val="21"/>
                <w:szCs w:val="21"/>
                <w:highlight w:val="none"/>
              </w:rPr>
              <w:t>较敏感</w:t>
            </w:r>
            <w:bookmarkEnd w:id="1908"/>
            <w:bookmarkEnd w:id="1909"/>
            <w:bookmarkEnd w:id="1910"/>
            <w:bookmarkEnd w:id="1911"/>
            <w:bookmarkEnd w:id="1912"/>
          </w:p>
        </w:tc>
        <w:tc>
          <w:tcPr>
            <w:tcW w:w="1634" w:type="dxa"/>
            <w:tcBorders>
              <w:top w:val="single" w:color="auto" w:sz="4" w:space="0"/>
              <w:left w:val="single" w:color="auto" w:sz="4" w:space="0"/>
              <w:bottom w:val="single" w:color="auto" w:sz="4" w:space="0"/>
              <w:right w:val="single" w:color="auto" w:sz="4" w:space="0"/>
            </w:tcBorders>
            <w:vAlign w:val="center"/>
          </w:tcPr>
          <w:p w14:paraId="776F22A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13" w:name="_Toc17017"/>
            <w:bookmarkStart w:id="1914" w:name="_Toc19165"/>
            <w:bookmarkStart w:id="1915" w:name="_Toc13013"/>
            <w:bookmarkStart w:id="1916" w:name="_Toc23502"/>
            <w:bookmarkStart w:id="1917" w:name="_Toc7244"/>
            <w:r>
              <w:rPr>
                <w:rFonts w:hint="default" w:ascii="Times New Roman" w:hAnsi="Times New Roman" w:cs="Times New Roman"/>
                <w:color w:val="auto"/>
                <w:sz w:val="21"/>
                <w:szCs w:val="21"/>
                <w:highlight w:val="none"/>
              </w:rPr>
              <w:t>一</w:t>
            </w:r>
            <w:bookmarkEnd w:id="1913"/>
            <w:bookmarkEnd w:id="1914"/>
            <w:bookmarkEnd w:id="1915"/>
            <w:bookmarkEnd w:id="1916"/>
            <w:bookmarkEnd w:id="1917"/>
          </w:p>
        </w:tc>
        <w:tc>
          <w:tcPr>
            <w:tcW w:w="2131" w:type="dxa"/>
            <w:tcBorders>
              <w:top w:val="single" w:color="auto" w:sz="4" w:space="0"/>
              <w:left w:val="single" w:color="auto" w:sz="4" w:space="0"/>
              <w:bottom w:val="single" w:color="auto" w:sz="4" w:space="0"/>
              <w:right w:val="single" w:color="auto" w:sz="4" w:space="0"/>
            </w:tcBorders>
            <w:vAlign w:val="center"/>
          </w:tcPr>
          <w:p w14:paraId="3DD5147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18" w:name="_Toc10085"/>
            <w:bookmarkStart w:id="1919" w:name="_Toc9286"/>
            <w:bookmarkStart w:id="1920" w:name="_Toc19088"/>
            <w:bookmarkStart w:id="1921" w:name="_Toc22202"/>
            <w:bookmarkStart w:id="1922" w:name="_Toc16317"/>
            <w:r>
              <w:rPr>
                <w:rFonts w:hint="default" w:ascii="Times New Roman" w:hAnsi="Times New Roman" w:cs="Times New Roman"/>
                <w:color w:val="auto"/>
                <w:sz w:val="21"/>
                <w:szCs w:val="21"/>
                <w:highlight w:val="none"/>
              </w:rPr>
              <w:t>二</w:t>
            </w:r>
            <w:bookmarkEnd w:id="1918"/>
            <w:bookmarkEnd w:id="1919"/>
            <w:bookmarkEnd w:id="1920"/>
            <w:bookmarkEnd w:id="1921"/>
            <w:bookmarkEnd w:id="1922"/>
          </w:p>
        </w:tc>
        <w:tc>
          <w:tcPr>
            <w:tcW w:w="2131" w:type="dxa"/>
            <w:tcBorders>
              <w:top w:val="single" w:color="auto" w:sz="4" w:space="0"/>
              <w:left w:val="single" w:color="auto" w:sz="4" w:space="0"/>
              <w:bottom w:val="single" w:color="auto" w:sz="4" w:space="0"/>
              <w:right w:val="nil"/>
            </w:tcBorders>
            <w:vAlign w:val="center"/>
          </w:tcPr>
          <w:p w14:paraId="565C8A2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23" w:name="_Toc32686"/>
            <w:bookmarkStart w:id="1924" w:name="_Toc7227"/>
            <w:bookmarkStart w:id="1925" w:name="_Toc10319"/>
            <w:bookmarkStart w:id="1926" w:name="_Toc20031"/>
            <w:bookmarkStart w:id="1927" w:name="_Toc5641"/>
            <w:r>
              <w:rPr>
                <w:rFonts w:hint="default" w:ascii="Times New Roman" w:hAnsi="Times New Roman" w:cs="Times New Roman"/>
                <w:color w:val="auto"/>
                <w:sz w:val="21"/>
                <w:szCs w:val="21"/>
                <w:highlight w:val="none"/>
              </w:rPr>
              <w:t>三</w:t>
            </w:r>
            <w:bookmarkEnd w:id="1923"/>
            <w:bookmarkEnd w:id="1924"/>
            <w:bookmarkEnd w:id="1925"/>
            <w:bookmarkEnd w:id="1926"/>
            <w:bookmarkEnd w:id="1927"/>
          </w:p>
        </w:tc>
      </w:tr>
      <w:tr w14:paraId="62A78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6" w:type="dxa"/>
            <w:tcBorders>
              <w:top w:val="single" w:color="auto" w:sz="4" w:space="0"/>
              <w:left w:val="nil"/>
              <w:bottom w:val="single" w:color="auto" w:sz="12" w:space="0"/>
              <w:right w:val="single" w:color="auto" w:sz="4" w:space="0"/>
            </w:tcBorders>
            <w:vAlign w:val="center"/>
          </w:tcPr>
          <w:p w14:paraId="076A97C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28" w:name="_Toc28309"/>
            <w:bookmarkStart w:id="1929" w:name="_Toc18886"/>
            <w:bookmarkStart w:id="1930" w:name="_Toc20455"/>
            <w:bookmarkStart w:id="1931" w:name="_Toc18834"/>
            <w:bookmarkStart w:id="1932" w:name="_Toc13378"/>
            <w:r>
              <w:rPr>
                <w:rFonts w:hint="default" w:ascii="Times New Roman" w:hAnsi="Times New Roman" w:cs="Times New Roman"/>
                <w:color w:val="auto"/>
                <w:sz w:val="21"/>
                <w:szCs w:val="21"/>
                <w:highlight w:val="none"/>
              </w:rPr>
              <w:t>不敏感</w:t>
            </w:r>
            <w:bookmarkEnd w:id="1928"/>
            <w:bookmarkEnd w:id="1929"/>
            <w:bookmarkEnd w:id="1930"/>
            <w:bookmarkEnd w:id="1931"/>
            <w:bookmarkEnd w:id="1932"/>
          </w:p>
        </w:tc>
        <w:tc>
          <w:tcPr>
            <w:tcW w:w="1634" w:type="dxa"/>
            <w:tcBorders>
              <w:top w:val="single" w:color="auto" w:sz="4" w:space="0"/>
              <w:left w:val="single" w:color="auto" w:sz="4" w:space="0"/>
              <w:bottom w:val="single" w:color="auto" w:sz="12" w:space="0"/>
              <w:right w:val="single" w:color="auto" w:sz="4" w:space="0"/>
            </w:tcBorders>
            <w:vAlign w:val="center"/>
          </w:tcPr>
          <w:p w14:paraId="744EFE5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33" w:name="_Toc11170"/>
            <w:bookmarkStart w:id="1934" w:name="_Toc3864"/>
            <w:bookmarkStart w:id="1935" w:name="_Toc8128"/>
            <w:bookmarkStart w:id="1936" w:name="_Toc26735"/>
            <w:bookmarkStart w:id="1937" w:name="_Toc17196"/>
            <w:r>
              <w:rPr>
                <w:rFonts w:hint="default" w:ascii="Times New Roman" w:hAnsi="Times New Roman" w:cs="Times New Roman"/>
                <w:color w:val="auto"/>
                <w:sz w:val="21"/>
                <w:szCs w:val="21"/>
                <w:highlight w:val="none"/>
              </w:rPr>
              <w:t>二</w:t>
            </w:r>
            <w:bookmarkEnd w:id="1933"/>
            <w:bookmarkEnd w:id="1934"/>
            <w:bookmarkEnd w:id="1935"/>
            <w:bookmarkEnd w:id="1936"/>
            <w:bookmarkEnd w:id="1937"/>
          </w:p>
        </w:tc>
        <w:tc>
          <w:tcPr>
            <w:tcW w:w="2131" w:type="dxa"/>
            <w:tcBorders>
              <w:top w:val="single" w:color="auto" w:sz="4" w:space="0"/>
              <w:left w:val="single" w:color="auto" w:sz="4" w:space="0"/>
              <w:bottom w:val="single" w:color="auto" w:sz="12" w:space="0"/>
              <w:right w:val="single" w:color="auto" w:sz="4" w:space="0"/>
            </w:tcBorders>
            <w:vAlign w:val="center"/>
          </w:tcPr>
          <w:p w14:paraId="37CE7F2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38" w:name="_Toc20035"/>
            <w:bookmarkStart w:id="1939" w:name="_Toc5834"/>
            <w:bookmarkStart w:id="1940" w:name="_Toc5750"/>
            <w:bookmarkStart w:id="1941" w:name="_Toc23509"/>
            <w:bookmarkStart w:id="1942" w:name="_Toc31135"/>
            <w:r>
              <w:rPr>
                <w:rFonts w:hint="default" w:ascii="Times New Roman" w:hAnsi="Times New Roman" w:cs="Times New Roman"/>
                <w:color w:val="auto"/>
                <w:sz w:val="21"/>
                <w:szCs w:val="21"/>
                <w:highlight w:val="none"/>
              </w:rPr>
              <w:t>三</w:t>
            </w:r>
            <w:bookmarkEnd w:id="1938"/>
            <w:bookmarkEnd w:id="1939"/>
            <w:bookmarkEnd w:id="1940"/>
            <w:bookmarkEnd w:id="1941"/>
            <w:bookmarkEnd w:id="1942"/>
          </w:p>
        </w:tc>
        <w:tc>
          <w:tcPr>
            <w:tcW w:w="2131" w:type="dxa"/>
            <w:tcBorders>
              <w:top w:val="single" w:color="auto" w:sz="4" w:space="0"/>
              <w:left w:val="single" w:color="auto" w:sz="4" w:space="0"/>
              <w:bottom w:val="single" w:color="auto" w:sz="12" w:space="0"/>
              <w:right w:val="nil"/>
            </w:tcBorders>
            <w:vAlign w:val="center"/>
          </w:tcPr>
          <w:p w14:paraId="14EF47A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43" w:name="_Toc2481"/>
            <w:bookmarkStart w:id="1944" w:name="_Toc23370"/>
            <w:bookmarkStart w:id="1945" w:name="_Toc23534"/>
            <w:bookmarkStart w:id="1946" w:name="_Toc26847"/>
            <w:bookmarkStart w:id="1947" w:name="_Toc16119"/>
            <w:r>
              <w:rPr>
                <w:rFonts w:hint="default" w:ascii="Times New Roman" w:hAnsi="Times New Roman" w:cs="Times New Roman"/>
                <w:color w:val="auto"/>
                <w:sz w:val="21"/>
                <w:szCs w:val="21"/>
                <w:highlight w:val="none"/>
              </w:rPr>
              <w:t>三</w:t>
            </w:r>
            <w:bookmarkEnd w:id="1943"/>
            <w:bookmarkEnd w:id="1944"/>
            <w:bookmarkEnd w:id="1945"/>
            <w:bookmarkEnd w:id="1946"/>
            <w:bookmarkEnd w:id="1947"/>
          </w:p>
        </w:tc>
      </w:tr>
    </w:tbl>
    <w:p w14:paraId="6CBE8A19">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由表1.5-</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可知，</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不涉及集中式/分散式饮用水水源，无具有饮用水开发利用价值的地下水含水层，不涉及地下水敏感区，因此，</w:t>
      </w:r>
      <w:r>
        <w:rPr>
          <w:rFonts w:hint="default" w:ascii="Times New Roman" w:hAnsi="Times New Roman" w:cs="Times New Roman"/>
          <w:color w:val="auto"/>
          <w:sz w:val="24"/>
          <w:szCs w:val="24"/>
          <w:highlight w:val="none"/>
          <w:lang w:val="en-US" w:eastAsia="zh-CN"/>
        </w:rPr>
        <w:t>本工程地下水</w:t>
      </w:r>
      <w:r>
        <w:rPr>
          <w:rFonts w:hint="default" w:ascii="Times New Roman" w:hAnsi="Times New Roman" w:cs="Times New Roman"/>
          <w:color w:val="auto"/>
          <w:sz w:val="24"/>
          <w:szCs w:val="24"/>
          <w:highlight w:val="none"/>
        </w:rPr>
        <w:t>评价等级为三级。</w:t>
      </w:r>
    </w:p>
    <w:p w14:paraId="650D7367">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1.5.1.4大气环境</w:t>
      </w:r>
    </w:p>
    <w:p w14:paraId="19F14F65">
      <w:pPr>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 w:val="24"/>
          <w:szCs w:val="24"/>
          <w:highlight w:val="none"/>
        </w:rPr>
        <w:t>工程对环境空气质量的影响主要集中在施工期，大气污染物主要为土石方工程、运输等产生的扬尘，以及施工机械车辆排放的尾气</w:t>
      </w:r>
      <w:r>
        <w:rPr>
          <w:rFonts w:hint="default" w:ascii="Times New Roman" w:hAnsi="Times New Roman" w:eastAsia="宋体" w:cs="Times New Roman"/>
          <w:color w:val="auto"/>
          <w:szCs w:val="24"/>
          <w:highlight w:val="none"/>
          <w:lang w:val="en-US" w:eastAsia="zh-CN"/>
        </w:rPr>
        <w:t>及淤泥产生的恶臭</w:t>
      </w:r>
      <w:r>
        <w:rPr>
          <w:rFonts w:hint="default" w:ascii="Times New Roman" w:hAnsi="Times New Roman" w:cs="Times New Roman"/>
          <w:color w:val="auto"/>
          <w:sz w:val="24"/>
          <w:szCs w:val="24"/>
          <w:highlight w:val="none"/>
        </w:rPr>
        <w:t>，污染物主要是TSP、污染物排放量很小，</w:t>
      </w:r>
      <w:r>
        <w:rPr>
          <w:rFonts w:hint="default" w:ascii="Times New Roman" w:hAnsi="Times New Roman" w:eastAsia="宋体" w:cs="Times New Roman"/>
          <w:color w:val="auto"/>
          <w:szCs w:val="24"/>
          <w:highlight w:val="none"/>
          <w:lang w:val="en-US" w:eastAsia="zh-CN"/>
        </w:rPr>
        <w:t>建设单位采取切实可行的防治措施，施工期废气污染物对环境影响很小，且随着施工期结束，污染随之消失。根据《环境影响评价技术导则 大气环境》（HJ 2.2-2018），本次大气环境影响评价等级定为三级。</w:t>
      </w:r>
    </w:p>
    <w:p w14:paraId="56BECFA0">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1.5.1.5声环境</w:t>
      </w:r>
    </w:p>
    <w:p w14:paraId="1B6A957F">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根据《环境影响评价技术导则声环境》</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HJ2.4-2021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中规定的评价工作等级划分依据，将声环境影响评价工作分为一、二、三级，划分依据见表1.5-</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p>
    <w:p w14:paraId="09AD7DB6">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表1.5-</w:t>
      </w:r>
      <w:r>
        <w:rPr>
          <w:rFonts w:hint="eastAsia"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声环境影响评价工作级别划分依据</w:t>
      </w:r>
    </w:p>
    <w:tbl>
      <w:tblPr>
        <w:tblStyle w:val="31"/>
        <w:tblW w:w="8519" w:type="dxa"/>
        <w:tblInd w:w="0" w:type="dxa"/>
        <w:tblLayout w:type="fixed"/>
        <w:tblCellMar>
          <w:top w:w="0" w:type="dxa"/>
          <w:left w:w="108" w:type="dxa"/>
          <w:bottom w:w="0" w:type="dxa"/>
          <w:right w:w="108" w:type="dxa"/>
        </w:tblCellMar>
      </w:tblPr>
      <w:tblGrid>
        <w:gridCol w:w="1581"/>
        <w:gridCol w:w="6938"/>
      </w:tblGrid>
      <w:tr w14:paraId="6191F2ED">
        <w:tblPrEx>
          <w:tblCellMar>
            <w:top w:w="0" w:type="dxa"/>
            <w:left w:w="108" w:type="dxa"/>
            <w:bottom w:w="0" w:type="dxa"/>
            <w:right w:w="108" w:type="dxa"/>
          </w:tblCellMar>
        </w:tblPrEx>
        <w:trPr>
          <w:trHeight w:val="344" w:hRule="exact"/>
          <w:tblHeader/>
        </w:trPr>
        <w:tc>
          <w:tcPr>
            <w:tcW w:w="1581" w:type="dxa"/>
            <w:tcBorders>
              <w:top w:val="single" w:color="000000" w:sz="10" w:space="0"/>
              <w:left w:val="nil"/>
              <w:bottom w:val="single" w:color="000000" w:sz="4" w:space="0"/>
              <w:right w:val="single" w:color="000000" w:sz="4" w:space="0"/>
              <w:tl2br w:val="nil"/>
              <w:tr2bl w:val="nil"/>
            </w:tcBorders>
            <w:vAlign w:val="center"/>
          </w:tcPr>
          <w:p w14:paraId="786973D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948" w:name="_Toc16700"/>
            <w:bookmarkStart w:id="1949" w:name="_Toc31123"/>
            <w:bookmarkStart w:id="1950" w:name="_Toc29874"/>
            <w:bookmarkStart w:id="1951" w:name="_Toc29026"/>
            <w:bookmarkStart w:id="1952" w:name="_Toc32029"/>
            <w:r>
              <w:rPr>
                <w:rFonts w:hint="default" w:ascii="Times New Roman" w:hAnsi="Times New Roman" w:cs="Times New Roman"/>
                <w:b/>
                <w:bCs/>
                <w:color w:val="auto"/>
                <w:sz w:val="21"/>
                <w:szCs w:val="21"/>
                <w:highlight w:val="none"/>
              </w:rPr>
              <w:t>评价工作等级</w:t>
            </w:r>
            <w:bookmarkEnd w:id="1948"/>
            <w:bookmarkEnd w:id="1949"/>
            <w:bookmarkEnd w:id="1950"/>
            <w:bookmarkEnd w:id="1951"/>
            <w:bookmarkEnd w:id="1952"/>
          </w:p>
        </w:tc>
        <w:tc>
          <w:tcPr>
            <w:tcW w:w="6938" w:type="dxa"/>
            <w:tcBorders>
              <w:top w:val="single" w:color="000000" w:sz="10" w:space="0"/>
              <w:left w:val="single" w:color="000000" w:sz="4" w:space="0"/>
              <w:bottom w:val="single" w:color="000000" w:sz="4" w:space="0"/>
              <w:right w:val="nil"/>
              <w:tl2br w:val="nil"/>
              <w:tr2bl w:val="nil"/>
            </w:tcBorders>
            <w:vAlign w:val="center"/>
          </w:tcPr>
          <w:p w14:paraId="6BD8237F">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953" w:name="_Toc22121"/>
            <w:bookmarkStart w:id="1954" w:name="_Toc7574"/>
            <w:bookmarkStart w:id="1955" w:name="_Toc17725"/>
            <w:bookmarkStart w:id="1956" w:name="_Toc31340"/>
            <w:bookmarkStart w:id="1957" w:name="_Toc27369"/>
            <w:r>
              <w:rPr>
                <w:rFonts w:hint="default" w:ascii="Times New Roman" w:hAnsi="Times New Roman" w:cs="Times New Roman"/>
                <w:b/>
                <w:bCs/>
                <w:color w:val="auto"/>
                <w:sz w:val="21"/>
                <w:szCs w:val="21"/>
                <w:highlight w:val="none"/>
              </w:rPr>
              <w:t>评价工作分级判据</w:t>
            </w:r>
            <w:bookmarkEnd w:id="1953"/>
            <w:bookmarkEnd w:id="1954"/>
            <w:bookmarkEnd w:id="1955"/>
            <w:bookmarkEnd w:id="1956"/>
            <w:bookmarkEnd w:id="1957"/>
          </w:p>
        </w:tc>
      </w:tr>
      <w:tr w14:paraId="5A352630">
        <w:tblPrEx>
          <w:tblCellMar>
            <w:top w:w="0" w:type="dxa"/>
            <w:left w:w="108" w:type="dxa"/>
            <w:bottom w:w="0" w:type="dxa"/>
            <w:right w:w="108" w:type="dxa"/>
          </w:tblCellMar>
        </w:tblPrEx>
        <w:trPr>
          <w:trHeight w:val="822" w:hRule="exact"/>
        </w:trPr>
        <w:tc>
          <w:tcPr>
            <w:tcW w:w="1581" w:type="dxa"/>
            <w:tcBorders>
              <w:top w:val="single" w:color="000000" w:sz="4" w:space="0"/>
              <w:left w:val="nil"/>
              <w:bottom w:val="single" w:color="000000" w:sz="4" w:space="0"/>
              <w:right w:val="single" w:color="000000" w:sz="4" w:space="0"/>
              <w:tl2br w:val="nil"/>
              <w:tr2bl w:val="nil"/>
            </w:tcBorders>
            <w:vAlign w:val="center"/>
          </w:tcPr>
          <w:p w14:paraId="07F51B1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58" w:name="_Toc9597"/>
            <w:bookmarkStart w:id="1959" w:name="_Toc8016"/>
            <w:bookmarkStart w:id="1960" w:name="_Toc29791"/>
            <w:bookmarkStart w:id="1961" w:name="_Toc8869"/>
            <w:bookmarkStart w:id="1962" w:name="_Toc10137"/>
            <w:r>
              <w:rPr>
                <w:rFonts w:hint="default" w:ascii="Times New Roman" w:hAnsi="Times New Roman" w:cs="Times New Roman"/>
                <w:color w:val="auto"/>
                <w:sz w:val="21"/>
                <w:szCs w:val="21"/>
                <w:highlight w:val="none"/>
              </w:rPr>
              <w:t>一级</w:t>
            </w:r>
            <w:bookmarkEnd w:id="1958"/>
            <w:bookmarkEnd w:id="1959"/>
            <w:bookmarkEnd w:id="1960"/>
            <w:bookmarkEnd w:id="1961"/>
            <w:bookmarkEnd w:id="1962"/>
          </w:p>
        </w:tc>
        <w:tc>
          <w:tcPr>
            <w:tcW w:w="6938" w:type="dxa"/>
            <w:tcBorders>
              <w:top w:val="single" w:color="000000" w:sz="4" w:space="0"/>
              <w:left w:val="single" w:color="000000" w:sz="4" w:space="0"/>
              <w:bottom w:val="single" w:color="000000" w:sz="4" w:space="0"/>
              <w:right w:val="nil"/>
              <w:tl2br w:val="nil"/>
              <w:tr2bl w:val="nil"/>
            </w:tcBorders>
            <w:vAlign w:val="center"/>
          </w:tcPr>
          <w:p w14:paraId="36C8BE2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63" w:name="_Toc15158"/>
            <w:bookmarkStart w:id="1964" w:name="_Toc20626"/>
            <w:bookmarkStart w:id="1965" w:name="_Toc13203"/>
            <w:bookmarkStart w:id="1966" w:name="_Toc9125"/>
            <w:bookmarkStart w:id="1967" w:name="_Toc21059"/>
            <w:r>
              <w:rPr>
                <w:rFonts w:hint="default" w:ascii="Times New Roman" w:hAnsi="Times New Roman" w:cs="Times New Roman"/>
                <w:color w:val="auto"/>
                <w:sz w:val="21"/>
                <w:szCs w:val="21"/>
                <w:highlight w:val="none"/>
              </w:rPr>
              <w:t>评价范围内有适用于GB3096规定的0类声环境功能区域，或建设项目建设前后评价范围内敏感目标噪声级增高量达5dB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以上</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不含5dB(A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，或受影响人口数量显著增加时。</w:t>
            </w:r>
            <w:bookmarkEnd w:id="1963"/>
            <w:bookmarkEnd w:id="1964"/>
            <w:bookmarkEnd w:id="1965"/>
            <w:bookmarkEnd w:id="1966"/>
            <w:bookmarkEnd w:id="1967"/>
          </w:p>
        </w:tc>
      </w:tr>
      <w:tr w14:paraId="36D02B46">
        <w:tblPrEx>
          <w:tblCellMar>
            <w:top w:w="0" w:type="dxa"/>
            <w:left w:w="108" w:type="dxa"/>
            <w:bottom w:w="0" w:type="dxa"/>
            <w:right w:w="108" w:type="dxa"/>
          </w:tblCellMar>
        </w:tblPrEx>
        <w:trPr>
          <w:trHeight w:val="876" w:hRule="exact"/>
        </w:trPr>
        <w:tc>
          <w:tcPr>
            <w:tcW w:w="1581" w:type="dxa"/>
            <w:tcBorders>
              <w:top w:val="single" w:color="000000" w:sz="4" w:space="0"/>
              <w:left w:val="nil"/>
              <w:bottom w:val="single" w:color="000000" w:sz="4" w:space="0"/>
              <w:right w:val="single" w:color="000000" w:sz="4" w:space="0"/>
              <w:tl2br w:val="nil"/>
              <w:tr2bl w:val="nil"/>
            </w:tcBorders>
            <w:vAlign w:val="center"/>
          </w:tcPr>
          <w:p w14:paraId="32C3257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68" w:name="_Toc18249"/>
            <w:bookmarkStart w:id="1969" w:name="_Toc3349"/>
            <w:bookmarkStart w:id="1970" w:name="_Toc21124"/>
            <w:bookmarkStart w:id="1971" w:name="_Toc32022"/>
            <w:bookmarkStart w:id="1972" w:name="_Toc21266"/>
            <w:r>
              <w:rPr>
                <w:rFonts w:hint="default" w:ascii="Times New Roman" w:hAnsi="Times New Roman" w:cs="Times New Roman"/>
                <w:color w:val="auto"/>
                <w:sz w:val="21"/>
                <w:szCs w:val="21"/>
                <w:highlight w:val="none"/>
              </w:rPr>
              <w:t>二级</w:t>
            </w:r>
            <w:bookmarkEnd w:id="1968"/>
            <w:bookmarkEnd w:id="1969"/>
            <w:bookmarkEnd w:id="1970"/>
            <w:bookmarkEnd w:id="1971"/>
            <w:bookmarkEnd w:id="1972"/>
          </w:p>
        </w:tc>
        <w:tc>
          <w:tcPr>
            <w:tcW w:w="6938" w:type="dxa"/>
            <w:tcBorders>
              <w:top w:val="single" w:color="000000" w:sz="4" w:space="0"/>
              <w:left w:val="single" w:color="000000" w:sz="4" w:space="0"/>
              <w:bottom w:val="single" w:color="000000" w:sz="4" w:space="0"/>
              <w:right w:val="nil"/>
              <w:tl2br w:val="nil"/>
              <w:tr2bl w:val="nil"/>
            </w:tcBorders>
            <w:vAlign w:val="center"/>
          </w:tcPr>
          <w:p w14:paraId="4F693DA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73" w:name="_Toc29646"/>
            <w:bookmarkStart w:id="1974" w:name="_Toc13315"/>
            <w:bookmarkStart w:id="1975" w:name="_Toc30973"/>
            <w:bookmarkStart w:id="1976" w:name="_Toc29595"/>
            <w:bookmarkStart w:id="1977" w:name="_Toc18707"/>
            <w:r>
              <w:rPr>
                <w:rFonts w:hint="default" w:ascii="Times New Roman" w:hAnsi="Times New Roman" w:cs="Times New Roman"/>
                <w:color w:val="auto"/>
                <w:sz w:val="21"/>
                <w:szCs w:val="21"/>
                <w:highlight w:val="none"/>
              </w:rPr>
              <w:t>建设项目所处的声环境功能区为GB3096规定的1类、2类地区，或建设项目建设前后评价范围内敏感目标噪声级增高量达3dB(A)~5dB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，或受噪声影响人口数量增加较多时。</w:t>
            </w:r>
            <w:bookmarkEnd w:id="1973"/>
            <w:bookmarkEnd w:id="1974"/>
            <w:bookmarkEnd w:id="1975"/>
            <w:bookmarkEnd w:id="1976"/>
            <w:bookmarkEnd w:id="1977"/>
          </w:p>
        </w:tc>
      </w:tr>
      <w:tr w14:paraId="775FA53E">
        <w:tblPrEx>
          <w:tblCellMar>
            <w:top w:w="0" w:type="dxa"/>
            <w:left w:w="108" w:type="dxa"/>
            <w:bottom w:w="0" w:type="dxa"/>
            <w:right w:w="108" w:type="dxa"/>
          </w:tblCellMar>
        </w:tblPrEx>
        <w:trPr>
          <w:trHeight w:val="982" w:hRule="exact"/>
        </w:trPr>
        <w:tc>
          <w:tcPr>
            <w:tcW w:w="1581" w:type="dxa"/>
            <w:tcBorders>
              <w:top w:val="single" w:color="000000" w:sz="4" w:space="0"/>
              <w:left w:val="nil"/>
              <w:bottom w:val="single" w:color="000000" w:sz="10" w:space="0"/>
              <w:right w:val="single" w:color="000000" w:sz="4" w:space="0"/>
              <w:tl2br w:val="nil"/>
              <w:tr2bl w:val="nil"/>
            </w:tcBorders>
            <w:vAlign w:val="center"/>
          </w:tcPr>
          <w:p w14:paraId="0B20466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78" w:name="_Toc14624"/>
            <w:bookmarkStart w:id="1979" w:name="_Toc11727"/>
            <w:bookmarkStart w:id="1980" w:name="_Toc8708"/>
            <w:bookmarkStart w:id="1981" w:name="_Toc7758"/>
            <w:bookmarkStart w:id="1982" w:name="_Toc9482"/>
            <w:r>
              <w:rPr>
                <w:rFonts w:hint="default" w:ascii="Times New Roman" w:hAnsi="Times New Roman" w:cs="Times New Roman"/>
                <w:color w:val="auto"/>
                <w:sz w:val="21"/>
                <w:szCs w:val="21"/>
                <w:highlight w:val="none"/>
              </w:rPr>
              <w:t>三级</w:t>
            </w:r>
            <w:bookmarkEnd w:id="1978"/>
            <w:bookmarkEnd w:id="1979"/>
            <w:bookmarkEnd w:id="1980"/>
            <w:bookmarkEnd w:id="1981"/>
            <w:bookmarkEnd w:id="1982"/>
          </w:p>
        </w:tc>
        <w:tc>
          <w:tcPr>
            <w:tcW w:w="6938" w:type="dxa"/>
            <w:tcBorders>
              <w:top w:val="single" w:color="000000" w:sz="4" w:space="0"/>
              <w:left w:val="single" w:color="000000" w:sz="4" w:space="0"/>
              <w:bottom w:val="single" w:color="000000" w:sz="10" w:space="0"/>
              <w:right w:val="nil"/>
              <w:tl2br w:val="nil"/>
              <w:tr2bl w:val="nil"/>
            </w:tcBorders>
            <w:vAlign w:val="center"/>
          </w:tcPr>
          <w:p w14:paraId="35A843F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1983" w:name="_Toc25833"/>
            <w:bookmarkStart w:id="1984" w:name="_Toc22280"/>
            <w:bookmarkStart w:id="1985" w:name="_Toc28084"/>
            <w:bookmarkStart w:id="1986" w:name="_Toc27832"/>
            <w:bookmarkStart w:id="1987" w:name="_Toc30258"/>
            <w:r>
              <w:rPr>
                <w:rFonts w:hint="default" w:ascii="Times New Roman" w:hAnsi="Times New Roman" w:cs="Times New Roman"/>
                <w:color w:val="auto"/>
                <w:sz w:val="21"/>
                <w:szCs w:val="21"/>
                <w:highlight w:val="none"/>
              </w:rPr>
              <w:t>建设项目所处的声环境功能区为GB3096规定的3类、4类地区，或建设项目建设前后评价范围内敏感目标噪声级增高量在3dB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以下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不含3dB(A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，且受影响人口数量变化不大时。</w:t>
            </w:r>
            <w:bookmarkEnd w:id="1983"/>
            <w:bookmarkEnd w:id="1984"/>
            <w:bookmarkEnd w:id="1985"/>
            <w:bookmarkEnd w:id="1986"/>
            <w:bookmarkEnd w:id="1987"/>
          </w:p>
        </w:tc>
      </w:tr>
    </w:tbl>
    <w:p w14:paraId="1D480C05">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工程对声环境影响主要是施工期施工机械、车辆运输等产生的噪声，施工结束后影响立即消失；运营期</w:t>
      </w:r>
      <w:r>
        <w:rPr>
          <w:rFonts w:hint="default" w:ascii="Times New Roman" w:hAnsi="Times New Roman" w:cs="Times New Roman"/>
          <w:color w:val="auto"/>
          <w:sz w:val="24"/>
          <w:szCs w:val="24"/>
          <w:highlight w:val="none"/>
          <w:lang w:val="en-US" w:eastAsia="zh-CN"/>
        </w:rPr>
        <w:t>无噪声产生</w:t>
      </w:r>
      <w:r>
        <w:rPr>
          <w:rFonts w:hint="default" w:ascii="Times New Roman" w:hAnsi="Times New Roman" w:cs="Times New Roman"/>
          <w:color w:val="auto"/>
          <w:sz w:val="24"/>
          <w:szCs w:val="24"/>
          <w:highlight w:val="none"/>
        </w:rPr>
        <w:t>。工程所在区域主要为农村，属于1类声环境功能区。根据《环境影响评价技术导则声环境》（HJ2.4-2021），声环境评价等级为二级。</w:t>
      </w:r>
    </w:p>
    <w:p w14:paraId="0FAD5B11">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1.5.1.6土壤环境</w:t>
      </w:r>
    </w:p>
    <w:p w14:paraId="40A0F25C">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根据《环境影响评价技术导则土壤环境（试行）》（HJ964-2018），本工程应按照生态影响型判定工作等级。土壤环境敏感程度划分见表1.5-</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p>
    <w:p w14:paraId="0851A5AF">
      <w:pPr>
        <w:jc w:val="center"/>
        <w:rPr>
          <w:rFonts w:hint="default" w:ascii="Times New Roman" w:hAnsi="Times New Roman" w:cs="Times New Roman"/>
          <w:b/>
          <w:bCs/>
          <w:color w:val="auto"/>
          <w:sz w:val="28"/>
          <w:szCs w:val="28"/>
          <w:highlight w:val="none"/>
        </w:rPr>
      </w:pPr>
    </w:p>
    <w:p w14:paraId="076E6955">
      <w:pPr>
        <w:jc w:val="cente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表1.5-</w:t>
      </w:r>
      <w:r>
        <w:rPr>
          <w:rFonts w:hint="eastAsia" w:cs="Times New Roman"/>
          <w:b/>
          <w:bCs/>
          <w:color w:val="auto"/>
          <w:sz w:val="28"/>
          <w:szCs w:val="28"/>
          <w:highlight w:val="none"/>
          <w:lang w:val="en-US" w:eastAsia="zh-CN"/>
        </w:rPr>
        <w:t>7</w:t>
      </w:r>
      <w:r>
        <w:rPr>
          <w:rFonts w:hint="default" w:ascii="Times New Roman" w:hAnsi="Times New Roman" w:cs="Times New Roman"/>
          <w:b/>
          <w:bCs/>
          <w:color w:val="auto"/>
          <w:sz w:val="28"/>
          <w:szCs w:val="28"/>
          <w:highlight w:val="none"/>
        </w:rPr>
        <w:t>土壤环境敏感程度划分表</w:t>
      </w:r>
    </w:p>
    <w:tbl>
      <w:tblPr>
        <w:tblStyle w:val="31"/>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75"/>
        <w:gridCol w:w="4628"/>
        <w:gridCol w:w="1411"/>
        <w:gridCol w:w="1406"/>
      </w:tblGrid>
      <w:tr w14:paraId="52EB1A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4" w:hRule="exact"/>
          <w:jc w:val="center"/>
        </w:trPr>
        <w:tc>
          <w:tcPr>
            <w:tcW w:w="631" w:type="pct"/>
            <w:vMerge w:val="restart"/>
            <w:tcBorders>
              <w:tl2br w:val="nil"/>
              <w:tr2bl w:val="nil"/>
            </w:tcBorders>
            <w:shd w:val="clear" w:color="auto" w:fill="FFFFFF"/>
            <w:vAlign w:val="center"/>
          </w:tcPr>
          <w:p w14:paraId="31120DB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988" w:name="_Toc22368"/>
            <w:bookmarkStart w:id="1989" w:name="_Toc9485"/>
            <w:bookmarkStart w:id="1990" w:name="_Toc15809"/>
            <w:bookmarkStart w:id="1991" w:name="_Toc31410"/>
            <w:bookmarkStart w:id="1992" w:name="_Toc25765"/>
            <w:r>
              <w:rPr>
                <w:rFonts w:hint="default" w:ascii="Times New Roman" w:hAnsi="Times New Roman" w:cs="Times New Roman"/>
                <w:b/>
                <w:bCs/>
                <w:color w:val="auto"/>
                <w:sz w:val="21"/>
                <w:szCs w:val="21"/>
                <w:highlight w:val="none"/>
              </w:rPr>
              <w:t>敏感程度</w:t>
            </w:r>
            <w:bookmarkEnd w:id="1988"/>
            <w:bookmarkEnd w:id="1989"/>
            <w:bookmarkEnd w:id="1990"/>
            <w:bookmarkEnd w:id="1991"/>
            <w:bookmarkEnd w:id="1992"/>
          </w:p>
        </w:tc>
        <w:tc>
          <w:tcPr>
            <w:tcW w:w="4368" w:type="pct"/>
            <w:gridSpan w:val="3"/>
            <w:tcBorders>
              <w:tl2br w:val="nil"/>
              <w:tr2bl w:val="nil"/>
            </w:tcBorders>
            <w:shd w:val="clear" w:color="auto" w:fill="FFFFFF"/>
            <w:vAlign w:val="center"/>
          </w:tcPr>
          <w:p w14:paraId="03F8A342">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993" w:name="_Toc23003"/>
            <w:bookmarkStart w:id="1994" w:name="_Toc2100"/>
            <w:bookmarkStart w:id="1995" w:name="_Toc5753"/>
            <w:bookmarkStart w:id="1996" w:name="_Toc15871"/>
            <w:bookmarkStart w:id="1997" w:name="_Toc31097"/>
            <w:r>
              <w:rPr>
                <w:rFonts w:hint="default" w:ascii="Times New Roman" w:hAnsi="Times New Roman" w:cs="Times New Roman"/>
                <w:b/>
                <w:bCs/>
                <w:color w:val="auto"/>
                <w:sz w:val="21"/>
                <w:szCs w:val="21"/>
                <w:highlight w:val="none"/>
              </w:rPr>
              <w:t>判别依据</w:t>
            </w:r>
            <w:bookmarkEnd w:id="1993"/>
            <w:bookmarkEnd w:id="1994"/>
            <w:bookmarkEnd w:id="1995"/>
            <w:bookmarkEnd w:id="1996"/>
            <w:bookmarkEnd w:id="1997"/>
          </w:p>
        </w:tc>
      </w:tr>
      <w:tr w14:paraId="2C1607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5" w:hRule="exact"/>
          <w:jc w:val="center"/>
        </w:trPr>
        <w:tc>
          <w:tcPr>
            <w:tcW w:w="631" w:type="pct"/>
            <w:vMerge w:val="continue"/>
            <w:tcBorders>
              <w:tl2br w:val="nil"/>
              <w:tr2bl w:val="nil"/>
            </w:tcBorders>
            <w:shd w:val="clear" w:color="auto" w:fill="FFFFFF"/>
            <w:vAlign w:val="center"/>
          </w:tcPr>
          <w:p w14:paraId="6327F4A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1998" w:name="_Toc27828"/>
            <w:bookmarkStart w:id="1999" w:name="_Toc29770"/>
            <w:bookmarkStart w:id="2000" w:name="_Toc16751"/>
            <w:bookmarkStart w:id="2001" w:name="_Toc9796"/>
            <w:bookmarkStart w:id="2002" w:name="_Toc369"/>
            <w:r>
              <w:rPr>
                <w:rFonts w:hint="default" w:ascii="Times New Roman" w:hAnsi="Times New Roman" w:cs="Times New Roman"/>
                <w:b/>
                <w:bCs/>
                <w:color w:val="auto"/>
                <w:sz w:val="21"/>
                <w:szCs w:val="21"/>
                <w:highlight w:val="none"/>
              </w:rPr>
              <w:t>敏感程度</w:t>
            </w:r>
            <w:bookmarkEnd w:id="1998"/>
            <w:bookmarkEnd w:id="1999"/>
            <w:bookmarkEnd w:id="2000"/>
            <w:bookmarkEnd w:id="2001"/>
            <w:bookmarkEnd w:id="2002"/>
          </w:p>
        </w:tc>
        <w:tc>
          <w:tcPr>
            <w:tcW w:w="2716" w:type="pct"/>
            <w:tcBorders>
              <w:tl2br w:val="nil"/>
              <w:tr2bl w:val="nil"/>
            </w:tcBorders>
            <w:shd w:val="clear" w:color="auto" w:fill="FFFFFF"/>
            <w:vAlign w:val="center"/>
          </w:tcPr>
          <w:p w14:paraId="03113B9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003" w:name="_Toc1063"/>
            <w:bookmarkStart w:id="2004" w:name="_Toc22219"/>
            <w:bookmarkStart w:id="2005" w:name="_Toc172"/>
            <w:bookmarkStart w:id="2006" w:name="_Toc30803"/>
            <w:bookmarkStart w:id="2007" w:name="_Toc22477"/>
            <w:r>
              <w:rPr>
                <w:rFonts w:hint="default" w:ascii="Times New Roman" w:hAnsi="Times New Roman" w:cs="Times New Roman"/>
                <w:b/>
                <w:bCs/>
                <w:color w:val="auto"/>
                <w:sz w:val="21"/>
                <w:szCs w:val="21"/>
                <w:highlight w:val="none"/>
              </w:rPr>
              <w:t>盐化</w:t>
            </w:r>
            <w:bookmarkEnd w:id="2003"/>
            <w:bookmarkEnd w:id="2004"/>
            <w:bookmarkEnd w:id="2005"/>
            <w:bookmarkEnd w:id="2006"/>
            <w:bookmarkEnd w:id="2007"/>
          </w:p>
        </w:tc>
        <w:tc>
          <w:tcPr>
            <w:tcW w:w="828" w:type="pct"/>
            <w:tcBorders>
              <w:tl2br w:val="nil"/>
              <w:tr2bl w:val="nil"/>
            </w:tcBorders>
            <w:shd w:val="clear" w:color="auto" w:fill="FFFFFF"/>
            <w:vAlign w:val="center"/>
          </w:tcPr>
          <w:p w14:paraId="08EDEBEF">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008" w:name="_Toc16744"/>
            <w:bookmarkStart w:id="2009" w:name="_Toc31318"/>
            <w:bookmarkStart w:id="2010" w:name="_Toc3391"/>
            <w:bookmarkStart w:id="2011" w:name="_Toc28304"/>
            <w:bookmarkStart w:id="2012" w:name="_Toc5931"/>
            <w:r>
              <w:rPr>
                <w:rFonts w:hint="default" w:ascii="Times New Roman" w:hAnsi="Times New Roman" w:cs="Times New Roman"/>
                <w:b/>
                <w:bCs/>
                <w:color w:val="auto"/>
                <w:sz w:val="21"/>
                <w:szCs w:val="21"/>
                <w:highlight w:val="none"/>
              </w:rPr>
              <w:t>酸化</w:t>
            </w:r>
            <w:bookmarkEnd w:id="2008"/>
            <w:bookmarkEnd w:id="2009"/>
            <w:bookmarkEnd w:id="2010"/>
            <w:bookmarkEnd w:id="2011"/>
            <w:bookmarkEnd w:id="2012"/>
          </w:p>
        </w:tc>
        <w:tc>
          <w:tcPr>
            <w:tcW w:w="822" w:type="pct"/>
            <w:tcBorders>
              <w:tl2br w:val="nil"/>
              <w:tr2bl w:val="nil"/>
            </w:tcBorders>
            <w:shd w:val="clear" w:color="auto" w:fill="FFFFFF"/>
            <w:vAlign w:val="center"/>
          </w:tcPr>
          <w:p w14:paraId="7CAA866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013" w:name="_Toc13556"/>
            <w:bookmarkStart w:id="2014" w:name="_Toc680"/>
            <w:bookmarkStart w:id="2015" w:name="_Toc8852"/>
            <w:bookmarkStart w:id="2016" w:name="_Toc8113"/>
            <w:bookmarkStart w:id="2017" w:name="_Toc21457"/>
            <w:r>
              <w:rPr>
                <w:rFonts w:hint="default" w:ascii="Times New Roman" w:hAnsi="Times New Roman" w:cs="Times New Roman"/>
                <w:b/>
                <w:bCs/>
                <w:color w:val="auto"/>
                <w:sz w:val="21"/>
                <w:szCs w:val="21"/>
                <w:highlight w:val="none"/>
              </w:rPr>
              <w:t>碱化</w:t>
            </w:r>
            <w:bookmarkEnd w:id="2013"/>
            <w:bookmarkEnd w:id="2014"/>
            <w:bookmarkEnd w:id="2015"/>
            <w:bookmarkEnd w:id="2016"/>
            <w:bookmarkEnd w:id="2017"/>
          </w:p>
        </w:tc>
      </w:tr>
      <w:tr w14:paraId="7D4F24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12" w:hRule="exact"/>
          <w:jc w:val="center"/>
        </w:trPr>
        <w:tc>
          <w:tcPr>
            <w:tcW w:w="631" w:type="pct"/>
            <w:tcBorders>
              <w:tl2br w:val="nil"/>
              <w:tr2bl w:val="nil"/>
            </w:tcBorders>
            <w:shd w:val="clear" w:color="auto" w:fill="FFFFFF"/>
            <w:vAlign w:val="center"/>
          </w:tcPr>
          <w:p w14:paraId="34F596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18" w:name="_Toc31001"/>
            <w:bookmarkStart w:id="2019" w:name="_Toc15401"/>
            <w:bookmarkStart w:id="2020" w:name="_Toc3436"/>
            <w:bookmarkStart w:id="2021" w:name="_Toc14238"/>
            <w:bookmarkStart w:id="2022" w:name="_Toc8047"/>
            <w:r>
              <w:rPr>
                <w:rFonts w:hint="default" w:ascii="Times New Roman" w:hAnsi="Times New Roman" w:cs="Times New Roman"/>
                <w:color w:val="auto"/>
                <w:sz w:val="21"/>
                <w:szCs w:val="21"/>
                <w:highlight w:val="none"/>
              </w:rPr>
              <w:t>敏感</w:t>
            </w:r>
            <w:bookmarkEnd w:id="2018"/>
            <w:bookmarkEnd w:id="2019"/>
            <w:bookmarkEnd w:id="2020"/>
            <w:bookmarkEnd w:id="2021"/>
            <w:bookmarkEnd w:id="2022"/>
          </w:p>
        </w:tc>
        <w:tc>
          <w:tcPr>
            <w:tcW w:w="2716" w:type="pct"/>
            <w:tcBorders>
              <w:tl2br w:val="nil"/>
              <w:tr2bl w:val="nil"/>
            </w:tcBorders>
            <w:shd w:val="clear" w:color="auto" w:fill="FFFFFF"/>
            <w:vAlign w:val="center"/>
          </w:tcPr>
          <w:p w14:paraId="29AD95F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23" w:name="_Toc19642"/>
            <w:bookmarkStart w:id="2024" w:name="_Toc3111"/>
            <w:bookmarkStart w:id="2025" w:name="_Toc1032"/>
            <w:bookmarkStart w:id="2026" w:name="_Toc22103"/>
            <w:bookmarkStart w:id="2027" w:name="_Toc25964"/>
            <w:r>
              <w:rPr>
                <w:rFonts w:hint="default" w:ascii="Times New Roman" w:hAnsi="Times New Roman" w:cs="Times New Roman"/>
                <w:color w:val="auto"/>
                <w:sz w:val="21"/>
                <w:szCs w:val="21"/>
                <w:highlight w:val="none"/>
              </w:rPr>
              <w:t>建设项目所在地干燥度</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2.5且常年地下水位平均埋深&lt;1.5m的地势平坦区域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；或土壤含盐量&gt;4g/kg的区域</w:t>
            </w:r>
            <w:bookmarkEnd w:id="2023"/>
            <w:bookmarkEnd w:id="2024"/>
            <w:bookmarkEnd w:id="2025"/>
            <w:bookmarkEnd w:id="2026"/>
            <w:bookmarkEnd w:id="2027"/>
          </w:p>
        </w:tc>
        <w:tc>
          <w:tcPr>
            <w:tcW w:w="828" w:type="pct"/>
            <w:tcBorders>
              <w:tl2br w:val="nil"/>
              <w:tr2bl w:val="nil"/>
            </w:tcBorders>
            <w:shd w:val="clear" w:color="auto" w:fill="FFFFFF"/>
            <w:vAlign w:val="center"/>
          </w:tcPr>
          <w:p w14:paraId="06FDA0E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28" w:name="_Toc7319"/>
            <w:bookmarkStart w:id="2029" w:name="_Toc2936"/>
            <w:bookmarkStart w:id="2030" w:name="_Toc2440"/>
            <w:bookmarkStart w:id="2031" w:name="_Toc14882"/>
            <w:bookmarkStart w:id="2032" w:name="_Toc3374"/>
            <w:r>
              <w:rPr>
                <w:rFonts w:hint="default" w:ascii="Times New Roman" w:hAnsi="Times New Roman" w:cs="Times New Roman"/>
                <w:color w:val="auto"/>
                <w:sz w:val="21"/>
                <w:szCs w:val="21"/>
                <w:highlight w:val="none"/>
              </w:rPr>
              <w:t>pH≤4.5</w:t>
            </w:r>
            <w:bookmarkEnd w:id="2028"/>
            <w:bookmarkEnd w:id="2029"/>
            <w:bookmarkEnd w:id="2030"/>
            <w:bookmarkEnd w:id="2031"/>
            <w:bookmarkEnd w:id="2032"/>
          </w:p>
        </w:tc>
        <w:tc>
          <w:tcPr>
            <w:tcW w:w="822" w:type="pct"/>
            <w:tcBorders>
              <w:tl2br w:val="nil"/>
              <w:tr2bl w:val="nil"/>
            </w:tcBorders>
            <w:shd w:val="clear" w:color="auto" w:fill="FFFFFF"/>
            <w:vAlign w:val="center"/>
          </w:tcPr>
          <w:p w14:paraId="7B0B897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33" w:name="_Toc28681"/>
            <w:bookmarkStart w:id="2034" w:name="_Toc25378"/>
            <w:bookmarkStart w:id="2035" w:name="_Toc23160"/>
            <w:bookmarkStart w:id="2036" w:name="_Toc27803"/>
            <w:bookmarkStart w:id="2037" w:name="_Toc22223"/>
            <w:r>
              <w:rPr>
                <w:rFonts w:hint="default" w:ascii="Times New Roman" w:hAnsi="Times New Roman" w:cs="Times New Roman"/>
                <w:color w:val="auto"/>
                <w:sz w:val="21"/>
                <w:szCs w:val="21"/>
                <w:highlight w:val="none"/>
              </w:rPr>
              <w:t>pH≥9.0</w:t>
            </w:r>
            <w:bookmarkEnd w:id="2033"/>
            <w:bookmarkEnd w:id="2034"/>
            <w:bookmarkEnd w:id="2035"/>
            <w:bookmarkEnd w:id="2036"/>
            <w:bookmarkEnd w:id="2037"/>
          </w:p>
        </w:tc>
      </w:tr>
      <w:tr w14:paraId="45983F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91" w:hRule="exact"/>
          <w:jc w:val="center"/>
        </w:trPr>
        <w:tc>
          <w:tcPr>
            <w:tcW w:w="631" w:type="pct"/>
            <w:tcBorders>
              <w:tl2br w:val="nil"/>
              <w:tr2bl w:val="nil"/>
            </w:tcBorders>
            <w:shd w:val="clear" w:color="auto" w:fill="FFFFFF"/>
            <w:vAlign w:val="center"/>
          </w:tcPr>
          <w:p w14:paraId="070DB14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38" w:name="_Toc18266"/>
            <w:bookmarkStart w:id="2039" w:name="_Toc27791"/>
            <w:bookmarkStart w:id="2040" w:name="_Toc271"/>
            <w:bookmarkStart w:id="2041" w:name="_Toc3018"/>
            <w:bookmarkStart w:id="2042" w:name="_Toc22058"/>
            <w:r>
              <w:rPr>
                <w:rFonts w:hint="default" w:ascii="Times New Roman" w:hAnsi="Times New Roman" w:cs="Times New Roman"/>
                <w:color w:val="auto"/>
                <w:sz w:val="21"/>
                <w:szCs w:val="21"/>
                <w:highlight w:val="none"/>
              </w:rPr>
              <w:t>较敏感</w:t>
            </w:r>
            <w:bookmarkEnd w:id="2038"/>
            <w:bookmarkEnd w:id="2039"/>
            <w:bookmarkEnd w:id="2040"/>
            <w:bookmarkEnd w:id="2041"/>
            <w:bookmarkEnd w:id="2042"/>
          </w:p>
        </w:tc>
        <w:tc>
          <w:tcPr>
            <w:tcW w:w="2716" w:type="pct"/>
            <w:tcBorders>
              <w:tl2br w:val="nil"/>
              <w:tr2bl w:val="nil"/>
            </w:tcBorders>
            <w:shd w:val="clear" w:color="auto" w:fill="FFFFFF"/>
            <w:vAlign w:val="center"/>
          </w:tcPr>
          <w:p w14:paraId="6770B10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43" w:name="_Toc18599"/>
            <w:bookmarkStart w:id="2044" w:name="_Toc5519"/>
            <w:bookmarkStart w:id="2045" w:name="_Toc17168"/>
            <w:bookmarkStart w:id="2046" w:name="_Toc24263"/>
            <w:bookmarkStart w:id="2047" w:name="_Toc30841"/>
            <w:r>
              <w:rPr>
                <w:rFonts w:hint="default" w:ascii="Times New Roman" w:hAnsi="Times New Roman" w:cs="Times New Roman"/>
                <w:color w:val="auto"/>
                <w:sz w:val="21"/>
                <w:szCs w:val="21"/>
                <w:highlight w:val="none"/>
              </w:rPr>
              <w:t>建设项目所在地干燥度&gt;2.5且常年地下水位平均埋深≥1.5m的，或1.8&lt;干燥度≤2.5且常年地下水位平均埋深&lt;1.8m的地势平坦区域；建设项目所在地干燥度&gt;2.5或常年地下水位平均埋深&lt;1.5m的平原区；或2g/kg&lt;土壤含盐量≤4g/kg的区域</w:t>
            </w:r>
            <w:bookmarkEnd w:id="2043"/>
            <w:bookmarkEnd w:id="2044"/>
            <w:bookmarkEnd w:id="2045"/>
            <w:bookmarkEnd w:id="2046"/>
            <w:bookmarkEnd w:id="2047"/>
          </w:p>
        </w:tc>
        <w:tc>
          <w:tcPr>
            <w:tcW w:w="828" w:type="pct"/>
            <w:tcBorders>
              <w:tl2br w:val="nil"/>
              <w:tr2bl w:val="nil"/>
            </w:tcBorders>
            <w:shd w:val="clear" w:color="auto" w:fill="FFFFFF"/>
            <w:vAlign w:val="center"/>
          </w:tcPr>
          <w:p w14:paraId="1D44374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48" w:name="_Toc3432"/>
            <w:bookmarkStart w:id="2049" w:name="_Toc11793"/>
            <w:bookmarkStart w:id="2050" w:name="_Toc6421"/>
            <w:bookmarkStart w:id="2051" w:name="_Toc1729"/>
            <w:bookmarkStart w:id="2052" w:name="_Toc11064"/>
            <w:r>
              <w:rPr>
                <w:rFonts w:hint="default" w:ascii="Times New Roman" w:hAnsi="Times New Roman" w:cs="Times New Roman"/>
                <w:color w:val="auto"/>
                <w:sz w:val="21"/>
                <w:szCs w:val="21"/>
                <w:highlight w:val="none"/>
              </w:rPr>
              <w:t>4.5&lt;pH≤5.5</w:t>
            </w:r>
            <w:bookmarkEnd w:id="2048"/>
            <w:bookmarkEnd w:id="2049"/>
            <w:bookmarkEnd w:id="2050"/>
            <w:bookmarkEnd w:id="2051"/>
            <w:bookmarkEnd w:id="2052"/>
          </w:p>
        </w:tc>
        <w:tc>
          <w:tcPr>
            <w:tcW w:w="822" w:type="pct"/>
            <w:tcBorders>
              <w:tl2br w:val="nil"/>
              <w:tr2bl w:val="nil"/>
            </w:tcBorders>
            <w:shd w:val="clear" w:color="auto" w:fill="FFFFFF"/>
            <w:vAlign w:val="center"/>
          </w:tcPr>
          <w:p w14:paraId="444E9A8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53" w:name="_Toc9156"/>
            <w:bookmarkStart w:id="2054" w:name="_Toc11695"/>
            <w:bookmarkStart w:id="2055" w:name="_Toc21390"/>
            <w:bookmarkStart w:id="2056" w:name="_Toc29477"/>
            <w:bookmarkStart w:id="2057" w:name="_Toc25626"/>
            <w:r>
              <w:rPr>
                <w:rFonts w:hint="default" w:ascii="Times New Roman" w:hAnsi="Times New Roman" w:cs="Times New Roman"/>
                <w:color w:val="auto"/>
                <w:sz w:val="21"/>
                <w:szCs w:val="21"/>
                <w:highlight w:val="none"/>
              </w:rPr>
              <w:t>8.5≤pH&lt;9.0</w:t>
            </w:r>
            <w:bookmarkEnd w:id="2053"/>
            <w:bookmarkEnd w:id="2054"/>
            <w:bookmarkEnd w:id="2055"/>
            <w:bookmarkEnd w:id="2056"/>
            <w:bookmarkEnd w:id="2057"/>
          </w:p>
        </w:tc>
      </w:tr>
      <w:tr w14:paraId="662382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exact"/>
          <w:jc w:val="center"/>
        </w:trPr>
        <w:tc>
          <w:tcPr>
            <w:tcW w:w="631" w:type="pct"/>
            <w:tcBorders>
              <w:tl2br w:val="nil"/>
              <w:tr2bl w:val="nil"/>
            </w:tcBorders>
            <w:shd w:val="clear" w:color="auto" w:fill="FFFFFF"/>
            <w:vAlign w:val="center"/>
          </w:tcPr>
          <w:p w14:paraId="02082E5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58" w:name="_Toc21381"/>
            <w:bookmarkStart w:id="2059" w:name="_Toc7020"/>
            <w:bookmarkStart w:id="2060" w:name="_Toc32761"/>
            <w:bookmarkStart w:id="2061" w:name="_Toc30632"/>
            <w:bookmarkStart w:id="2062" w:name="_Toc15994"/>
            <w:r>
              <w:rPr>
                <w:rFonts w:hint="default" w:ascii="Times New Roman" w:hAnsi="Times New Roman" w:cs="Times New Roman"/>
                <w:color w:val="auto"/>
                <w:sz w:val="21"/>
                <w:szCs w:val="21"/>
                <w:highlight w:val="none"/>
              </w:rPr>
              <w:t>不敏感</w:t>
            </w:r>
            <w:bookmarkEnd w:id="2058"/>
            <w:bookmarkEnd w:id="2059"/>
            <w:bookmarkEnd w:id="2060"/>
            <w:bookmarkEnd w:id="2061"/>
            <w:bookmarkEnd w:id="2062"/>
          </w:p>
        </w:tc>
        <w:tc>
          <w:tcPr>
            <w:tcW w:w="2716" w:type="pct"/>
            <w:tcBorders>
              <w:tl2br w:val="nil"/>
              <w:tr2bl w:val="nil"/>
            </w:tcBorders>
            <w:shd w:val="clear" w:color="auto" w:fill="FFFFFF"/>
            <w:vAlign w:val="center"/>
          </w:tcPr>
          <w:p w14:paraId="08FA4EC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63" w:name="_Toc16344"/>
            <w:bookmarkStart w:id="2064" w:name="_Toc6403"/>
            <w:bookmarkStart w:id="2065" w:name="_Toc30208"/>
            <w:bookmarkStart w:id="2066" w:name="_Toc29584"/>
            <w:bookmarkStart w:id="2067" w:name="_Toc688"/>
            <w:r>
              <w:rPr>
                <w:rFonts w:hint="default" w:ascii="Times New Roman" w:hAnsi="Times New Roman" w:cs="Times New Roman"/>
                <w:color w:val="auto"/>
                <w:sz w:val="21"/>
                <w:szCs w:val="21"/>
                <w:highlight w:val="none"/>
              </w:rPr>
              <w:t>其他</w:t>
            </w:r>
            <w:bookmarkEnd w:id="2063"/>
            <w:bookmarkEnd w:id="2064"/>
            <w:bookmarkEnd w:id="2065"/>
            <w:bookmarkEnd w:id="2066"/>
            <w:bookmarkEnd w:id="2067"/>
          </w:p>
        </w:tc>
        <w:tc>
          <w:tcPr>
            <w:tcW w:w="1651" w:type="pct"/>
            <w:gridSpan w:val="2"/>
            <w:tcBorders>
              <w:tl2br w:val="nil"/>
              <w:tr2bl w:val="nil"/>
            </w:tcBorders>
            <w:shd w:val="clear" w:color="auto" w:fill="FFFFFF"/>
            <w:vAlign w:val="center"/>
          </w:tcPr>
          <w:p w14:paraId="365E0B6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68" w:name="_Toc20640"/>
            <w:bookmarkStart w:id="2069" w:name="_Toc10102"/>
            <w:bookmarkStart w:id="2070" w:name="_Toc27708"/>
            <w:bookmarkStart w:id="2071" w:name="_Toc25577"/>
            <w:bookmarkStart w:id="2072" w:name="_Toc4129"/>
            <w:r>
              <w:rPr>
                <w:rFonts w:hint="default" w:ascii="Times New Roman" w:hAnsi="Times New Roman" w:cs="Times New Roman"/>
                <w:color w:val="auto"/>
                <w:sz w:val="21"/>
                <w:szCs w:val="21"/>
                <w:highlight w:val="none"/>
              </w:rPr>
              <w:t>4.5&lt;pH&lt;5.5</w:t>
            </w:r>
            <w:bookmarkEnd w:id="2068"/>
            <w:bookmarkEnd w:id="2069"/>
            <w:bookmarkEnd w:id="2070"/>
            <w:bookmarkEnd w:id="2071"/>
            <w:bookmarkEnd w:id="2072"/>
          </w:p>
        </w:tc>
      </w:tr>
      <w:tr w14:paraId="05D7BB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exact"/>
          <w:jc w:val="center"/>
        </w:trPr>
        <w:tc>
          <w:tcPr>
            <w:tcW w:w="5000" w:type="pct"/>
            <w:gridSpan w:val="4"/>
            <w:tcBorders>
              <w:tl2br w:val="nil"/>
              <w:tr2bl w:val="nil"/>
            </w:tcBorders>
            <w:shd w:val="clear" w:color="auto" w:fill="FFFFFF"/>
            <w:vAlign w:val="center"/>
          </w:tcPr>
          <w:p w14:paraId="4E4B4DB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073" w:name="_Toc20677"/>
            <w:bookmarkStart w:id="2074" w:name="_Toc2536"/>
            <w:bookmarkStart w:id="2075" w:name="_Toc926"/>
            <w:bookmarkStart w:id="2076" w:name="_Toc14587"/>
            <w:bookmarkStart w:id="2077" w:name="_Toc17519"/>
            <w:r>
              <w:rPr>
                <w:rFonts w:hint="default" w:ascii="Times New Roman" w:hAnsi="Times New Roman" w:cs="Times New Roman"/>
                <w:color w:val="auto"/>
                <w:sz w:val="21"/>
                <w:szCs w:val="21"/>
                <w:highlight w:val="none"/>
              </w:rPr>
              <w:t>注：a是指采用E601观测的多年平均水面蒸发量与降水量的比值，即蒸降比值。</w:t>
            </w:r>
            <w:bookmarkEnd w:id="2073"/>
            <w:bookmarkEnd w:id="2074"/>
            <w:bookmarkEnd w:id="2075"/>
            <w:bookmarkEnd w:id="2076"/>
            <w:bookmarkEnd w:id="2077"/>
          </w:p>
        </w:tc>
      </w:tr>
    </w:tbl>
    <w:p w14:paraId="77F457E6">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本工程</w:t>
      </w:r>
      <w:r>
        <w:rPr>
          <w:rFonts w:hint="default" w:ascii="Times New Roman" w:hAnsi="Times New Roman" w:eastAsia="宋体" w:cs="Times New Roman"/>
          <w:color w:val="auto"/>
          <w:sz w:val="24"/>
          <w:szCs w:val="24"/>
          <w:highlight w:val="none"/>
          <w:lang w:val="en-US" w:eastAsia="zh-CN"/>
        </w:rPr>
        <w:t>为河道治理工程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按照附录表A.1划分为类（水利</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其他</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彭阳</w:t>
      </w:r>
      <w:r>
        <w:rPr>
          <w:rFonts w:hint="default" w:ascii="Times New Roman" w:hAnsi="Times New Roman" w:eastAsia="宋体" w:cs="Times New Roman"/>
          <w:color w:val="auto"/>
          <w:sz w:val="24"/>
          <w:szCs w:val="24"/>
          <w:highlight w:val="none"/>
        </w:rPr>
        <w:t>气象站多年气候统计资料及水文地质资料，项目区域干燥度</w:t>
      </w:r>
      <w:r>
        <w:rPr>
          <w:rFonts w:hint="default" w:ascii="Times New Roman" w:hAnsi="Times New Roman" w:eastAsia="宋体" w:cs="Times New Roman"/>
          <w:color w:val="auto"/>
          <w:sz w:val="24"/>
          <w:szCs w:val="24"/>
          <w:highlight w:val="none"/>
          <w:lang w:val="en-US" w:eastAsia="zh-CN"/>
        </w:rPr>
        <w:t>为1.83</w:t>
      </w:r>
      <w:r>
        <w:rPr>
          <w:rFonts w:hint="default" w:ascii="Times New Roman" w:hAnsi="Times New Roman" w:eastAsia="宋体" w:cs="Times New Roman"/>
          <w:color w:val="auto"/>
          <w:sz w:val="24"/>
          <w:szCs w:val="24"/>
          <w:highlight w:val="none"/>
        </w:rPr>
        <w:t>，河漫滩处地下水位埋深较浅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稳定地下水位一般埋深0.6m～1.0m。</w:t>
      </w:r>
      <w:r>
        <w:rPr>
          <w:rFonts w:hint="default" w:ascii="Times New Roman" w:hAnsi="Times New Roman" w:cs="Times New Roman"/>
          <w:color w:val="auto"/>
          <w:sz w:val="24"/>
          <w:szCs w:val="24"/>
          <w:highlight w:val="none"/>
        </w:rPr>
        <w:t>区域土壤属于</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较敏感</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55337412">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因此，</w:t>
      </w:r>
      <w:r>
        <w:rPr>
          <w:rFonts w:hint="default" w:ascii="Times New Roman" w:hAnsi="Times New Roman" w:cs="Times New Roman"/>
          <w:color w:val="auto"/>
          <w:sz w:val="24"/>
          <w:szCs w:val="24"/>
          <w:highlight w:val="none"/>
          <w:lang w:val="en-US" w:eastAsia="zh-CN"/>
        </w:rPr>
        <w:t>项目区</w:t>
      </w:r>
      <w:r>
        <w:rPr>
          <w:rFonts w:hint="default" w:ascii="Times New Roman" w:hAnsi="Times New Roman" w:cs="Times New Roman"/>
          <w:color w:val="auto"/>
          <w:sz w:val="24"/>
          <w:szCs w:val="24"/>
          <w:highlight w:val="none"/>
        </w:rPr>
        <w:t>土壤评价等级为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三级</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，具体见表1.5-</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w:t>
      </w:r>
    </w:p>
    <w:p w14:paraId="7A2475EF">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表1.5-</w:t>
      </w: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土壤环境影响评价工作等级划分依据表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90"/>
        <w:gridCol w:w="2152"/>
        <w:gridCol w:w="2113"/>
        <w:gridCol w:w="1964"/>
      </w:tblGrid>
      <w:tr w14:paraId="172F1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344" w:type="pct"/>
            <w:tcBorders>
              <w:tl2br w:val="nil"/>
              <w:tr2bl w:val="nil"/>
            </w:tcBorders>
            <w:shd w:val="clear" w:color="auto" w:fill="FFFFFF"/>
            <w:vAlign w:val="center"/>
          </w:tcPr>
          <w:p w14:paraId="5835BCBE">
            <w:pPr>
              <w:pStyle w:val="29"/>
              <w:suppressLineNumbers w:val="0"/>
              <w:bidi w:val="0"/>
              <w:spacing w:beforeAutospacing="0" w:afterAutospacing="0"/>
              <w:ind w:left="0" w:right="0"/>
              <w:jc w:val="right"/>
              <w:rPr>
                <w:rFonts w:hint="default" w:ascii="Times New Roman" w:hAnsi="Times New Roman" w:cs="Times New Roman"/>
                <w:b/>
                <w:bCs/>
                <w:color w:val="auto"/>
                <w:sz w:val="21"/>
                <w:szCs w:val="21"/>
                <w:highlight w:val="none"/>
              </w:rPr>
            </w:pPr>
            <w:bookmarkStart w:id="2078" w:name="_Toc21827"/>
            <w:bookmarkStart w:id="2079" w:name="_Toc6373"/>
            <w:bookmarkStart w:id="2080" w:name="_Toc954"/>
            <w:bookmarkStart w:id="2081" w:name="_Toc8231"/>
            <w:bookmarkStart w:id="2082" w:name="_Toc17043"/>
            <w:r>
              <w:rPr>
                <w:rFonts w:hint="default" w:ascii="Times New Roman" w:hAnsi="Times New Roman" w:cs="Times New Roman"/>
                <w:b/>
                <w:bCs/>
                <w:color w:val="auto"/>
                <w:sz w:val="21"/>
                <w:szCs w:val="21"/>
                <w:highlight w:val="none"/>
              </w:rPr>
              <w:t>工作等级</w:t>
            </w:r>
            <w:bookmarkEnd w:id="2078"/>
            <w:bookmarkEnd w:id="2079"/>
            <w:bookmarkEnd w:id="2080"/>
            <w:bookmarkEnd w:id="2081"/>
            <w:bookmarkEnd w:id="2082"/>
          </w:p>
          <w:p w14:paraId="50D3E177">
            <w:pPr>
              <w:pStyle w:val="29"/>
              <w:suppressLineNumbers w:val="0"/>
              <w:bidi w:val="0"/>
              <w:spacing w:beforeAutospacing="0" w:afterAutospacing="0"/>
              <w:ind w:left="0" w:right="0"/>
              <w:jc w:val="left"/>
              <w:rPr>
                <w:rFonts w:hint="default" w:ascii="Times New Roman" w:hAnsi="Times New Roman" w:cs="Times New Roman"/>
                <w:b/>
                <w:bCs/>
                <w:color w:val="auto"/>
                <w:sz w:val="21"/>
                <w:szCs w:val="21"/>
                <w:highlight w:val="none"/>
              </w:rPr>
            </w:pPr>
            <w:bookmarkStart w:id="2083" w:name="_Toc30201"/>
            <w:bookmarkStart w:id="2084" w:name="_Toc14452"/>
            <w:bookmarkStart w:id="2085" w:name="_Toc30956"/>
            <w:bookmarkStart w:id="2086" w:name="_Toc8425"/>
            <w:bookmarkStart w:id="2087" w:name="_Toc6930"/>
            <w:r>
              <w:rPr>
                <w:rFonts w:hint="default" w:ascii="Times New Roman" w:hAnsi="Times New Roman" w:cs="Times New Roman"/>
                <w:b/>
                <w:bCs/>
                <w:color w:val="auto"/>
                <w:sz w:val="21"/>
                <w:szCs w:val="21"/>
                <w:highlight w:val="none"/>
              </w:rPr>
              <w:t>项目</w:t>
            </w:r>
            <w:bookmarkEnd w:id="2083"/>
            <w:bookmarkEnd w:id="2084"/>
            <w:bookmarkEnd w:id="2085"/>
            <w:bookmarkEnd w:id="2086"/>
            <w:bookmarkEnd w:id="2087"/>
          </w:p>
        </w:tc>
        <w:tc>
          <w:tcPr>
            <w:tcW w:w="1263" w:type="pct"/>
            <w:tcBorders>
              <w:tl2br w:val="nil"/>
              <w:tr2bl w:val="nil"/>
            </w:tcBorders>
            <w:shd w:val="clear" w:color="auto" w:fill="FFFFFF"/>
            <w:vAlign w:val="center"/>
          </w:tcPr>
          <w:p w14:paraId="4AB9668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088" w:name="_Toc14889"/>
            <w:bookmarkStart w:id="2089" w:name="_Toc10918"/>
            <w:bookmarkStart w:id="2090" w:name="_Toc13268"/>
            <w:bookmarkStart w:id="2091" w:name="_Toc23253"/>
            <w:bookmarkStart w:id="2092" w:name="_Toc16237"/>
            <w:r>
              <w:rPr>
                <w:rFonts w:hint="default" w:ascii="Times New Roman" w:hAnsi="Times New Roman" w:cs="Times New Roman"/>
                <w:b/>
                <w:bCs/>
                <w:color w:val="auto"/>
                <w:sz w:val="21"/>
                <w:szCs w:val="21"/>
                <w:highlight w:val="none"/>
              </w:rPr>
              <w:t>I类</w:t>
            </w:r>
            <w:bookmarkEnd w:id="2088"/>
            <w:bookmarkEnd w:id="2089"/>
            <w:bookmarkEnd w:id="2090"/>
            <w:bookmarkEnd w:id="2091"/>
            <w:bookmarkEnd w:id="2092"/>
          </w:p>
        </w:tc>
        <w:tc>
          <w:tcPr>
            <w:tcW w:w="1240" w:type="pct"/>
            <w:tcBorders>
              <w:tl2br w:val="nil"/>
              <w:tr2bl w:val="nil"/>
            </w:tcBorders>
            <w:shd w:val="clear" w:color="auto" w:fill="FFFFFF"/>
            <w:vAlign w:val="center"/>
          </w:tcPr>
          <w:p w14:paraId="6E6AD54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093" w:name="_Toc20550"/>
            <w:bookmarkStart w:id="2094" w:name="_Toc14811"/>
            <w:bookmarkStart w:id="2095" w:name="_Toc21945"/>
            <w:bookmarkStart w:id="2096" w:name="_Toc18031"/>
            <w:bookmarkStart w:id="2097" w:name="_Toc526"/>
            <w:r>
              <w:rPr>
                <w:rFonts w:hint="eastAsia" w:cs="Times New Roman"/>
                <w:b/>
                <w:bCs/>
                <w:color w:val="auto"/>
                <w:sz w:val="21"/>
                <w:szCs w:val="21"/>
                <w:highlight w:val="none"/>
                <w:lang w:eastAsia="zh-CN"/>
              </w:rPr>
              <w:t>Ⅱ</w:t>
            </w:r>
            <w:r>
              <w:rPr>
                <w:rFonts w:hint="default" w:ascii="Times New Roman" w:hAnsi="Times New Roman" w:cs="Times New Roman"/>
                <w:b/>
                <w:bCs/>
                <w:color w:val="auto"/>
                <w:sz w:val="21"/>
                <w:szCs w:val="21"/>
                <w:highlight w:val="none"/>
              </w:rPr>
              <w:t>类</w:t>
            </w:r>
            <w:bookmarkEnd w:id="2093"/>
            <w:bookmarkEnd w:id="2094"/>
            <w:bookmarkEnd w:id="2095"/>
            <w:bookmarkEnd w:id="2096"/>
            <w:bookmarkEnd w:id="2097"/>
          </w:p>
        </w:tc>
        <w:tc>
          <w:tcPr>
            <w:tcW w:w="1152" w:type="pct"/>
            <w:tcBorders>
              <w:tl2br w:val="nil"/>
              <w:tr2bl w:val="nil"/>
            </w:tcBorders>
            <w:shd w:val="clear" w:color="auto" w:fill="FFFFFF"/>
            <w:vAlign w:val="center"/>
          </w:tcPr>
          <w:p w14:paraId="5D834C9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098" w:name="_Toc31499"/>
            <w:bookmarkStart w:id="2099" w:name="_Toc32063"/>
            <w:bookmarkStart w:id="2100" w:name="_Toc12141"/>
            <w:bookmarkStart w:id="2101" w:name="_Toc29388"/>
            <w:bookmarkStart w:id="2102" w:name="_Toc11847"/>
            <w:r>
              <w:rPr>
                <w:rFonts w:hint="eastAsia" w:cs="Times New Roman"/>
                <w:b/>
                <w:bCs/>
                <w:color w:val="auto"/>
                <w:sz w:val="21"/>
                <w:szCs w:val="21"/>
                <w:highlight w:val="none"/>
                <w:lang w:eastAsia="zh-CN"/>
              </w:rPr>
              <w:t>Ⅲ</w:t>
            </w:r>
            <w:r>
              <w:rPr>
                <w:rFonts w:hint="default" w:ascii="Times New Roman" w:hAnsi="Times New Roman" w:cs="Times New Roman"/>
                <w:b/>
                <w:bCs/>
                <w:color w:val="auto"/>
                <w:sz w:val="21"/>
                <w:szCs w:val="21"/>
                <w:highlight w:val="none"/>
              </w:rPr>
              <w:t>类</w:t>
            </w:r>
            <w:bookmarkEnd w:id="2098"/>
            <w:bookmarkEnd w:id="2099"/>
            <w:bookmarkEnd w:id="2100"/>
            <w:bookmarkEnd w:id="2101"/>
            <w:bookmarkEnd w:id="2102"/>
          </w:p>
        </w:tc>
      </w:tr>
      <w:tr w14:paraId="1A0729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8" w:hRule="exact"/>
        </w:trPr>
        <w:tc>
          <w:tcPr>
            <w:tcW w:w="1344" w:type="pct"/>
            <w:tcBorders>
              <w:tl2br w:val="nil"/>
              <w:tr2bl w:val="nil"/>
            </w:tcBorders>
            <w:shd w:val="clear" w:color="auto" w:fill="FFFFFF"/>
            <w:vAlign w:val="center"/>
          </w:tcPr>
          <w:p w14:paraId="0ACC164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03" w:name="_Toc17550"/>
            <w:bookmarkStart w:id="2104" w:name="_Toc13503"/>
            <w:bookmarkStart w:id="2105" w:name="_Toc5944"/>
            <w:bookmarkStart w:id="2106" w:name="_Toc27121"/>
            <w:bookmarkStart w:id="2107" w:name="_Toc6976"/>
            <w:r>
              <w:rPr>
                <w:rFonts w:hint="default" w:ascii="Times New Roman" w:hAnsi="Times New Roman" w:cs="Times New Roman"/>
                <w:color w:val="auto"/>
                <w:sz w:val="21"/>
                <w:szCs w:val="21"/>
                <w:highlight w:val="none"/>
              </w:rPr>
              <w:t>敏感</w:t>
            </w:r>
            <w:bookmarkEnd w:id="2103"/>
            <w:bookmarkEnd w:id="2104"/>
            <w:bookmarkEnd w:id="2105"/>
            <w:bookmarkEnd w:id="2106"/>
            <w:bookmarkEnd w:id="2107"/>
          </w:p>
        </w:tc>
        <w:tc>
          <w:tcPr>
            <w:tcW w:w="1263" w:type="pct"/>
            <w:tcBorders>
              <w:tl2br w:val="nil"/>
              <w:tr2bl w:val="nil"/>
            </w:tcBorders>
            <w:shd w:val="clear" w:color="auto" w:fill="FFFFFF"/>
            <w:vAlign w:val="center"/>
          </w:tcPr>
          <w:p w14:paraId="27DF195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08" w:name="_Toc19213"/>
            <w:bookmarkStart w:id="2109" w:name="_Toc17756"/>
            <w:bookmarkStart w:id="2110" w:name="_Toc22969"/>
            <w:bookmarkStart w:id="2111" w:name="_Toc9146"/>
            <w:bookmarkStart w:id="2112" w:name="_Toc2415"/>
            <w:r>
              <w:rPr>
                <w:rFonts w:hint="default" w:ascii="Times New Roman" w:hAnsi="Times New Roman" w:cs="Times New Roman"/>
                <w:color w:val="auto"/>
                <w:sz w:val="21"/>
                <w:szCs w:val="21"/>
                <w:highlight w:val="none"/>
              </w:rPr>
              <w:t>一级</w:t>
            </w:r>
            <w:bookmarkEnd w:id="2108"/>
            <w:bookmarkEnd w:id="2109"/>
            <w:bookmarkEnd w:id="2110"/>
            <w:bookmarkEnd w:id="2111"/>
            <w:bookmarkEnd w:id="2112"/>
          </w:p>
        </w:tc>
        <w:tc>
          <w:tcPr>
            <w:tcW w:w="1240" w:type="pct"/>
            <w:tcBorders>
              <w:tl2br w:val="nil"/>
              <w:tr2bl w:val="nil"/>
            </w:tcBorders>
            <w:shd w:val="clear" w:color="auto" w:fill="FFFFFF"/>
            <w:vAlign w:val="center"/>
          </w:tcPr>
          <w:p w14:paraId="672DEF8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13" w:name="_Toc23159"/>
            <w:bookmarkStart w:id="2114" w:name="_Toc15427"/>
            <w:bookmarkStart w:id="2115" w:name="_Toc27236"/>
            <w:bookmarkStart w:id="2116" w:name="_Toc14132"/>
            <w:bookmarkStart w:id="2117" w:name="_Toc1941"/>
            <w:r>
              <w:rPr>
                <w:rFonts w:hint="default" w:ascii="Times New Roman" w:hAnsi="Times New Roman" w:cs="Times New Roman"/>
                <w:color w:val="auto"/>
                <w:sz w:val="21"/>
                <w:szCs w:val="21"/>
                <w:highlight w:val="none"/>
              </w:rPr>
              <w:t>二级</w:t>
            </w:r>
            <w:bookmarkEnd w:id="2113"/>
            <w:bookmarkEnd w:id="2114"/>
            <w:bookmarkEnd w:id="2115"/>
            <w:bookmarkEnd w:id="2116"/>
            <w:bookmarkEnd w:id="2117"/>
          </w:p>
        </w:tc>
        <w:tc>
          <w:tcPr>
            <w:tcW w:w="1152" w:type="pct"/>
            <w:tcBorders>
              <w:tl2br w:val="nil"/>
              <w:tr2bl w:val="nil"/>
            </w:tcBorders>
            <w:shd w:val="clear" w:color="auto" w:fill="FFFFFF"/>
            <w:vAlign w:val="center"/>
          </w:tcPr>
          <w:p w14:paraId="42CE39D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18" w:name="_Toc19034"/>
            <w:bookmarkStart w:id="2119" w:name="_Toc32587"/>
            <w:bookmarkStart w:id="2120" w:name="_Toc32648"/>
            <w:bookmarkStart w:id="2121" w:name="_Toc25439"/>
            <w:bookmarkStart w:id="2122" w:name="_Toc22498"/>
            <w:r>
              <w:rPr>
                <w:rFonts w:hint="default" w:ascii="Times New Roman" w:hAnsi="Times New Roman" w:cs="Times New Roman"/>
                <w:color w:val="auto"/>
                <w:sz w:val="21"/>
                <w:szCs w:val="21"/>
                <w:highlight w:val="none"/>
              </w:rPr>
              <w:t>三级</w:t>
            </w:r>
            <w:bookmarkEnd w:id="2118"/>
            <w:bookmarkEnd w:id="2119"/>
            <w:bookmarkEnd w:id="2120"/>
            <w:bookmarkEnd w:id="2121"/>
            <w:bookmarkEnd w:id="2122"/>
          </w:p>
        </w:tc>
      </w:tr>
      <w:tr w14:paraId="692B84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exact"/>
        </w:trPr>
        <w:tc>
          <w:tcPr>
            <w:tcW w:w="1344" w:type="pct"/>
            <w:tcBorders>
              <w:tl2br w:val="nil"/>
              <w:tr2bl w:val="nil"/>
            </w:tcBorders>
            <w:shd w:val="clear" w:color="auto" w:fill="FFFFFF"/>
            <w:vAlign w:val="center"/>
          </w:tcPr>
          <w:p w14:paraId="0DD7A24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23" w:name="_Toc14329"/>
            <w:bookmarkStart w:id="2124" w:name="_Toc15758"/>
            <w:bookmarkStart w:id="2125" w:name="_Toc22592"/>
            <w:bookmarkStart w:id="2126" w:name="_Toc16928"/>
            <w:bookmarkStart w:id="2127" w:name="_Toc27405"/>
            <w:r>
              <w:rPr>
                <w:rFonts w:hint="default" w:ascii="Times New Roman" w:hAnsi="Times New Roman" w:cs="Times New Roman"/>
                <w:color w:val="auto"/>
                <w:sz w:val="21"/>
                <w:szCs w:val="21"/>
                <w:highlight w:val="none"/>
              </w:rPr>
              <w:t>较敏感</w:t>
            </w:r>
            <w:bookmarkEnd w:id="2123"/>
            <w:bookmarkEnd w:id="2124"/>
            <w:bookmarkEnd w:id="2125"/>
            <w:bookmarkEnd w:id="2126"/>
            <w:bookmarkEnd w:id="2127"/>
          </w:p>
        </w:tc>
        <w:tc>
          <w:tcPr>
            <w:tcW w:w="1263" w:type="pct"/>
            <w:tcBorders>
              <w:tl2br w:val="nil"/>
              <w:tr2bl w:val="nil"/>
            </w:tcBorders>
            <w:shd w:val="clear" w:color="auto" w:fill="FFFFFF"/>
            <w:vAlign w:val="center"/>
          </w:tcPr>
          <w:p w14:paraId="6881772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28" w:name="_Toc17557"/>
            <w:bookmarkStart w:id="2129" w:name="_Toc14985"/>
            <w:bookmarkStart w:id="2130" w:name="_Toc26836"/>
            <w:bookmarkStart w:id="2131" w:name="_Toc22228"/>
            <w:bookmarkStart w:id="2132" w:name="_Toc31865"/>
            <w:r>
              <w:rPr>
                <w:rFonts w:hint="default" w:ascii="Times New Roman" w:hAnsi="Times New Roman" w:cs="Times New Roman"/>
                <w:color w:val="auto"/>
                <w:sz w:val="21"/>
                <w:szCs w:val="21"/>
                <w:highlight w:val="none"/>
              </w:rPr>
              <w:t>二级</w:t>
            </w:r>
            <w:bookmarkEnd w:id="2128"/>
            <w:bookmarkEnd w:id="2129"/>
            <w:bookmarkEnd w:id="2130"/>
            <w:bookmarkEnd w:id="2131"/>
            <w:bookmarkEnd w:id="2132"/>
          </w:p>
        </w:tc>
        <w:tc>
          <w:tcPr>
            <w:tcW w:w="1240" w:type="pct"/>
            <w:tcBorders>
              <w:tl2br w:val="nil"/>
              <w:tr2bl w:val="nil"/>
            </w:tcBorders>
            <w:shd w:val="clear" w:color="auto" w:fill="FFFFFF"/>
            <w:vAlign w:val="center"/>
          </w:tcPr>
          <w:p w14:paraId="03894CF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33" w:name="_Toc12550"/>
            <w:bookmarkStart w:id="2134" w:name="_Toc32329"/>
            <w:bookmarkStart w:id="2135" w:name="_Toc26060"/>
            <w:bookmarkStart w:id="2136" w:name="_Toc1011"/>
            <w:bookmarkStart w:id="2137" w:name="_Toc8650"/>
            <w:r>
              <w:rPr>
                <w:rFonts w:hint="default" w:ascii="Times New Roman" w:hAnsi="Times New Roman" w:cs="Times New Roman"/>
                <w:color w:val="auto"/>
                <w:sz w:val="21"/>
                <w:szCs w:val="21"/>
                <w:highlight w:val="none"/>
              </w:rPr>
              <w:t>二级</w:t>
            </w:r>
            <w:bookmarkEnd w:id="2133"/>
            <w:bookmarkEnd w:id="2134"/>
            <w:bookmarkEnd w:id="2135"/>
            <w:bookmarkEnd w:id="2136"/>
            <w:bookmarkEnd w:id="2137"/>
          </w:p>
        </w:tc>
        <w:tc>
          <w:tcPr>
            <w:tcW w:w="1152" w:type="pct"/>
            <w:tcBorders>
              <w:tl2br w:val="nil"/>
              <w:tr2bl w:val="nil"/>
            </w:tcBorders>
            <w:shd w:val="clear" w:color="auto" w:fill="FFFFFF"/>
            <w:vAlign w:val="center"/>
          </w:tcPr>
          <w:p w14:paraId="658C54D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38" w:name="_Toc29464"/>
            <w:bookmarkStart w:id="2139" w:name="_Toc18326"/>
            <w:bookmarkStart w:id="2140" w:name="_Toc21183"/>
            <w:bookmarkStart w:id="2141" w:name="_Toc21255"/>
            <w:bookmarkStart w:id="2142" w:name="_Toc14700"/>
            <w:r>
              <w:rPr>
                <w:rFonts w:hint="default" w:ascii="Times New Roman" w:hAnsi="Times New Roman" w:cs="Times New Roman"/>
                <w:color w:val="auto"/>
                <w:sz w:val="21"/>
                <w:szCs w:val="21"/>
                <w:highlight w:val="none"/>
              </w:rPr>
              <w:t>三级</w:t>
            </w:r>
            <w:bookmarkEnd w:id="2138"/>
            <w:bookmarkEnd w:id="2139"/>
            <w:bookmarkEnd w:id="2140"/>
            <w:bookmarkEnd w:id="2141"/>
            <w:bookmarkEnd w:id="2142"/>
          </w:p>
        </w:tc>
      </w:tr>
      <w:tr w14:paraId="6FE5F7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exact"/>
        </w:trPr>
        <w:tc>
          <w:tcPr>
            <w:tcW w:w="1344" w:type="pct"/>
            <w:tcBorders>
              <w:tl2br w:val="nil"/>
              <w:tr2bl w:val="nil"/>
            </w:tcBorders>
            <w:shd w:val="clear" w:color="auto" w:fill="FFFFFF"/>
            <w:vAlign w:val="center"/>
          </w:tcPr>
          <w:p w14:paraId="1C3E6D6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43" w:name="_Toc11962"/>
            <w:bookmarkStart w:id="2144" w:name="_Toc2806"/>
            <w:bookmarkStart w:id="2145" w:name="_Toc12313"/>
            <w:bookmarkStart w:id="2146" w:name="_Toc28512"/>
            <w:bookmarkStart w:id="2147" w:name="_Toc5791"/>
            <w:r>
              <w:rPr>
                <w:rFonts w:hint="default" w:ascii="Times New Roman" w:hAnsi="Times New Roman" w:cs="Times New Roman"/>
                <w:color w:val="auto"/>
                <w:sz w:val="21"/>
                <w:szCs w:val="21"/>
                <w:highlight w:val="none"/>
              </w:rPr>
              <w:t>不敏感</w:t>
            </w:r>
            <w:bookmarkEnd w:id="2143"/>
            <w:bookmarkEnd w:id="2144"/>
            <w:bookmarkEnd w:id="2145"/>
            <w:bookmarkEnd w:id="2146"/>
            <w:bookmarkEnd w:id="2147"/>
          </w:p>
        </w:tc>
        <w:tc>
          <w:tcPr>
            <w:tcW w:w="1263" w:type="pct"/>
            <w:tcBorders>
              <w:tl2br w:val="nil"/>
              <w:tr2bl w:val="nil"/>
            </w:tcBorders>
            <w:shd w:val="clear" w:color="auto" w:fill="FFFFFF"/>
            <w:vAlign w:val="center"/>
          </w:tcPr>
          <w:p w14:paraId="02207AA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48" w:name="_Toc5228"/>
            <w:bookmarkStart w:id="2149" w:name="_Toc18466"/>
            <w:bookmarkStart w:id="2150" w:name="_Toc10630"/>
            <w:bookmarkStart w:id="2151" w:name="_Toc3118"/>
            <w:bookmarkStart w:id="2152" w:name="_Toc4034"/>
            <w:r>
              <w:rPr>
                <w:rFonts w:hint="default" w:ascii="Times New Roman" w:hAnsi="Times New Roman" w:cs="Times New Roman"/>
                <w:color w:val="auto"/>
                <w:sz w:val="21"/>
                <w:szCs w:val="21"/>
                <w:highlight w:val="none"/>
              </w:rPr>
              <w:t>二级</w:t>
            </w:r>
            <w:bookmarkEnd w:id="2148"/>
            <w:bookmarkEnd w:id="2149"/>
            <w:bookmarkEnd w:id="2150"/>
            <w:bookmarkEnd w:id="2151"/>
            <w:bookmarkEnd w:id="2152"/>
          </w:p>
        </w:tc>
        <w:tc>
          <w:tcPr>
            <w:tcW w:w="1240" w:type="pct"/>
            <w:tcBorders>
              <w:tl2br w:val="nil"/>
              <w:tr2bl w:val="nil"/>
            </w:tcBorders>
            <w:shd w:val="clear" w:color="auto" w:fill="FFFFFF"/>
            <w:vAlign w:val="center"/>
          </w:tcPr>
          <w:p w14:paraId="0C0D43E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53" w:name="_Toc21035"/>
            <w:bookmarkStart w:id="2154" w:name="_Toc25538"/>
            <w:bookmarkStart w:id="2155" w:name="_Toc14971"/>
            <w:bookmarkStart w:id="2156" w:name="_Toc26455"/>
            <w:bookmarkStart w:id="2157" w:name="_Toc32547"/>
            <w:r>
              <w:rPr>
                <w:rFonts w:hint="default" w:ascii="Times New Roman" w:hAnsi="Times New Roman" w:cs="Times New Roman"/>
                <w:color w:val="auto"/>
                <w:sz w:val="21"/>
                <w:szCs w:val="21"/>
                <w:highlight w:val="none"/>
              </w:rPr>
              <w:t>三级</w:t>
            </w:r>
            <w:bookmarkEnd w:id="2153"/>
            <w:bookmarkEnd w:id="2154"/>
            <w:bookmarkEnd w:id="2155"/>
            <w:bookmarkEnd w:id="2156"/>
            <w:bookmarkEnd w:id="2157"/>
          </w:p>
        </w:tc>
        <w:tc>
          <w:tcPr>
            <w:tcW w:w="1152" w:type="pct"/>
            <w:tcBorders>
              <w:tl2br w:val="nil"/>
              <w:tr2bl w:val="nil"/>
            </w:tcBorders>
            <w:shd w:val="clear" w:color="auto" w:fill="FFFFFF"/>
            <w:vAlign w:val="center"/>
          </w:tcPr>
          <w:p w14:paraId="66C5D1B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58" w:name="_Toc30835"/>
            <w:bookmarkStart w:id="2159" w:name="_Toc4074"/>
            <w:bookmarkStart w:id="2160" w:name="_Toc6409"/>
            <w:bookmarkStart w:id="2161" w:name="_Toc30734"/>
            <w:bookmarkStart w:id="2162" w:name="_Toc28856"/>
            <w:r>
              <w:rPr>
                <w:rFonts w:hint="default" w:ascii="Times New Roman" w:hAnsi="Times New Roman" w:cs="Times New Roman"/>
                <w:color w:val="auto"/>
                <w:sz w:val="21"/>
                <w:szCs w:val="21"/>
                <w:highlight w:val="none"/>
              </w:rPr>
              <w:t>-</w:t>
            </w:r>
            <w:bookmarkEnd w:id="2158"/>
            <w:bookmarkEnd w:id="2159"/>
            <w:bookmarkEnd w:id="2160"/>
            <w:bookmarkEnd w:id="2161"/>
            <w:bookmarkEnd w:id="2162"/>
          </w:p>
        </w:tc>
      </w:tr>
      <w:tr w14:paraId="41EB3D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exact"/>
        </w:trPr>
        <w:tc>
          <w:tcPr>
            <w:tcW w:w="5000" w:type="pct"/>
            <w:gridSpan w:val="4"/>
            <w:tcBorders>
              <w:tl2br w:val="nil"/>
              <w:tr2bl w:val="nil"/>
            </w:tcBorders>
            <w:shd w:val="clear" w:color="auto" w:fill="FFFFFF"/>
            <w:vAlign w:val="center"/>
          </w:tcPr>
          <w:p w14:paraId="08A4D07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163" w:name="_Toc17016"/>
            <w:bookmarkStart w:id="2164" w:name="_Toc18759"/>
            <w:bookmarkStart w:id="2165" w:name="_Toc29929"/>
            <w:bookmarkStart w:id="2166" w:name="_Toc7730"/>
            <w:bookmarkStart w:id="2167" w:name="_Toc18822"/>
            <w:r>
              <w:rPr>
                <w:rFonts w:hint="default" w:ascii="Times New Roman" w:hAnsi="Times New Roman" w:cs="Times New Roman"/>
                <w:color w:val="auto"/>
                <w:sz w:val="21"/>
                <w:szCs w:val="21"/>
                <w:highlight w:val="none"/>
              </w:rPr>
              <w:t>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表示可不开展土壤环境影响评价工作</w:t>
            </w:r>
            <w:bookmarkEnd w:id="2163"/>
            <w:bookmarkEnd w:id="2164"/>
            <w:bookmarkEnd w:id="2165"/>
            <w:bookmarkEnd w:id="2166"/>
            <w:bookmarkEnd w:id="2167"/>
          </w:p>
        </w:tc>
      </w:tr>
    </w:tbl>
    <w:p w14:paraId="39EDEDDD">
      <w:pPr>
        <w:pStyle w:val="6"/>
        <w:rPr>
          <w:rFonts w:hint="default" w:ascii="Times New Roman" w:hAnsi="Times New Roman" w:cs="Times New Roman"/>
          <w:color w:val="auto"/>
          <w:sz w:val="28"/>
          <w:szCs w:val="28"/>
          <w:highlight w:val="none"/>
        </w:rPr>
      </w:pPr>
      <w:bookmarkStart w:id="2168" w:name="_Toc1756"/>
      <w:bookmarkStart w:id="2169" w:name="_Toc6266"/>
      <w:bookmarkStart w:id="2170" w:name="_Toc23492"/>
      <w:r>
        <w:rPr>
          <w:rFonts w:hint="default" w:ascii="Times New Roman" w:hAnsi="Times New Roman" w:cs="Times New Roman"/>
          <w:color w:val="auto"/>
          <w:sz w:val="28"/>
          <w:szCs w:val="28"/>
          <w:highlight w:val="none"/>
        </w:rPr>
        <w:t>1.5.2评价范围</w:t>
      </w:r>
      <w:bookmarkEnd w:id="2168"/>
      <w:bookmarkEnd w:id="2169"/>
      <w:bookmarkEnd w:id="2170"/>
    </w:p>
    <w:p w14:paraId="180728B0">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1.5.2.1生态环境</w:t>
      </w:r>
    </w:p>
    <w:p w14:paraId="1EF3E161">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本次生态影响评价包括水生生态和陆域生态。</w:t>
      </w:r>
    </w:p>
    <w:p w14:paraId="7085650B">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（1）水生生态评价范围</w:t>
      </w:r>
      <w:r>
        <w:rPr>
          <w:rFonts w:hint="default" w:ascii="Times New Roman" w:hAnsi="Times New Roman" w:cs="Times New Roman"/>
          <w:color w:val="auto"/>
          <w:sz w:val="24"/>
          <w:szCs w:val="24"/>
          <w:highlight w:val="none"/>
          <w:lang w:val="en-US" w:eastAsia="zh-CN"/>
        </w:rPr>
        <w:t>为</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茹河小河段项目工程区（含</w:t>
      </w:r>
      <w:r>
        <w:rPr>
          <w:rFonts w:hint="default" w:ascii="Times New Roman" w:hAnsi="Times New Roman" w:cs="Times New Roman"/>
          <w:snapToGrid w:val="0"/>
          <w:color w:val="auto"/>
          <w:sz w:val="24"/>
          <w:szCs w:val="24"/>
          <w:highlight w:val="none"/>
          <w:lang w:val="en-US" w:eastAsia="zh-CN"/>
        </w:rPr>
        <w:t>石头崾岘水库</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水文情势受影响区域；</w:t>
      </w:r>
    </w:p>
    <w:p w14:paraId="52D35237">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（2）陆域生态评价范围包括：</w:t>
      </w:r>
    </w:p>
    <w:p w14:paraId="628F74C5">
      <w:pP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穿越非敏感区评价范围：管线中心线向两侧外延300m范围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lang w:eastAsia="zh-CN"/>
        </w:rPr>
        <w:t>堆场四周</w:t>
      </w:r>
      <w:r>
        <w:rPr>
          <w:rFonts w:hint="default" w:ascii="Times New Roman" w:hAnsi="Times New Roman" w:cs="Times New Roman"/>
          <w:color w:val="auto"/>
          <w:sz w:val="24"/>
          <w:highlight w:val="none"/>
          <w:lang w:val="en-US" w:eastAsia="zh-CN"/>
        </w:rPr>
        <w:t>500m范围。</w:t>
      </w:r>
    </w:p>
    <w:p w14:paraId="7ED8B788">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1.5.2.2地表水环境</w:t>
      </w:r>
    </w:p>
    <w:p w14:paraId="59E49EF2">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茹河小河段项目工程区（含</w:t>
      </w:r>
      <w:r>
        <w:rPr>
          <w:rFonts w:hint="default" w:ascii="Times New Roman" w:hAnsi="Times New Roman" w:cs="Times New Roman"/>
          <w:snapToGrid w:val="0"/>
          <w:color w:val="auto"/>
          <w:sz w:val="24"/>
          <w:szCs w:val="24"/>
          <w:highlight w:val="none"/>
          <w:lang w:val="en-US" w:eastAsia="zh-CN"/>
        </w:rPr>
        <w:t>石头崾岘水库</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水文情势受影响区域。</w:t>
      </w:r>
    </w:p>
    <w:p w14:paraId="36F619DE">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1.5.2.3地下水环境</w:t>
      </w:r>
    </w:p>
    <w:p w14:paraId="59864F21">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根据地下水评价等级判定结果，按照《环境影响评价技术导则地下水环境》（HJ610-2016）中</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线性工程应以工程边界两侧向外延伸200m作为评价范围</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由于石头崾岘水库为河道型水库，为项目河道的一部分，因此</w:t>
      </w:r>
      <w:r>
        <w:rPr>
          <w:rFonts w:hint="default" w:ascii="Times New Roman" w:hAnsi="Times New Roman" w:cs="Times New Roman"/>
          <w:color w:val="auto"/>
          <w:sz w:val="24"/>
          <w:szCs w:val="24"/>
          <w:highlight w:val="none"/>
        </w:rPr>
        <w:t>本次</w:t>
      </w:r>
      <w:r>
        <w:rPr>
          <w:rFonts w:hint="default" w:ascii="Times New Roman" w:hAnsi="Times New Roman" w:cs="Times New Roman"/>
          <w:color w:val="auto"/>
          <w:sz w:val="24"/>
          <w:szCs w:val="24"/>
          <w:highlight w:val="none"/>
          <w:lang w:val="en-US" w:eastAsia="zh-CN"/>
        </w:rPr>
        <w:t>河道治理工程（含石头崾岘水库）</w:t>
      </w:r>
      <w:r>
        <w:rPr>
          <w:rFonts w:hint="default" w:ascii="Times New Roman" w:hAnsi="Times New Roman" w:cs="Times New Roman"/>
          <w:color w:val="auto"/>
          <w:sz w:val="24"/>
          <w:szCs w:val="24"/>
          <w:highlight w:val="none"/>
        </w:rPr>
        <w:t>地下水评价范围为</w:t>
      </w:r>
      <w:r>
        <w:rPr>
          <w:rFonts w:hint="default" w:ascii="Times New Roman" w:hAnsi="Times New Roman" w:cs="Times New Roman"/>
          <w:color w:val="auto"/>
          <w:sz w:val="24"/>
          <w:szCs w:val="24"/>
          <w:highlight w:val="none"/>
          <w:lang w:val="en-US" w:eastAsia="zh-CN"/>
        </w:rPr>
        <w:t>河道工程区</w:t>
      </w:r>
      <w:r>
        <w:rPr>
          <w:rFonts w:hint="default" w:ascii="Times New Roman" w:hAnsi="Times New Roman" w:cs="Times New Roman"/>
          <w:color w:val="auto"/>
          <w:sz w:val="24"/>
          <w:szCs w:val="24"/>
          <w:highlight w:val="none"/>
        </w:rPr>
        <w:t>两侧各200m。</w:t>
      </w:r>
    </w:p>
    <w:p w14:paraId="764926E8">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1.5.2.4声环境</w:t>
      </w:r>
    </w:p>
    <w:p w14:paraId="046E42C9">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声环境评价范围主要是各施工营地、临时施工点、施工道路等200m范围。</w:t>
      </w:r>
    </w:p>
    <w:p w14:paraId="7EBBAD94">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1.5.2.5土壤环境</w:t>
      </w:r>
    </w:p>
    <w:p w14:paraId="2B45FB6B">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本次土壤环境评价范围为</w:t>
      </w:r>
      <w:r>
        <w:rPr>
          <w:rFonts w:hint="default" w:ascii="Times New Roman" w:hAnsi="Times New Roman" w:cs="Times New Roman"/>
          <w:color w:val="auto"/>
          <w:sz w:val="24"/>
          <w:szCs w:val="24"/>
          <w:highlight w:val="none"/>
          <w:lang w:val="en-US" w:eastAsia="zh-CN"/>
        </w:rPr>
        <w:t>茹河小河段项目工程区（含</w:t>
      </w:r>
      <w:r>
        <w:rPr>
          <w:rFonts w:hint="default" w:ascii="Times New Roman" w:hAnsi="Times New Roman" w:cs="Times New Roman"/>
          <w:snapToGrid w:val="0"/>
          <w:color w:val="auto"/>
          <w:sz w:val="24"/>
          <w:szCs w:val="24"/>
          <w:highlight w:val="none"/>
          <w:lang w:val="en-US" w:eastAsia="zh-CN"/>
        </w:rPr>
        <w:t>石头崾岘水库</w:t>
      </w:r>
      <w:r>
        <w:rPr>
          <w:rFonts w:hint="default" w:ascii="Times New Roman" w:hAnsi="Times New Roman" w:cs="Times New Roman"/>
          <w:color w:val="auto"/>
          <w:sz w:val="24"/>
          <w:szCs w:val="24"/>
          <w:highlight w:val="none"/>
          <w:lang w:val="en-US" w:eastAsia="zh-CN"/>
        </w:rPr>
        <w:t>）两侧200m范围</w:t>
      </w:r>
      <w:r>
        <w:rPr>
          <w:rFonts w:hint="default" w:ascii="Times New Roman" w:hAnsi="Times New Roman" w:cs="Times New Roman"/>
          <w:color w:val="auto"/>
          <w:sz w:val="24"/>
          <w:szCs w:val="24"/>
          <w:highlight w:val="none"/>
        </w:rPr>
        <w:t>。</w:t>
      </w:r>
    </w:p>
    <w:p w14:paraId="2DD71AAF">
      <w:pPr>
        <w:pStyle w:val="7"/>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1.5.2.6大气环境</w:t>
      </w:r>
    </w:p>
    <w:p w14:paraId="2D5DBD6E">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三级评价不需设置大气影响评价范围。</w:t>
      </w:r>
    </w:p>
    <w:p w14:paraId="46255DC0">
      <w:pPr>
        <w:pStyle w:val="4"/>
        <w:rPr>
          <w:rFonts w:hint="default" w:ascii="Times New Roman" w:hAnsi="Times New Roman" w:cs="Times New Roman"/>
          <w:color w:val="auto"/>
          <w:sz w:val="28"/>
          <w:szCs w:val="28"/>
          <w:highlight w:val="none"/>
        </w:rPr>
      </w:pPr>
      <w:bookmarkStart w:id="2171" w:name="_Toc8354"/>
      <w:bookmarkStart w:id="2172" w:name="_Toc32133"/>
      <w:bookmarkStart w:id="2173" w:name="_Toc28599"/>
      <w:bookmarkStart w:id="2174" w:name="_Toc24654"/>
      <w:r>
        <w:rPr>
          <w:rFonts w:hint="default" w:ascii="Times New Roman" w:hAnsi="Times New Roman" w:cs="Times New Roman"/>
          <w:color w:val="auto"/>
          <w:sz w:val="28"/>
          <w:szCs w:val="28"/>
          <w:highlight w:val="none"/>
        </w:rPr>
        <w:t>1.6环境保护目标</w:t>
      </w:r>
      <w:bookmarkEnd w:id="2171"/>
      <w:bookmarkEnd w:id="2172"/>
      <w:bookmarkEnd w:id="2173"/>
      <w:bookmarkEnd w:id="2174"/>
    </w:p>
    <w:p w14:paraId="7C21DDEA">
      <w:pPr>
        <w:pStyle w:val="6"/>
        <w:rPr>
          <w:rFonts w:hint="default" w:ascii="Times New Roman" w:hAnsi="Times New Roman" w:cs="Times New Roman"/>
          <w:color w:val="auto"/>
          <w:sz w:val="28"/>
          <w:szCs w:val="28"/>
          <w:highlight w:val="none"/>
        </w:rPr>
      </w:pPr>
      <w:bookmarkStart w:id="2175" w:name="_Toc21895"/>
      <w:bookmarkStart w:id="2176" w:name="_Toc10162"/>
      <w:bookmarkStart w:id="2177" w:name="_Toc14359"/>
      <w:r>
        <w:rPr>
          <w:rFonts w:hint="default" w:ascii="Times New Roman" w:hAnsi="Times New Roman" w:cs="Times New Roman"/>
          <w:color w:val="auto"/>
          <w:sz w:val="28"/>
          <w:szCs w:val="28"/>
          <w:highlight w:val="none"/>
        </w:rPr>
        <w:t>1.6.1生态环境保护目标</w:t>
      </w:r>
      <w:bookmarkEnd w:id="2175"/>
      <w:bookmarkEnd w:id="2176"/>
      <w:bookmarkEnd w:id="2177"/>
    </w:p>
    <w:p w14:paraId="02CEB32D">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本工程主要生态环境保护目标主要为生态红线，具体见表1.6-1。</w:t>
      </w:r>
    </w:p>
    <w:p w14:paraId="453EC5DF">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表1.6-1生态环境保护目标</w:t>
      </w:r>
    </w:p>
    <w:tbl>
      <w:tblPr>
        <w:tblStyle w:val="3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287"/>
        <w:gridCol w:w="1525"/>
        <w:gridCol w:w="2363"/>
        <w:gridCol w:w="1378"/>
      </w:tblGrid>
      <w:tr w14:paraId="2227D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blHeader/>
        </w:trPr>
        <w:tc>
          <w:tcPr>
            <w:tcW w:w="1969" w:type="dxa"/>
            <w:tcBorders>
              <w:tl2br w:val="nil"/>
              <w:tr2bl w:val="nil"/>
            </w:tcBorders>
            <w:vAlign w:val="center"/>
          </w:tcPr>
          <w:p w14:paraId="023F661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178" w:name="_Toc29238"/>
            <w:bookmarkStart w:id="2179" w:name="_Toc11611"/>
            <w:bookmarkStart w:id="2180" w:name="_Toc14766"/>
            <w:bookmarkStart w:id="2181" w:name="_Toc28457"/>
            <w:bookmarkStart w:id="2182" w:name="_Toc15121"/>
            <w:r>
              <w:rPr>
                <w:rFonts w:hint="default" w:ascii="Times New Roman" w:hAnsi="Times New Roman" w:cs="Times New Roman"/>
                <w:b/>
                <w:bCs/>
                <w:color w:val="auto"/>
                <w:sz w:val="21"/>
                <w:szCs w:val="21"/>
                <w:highlight w:val="none"/>
              </w:rPr>
              <w:t>名称</w:t>
            </w:r>
            <w:bookmarkEnd w:id="2178"/>
            <w:bookmarkEnd w:id="2179"/>
            <w:bookmarkEnd w:id="2180"/>
            <w:bookmarkEnd w:id="2181"/>
            <w:bookmarkEnd w:id="2182"/>
          </w:p>
        </w:tc>
        <w:tc>
          <w:tcPr>
            <w:tcW w:w="1287" w:type="dxa"/>
            <w:tcBorders>
              <w:tl2br w:val="nil"/>
              <w:tr2bl w:val="nil"/>
            </w:tcBorders>
            <w:vAlign w:val="center"/>
          </w:tcPr>
          <w:p w14:paraId="1F3A56B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183" w:name="_Toc15042"/>
            <w:bookmarkStart w:id="2184" w:name="_Toc5371"/>
            <w:bookmarkStart w:id="2185" w:name="_Toc8726"/>
            <w:bookmarkStart w:id="2186" w:name="_Toc20480"/>
            <w:bookmarkStart w:id="2187" w:name="_Toc12944"/>
            <w:r>
              <w:rPr>
                <w:rFonts w:hint="default" w:ascii="Times New Roman" w:hAnsi="Times New Roman" w:cs="Times New Roman"/>
                <w:b/>
                <w:bCs/>
                <w:color w:val="auto"/>
                <w:sz w:val="21"/>
                <w:szCs w:val="21"/>
                <w:highlight w:val="none"/>
              </w:rPr>
              <w:t>敏感区性质</w:t>
            </w:r>
            <w:bookmarkEnd w:id="2183"/>
            <w:bookmarkEnd w:id="2184"/>
            <w:bookmarkEnd w:id="2185"/>
            <w:bookmarkEnd w:id="2186"/>
            <w:bookmarkEnd w:id="2187"/>
          </w:p>
        </w:tc>
        <w:tc>
          <w:tcPr>
            <w:tcW w:w="1525" w:type="dxa"/>
            <w:tcBorders>
              <w:tl2br w:val="nil"/>
              <w:tr2bl w:val="nil"/>
            </w:tcBorders>
            <w:vAlign w:val="center"/>
          </w:tcPr>
          <w:p w14:paraId="52A6BEAF">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188" w:name="_Toc19890"/>
            <w:bookmarkStart w:id="2189" w:name="_Toc27377"/>
            <w:bookmarkStart w:id="2190" w:name="_Toc11282"/>
            <w:bookmarkStart w:id="2191" w:name="_Toc22689"/>
            <w:bookmarkStart w:id="2192" w:name="_Toc27681"/>
            <w:r>
              <w:rPr>
                <w:rFonts w:hint="default" w:ascii="Times New Roman" w:hAnsi="Times New Roman" w:cs="Times New Roman"/>
                <w:b/>
                <w:bCs/>
                <w:color w:val="auto"/>
                <w:sz w:val="21"/>
                <w:szCs w:val="21"/>
                <w:highlight w:val="none"/>
              </w:rPr>
              <w:t>保护</w:t>
            </w:r>
            <w:bookmarkEnd w:id="2188"/>
            <w:bookmarkEnd w:id="2189"/>
            <w:bookmarkEnd w:id="2190"/>
            <w:bookmarkEnd w:id="2191"/>
            <w:bookmarkEnd w:id="2192"/>
          </w:p>
          <w:p w14:paraId="28E9C1B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193" w:name="_Toc1658"/>
            <w:bookmarkStart w:id="2194" w:name="_Toc15699"/>
            <w:bookmarkStart w:id="2195" w:name="_Toc24024"/>
            <w:bookmarkStart w:id="2196" w:name="_Toc30352"/>
            <w:bookmarkStart w:id="2197" w:name="_Toc15186"/>
            <w:r>
              <w:rPr>
                <w:rFonts w:hint="default" w:ascii="Times New Roman" w:hAnsi="Times New Roman" w:cs="Times New Roman"/>
                <w:b/>
                <w:bCs/>
                <w:color w:val="auto"/>
                <w:sz w:val="21"/>
                <w:szCs w:val="21"/>
                <w:highlight w:val="none"/>
              </w:rPr>
              <w:t>要求</w:t>
            </w:r>
            <w:bookmarkEnd w:id="2193"/>
            <w:bookmarkEnd w:id="2194"/>
            <w:bookmarkEnd w:id="2195"/>
            <w:bookmarkEnd w:id="2196"/>
            <w:bookmarkEnd w:id="2197"/>
          </w:p>
        </w:tc>
        <w:tc>
          <w:tcPr>
            <w:tcW w:w="2363" w:type="dxa"/>
            <w:tcBorders>
              <w:tl2br w:val="nil"/>
              <w:tr2bl w:val="nil"/>
            </w:tcBorders>
            <w:vAlign w:val="center"/>
          </w:tcPr>
          <w:p w14:paraId="5DA33B4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198" w:name="_Toc23683"/>
            <w:bookmarkStart w:id="2199" w:name="_Toc23617"/>
            <w:bookmarkStart w:id="2200" w:name="_Toc16738"/>
            <w:bookmarkStart w:id="2201" w:name="_Toc29759"/>
            <w:bookmarkStart w:id="2202" w:name="_Toc5061"/>
            <w:r>
              <w:rPr>
                <w:rFonts w:hint="default" w:ascii="Times New Roman" w:hAnsi="Times New Roman" w:cs="Times New Roman"/>
                <w:b/>
                <w:bCs/>
                <w:color w:val="auto"/>
                <w:sz w:val="21"/>
                <w:szCs w:val="21"/>
                <w:highlight w:val="none"/>
              </w:rPr>
              <w:t>工程与保护目标关系</w:t>
            </w:r>
            <w:bookmarkEnd w:id="2198"/>
            <w:bookmarkEnd w:id="2199"/>
            <w:bookmarkEnd w:id="2200"/>
            <w:bookmarkEnd w:id="2201"/>
            <w:bookmarkEnd w:id="2202"/>
          </w:p>
        </w:tc>
        <w:tc>
          <w:tcPr>
            <w:tcW w:w="1378" w:type="dxa"/>
            <w:tcBorders>
              <w:tl2br w:val="nil"/>
              <w:tr2bl w:val="nil"/>
            </w:tcBorders>
            <w:vAlign w:val="center"/>
          </w:tcPr>
          <w:p w14:paraId="6A895C98">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203" w:name="_Toc4428"/>
            <w:bookmarkStart w:id="2204" w:name="_Toc7645"/>
            <w:bookmarkStart w:id="2205" w:name="_Toc26237"/>
            <w:bookmarkStart w:id="2206" w:name="_Toc19267"/>
            <w:bookmarkStart w:id="2207" w:name="_Toc27302"/>
            <w:r>
              <w:rPr>
                <w:rFonts w:hint="default" w:ascii="Times New Roman" w:hAnsi="Times New Roman" w:cs="Times New Roman"/>
                <w:b/>
                <w:bCs/>
                <w:color w:val="auto"/>
                <w:sz w:val="21"/>
                <w:szCs w:val="21"/>
                <w:highlight w:val="none"/>
              </w:rPr>
              <w:t>备注</w:t>
            </w:r>
            <w:bookmarkEnd w:id="2203"/>
            <w:bookmarkEnd w:id="2204"/>
            <w:bookmarkEnd w:id="2205"/>
            <w:bookmarkEnd w:id="2206"/>
            <w:bookmarkEnd w:id="2207"/>
          </w:p>
        </w:tc>
      </w:tr>
      <w:tr w14:paraId="63125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9" w:type="dxa"/>
            <w:tcBorders>
              <w:tl2br w:val="nil"/>
              <w:tr2bl w:val="nil"/>
            </w:tcBorders>
            <w:vAlign w:val="center"/>
          </w:tcPr>
          <w:p w14:paraId="5860F59F">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2208" w:name="_Toc4463"/>
            <w:bookmarkStart w:id="2209" w:name="_Toc3707"/>
            <w:bookmarkStart w:id="2210" w:name="_Toc25627"/>
            <w:bookmarkStart w:id="2211" w:name="_Toc30673"/>
            <w:bookmarkStart w:id="2212" w:name="_Toc26993"/>
            <w:r>
              <w:rPr>
                <w:rFonts w:hint="default" w:ascii="Times New Roman" w:hAnsi="Times New Roman" w:cs="Times New Roman"/>
                <w:color w:val="auto"/>
                <w:sz w:val="21"/>
                <w:szCs w:val="21"/>
                <w:highlight w:val="none"/>
              </w:rPr>
              <w:t>西南黄土高原丘陵水土保持生态保护红线</w:t>
            </w:r>
            <w:bookmarkEnd w:id="2208"/>
            <w:bookmarkEnd w:id="2209"/>
            <w:bookmarkEnd w:id="2210"/>
            <w:bookmarkEnd w:id="2211"/>
            <w:bookmarkEnd w:id="2212"/>
          </w:p>
        </w:tc>
        <w:tc>
          <w:tcPr>
            <w:tcW w:w="1287" w:type="dxa"/>
            <w:tcBorders>
              <w:tl2br w:val="nil"/>
              <w:tr2bl w:val="nil"/>
            </w:tcBorders>
            <w:vAlign w:val="center"/>
          </w:tcPr>
          <w:p w14:paraId="150D3B98">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2213" w:name="_Toc30603"/>
            <w:bookmarkStart w:id="2214" w:name="_Toc21513"/>
            <w:bookmarkStart w:id="2215" w:name="_Toc11974"/>
            <w:bookmarkStart w:id="2216" w:name="_Toc26873"/>
            <w:bookmarkStart w:id="2217" w:name="_Toc27488"/>
            <w:r>
              <w:rPr>
                <w:rFonts w:hint="default" w:ascii="Times New Roman" w:hAnsi="Times New Roman" w:cs="Times New Roman"/>
                <w:color w:val="auto"/>
                <w:sz w:val="21"/>
                <w:szCs w:val="21"/>
                <w:highlight w:val="none"/>
              </w:rPr>
              <w:t>自治区</w:t>
            </w:r>
            <w:r>
              <w:rPr>
                <w:rFonts w:hint="eastAsia" w:cs="Times New Roman"/>
                <w:color w:val="auto"/>
                <w:sz w:val="21"/>
                <w:szCs w:val="21"/>
                <w:highlight w:val="none"/>
                <w:lang w:eastAsia="zh-CN"/>
              </w:rPr>
              <w:t>生态保护红线</w:t>
            </w:r>
            <w:bookmarkEnd w:id="2213"/>
            <w:bookmarkEnd w:id="2214"/>
            <w:bookmarkEnd w:id="2215"/>
            <w:bookmarkEnd w:id="2216"/>
            <w:bookmarkEnd w:id="2217"/>
          </w:p>
        </w:tc>
        <w:tc>
          <w:tcPr>
            <w:tcW w:w="1525" w:type="dxa"/>
            <w:tcBorders>
              <w:tl2br w:val="nil"/>
              <w:tr2bl w:val="nil"/>
            </w:tcBorders>
            <w:vAlign w:val="center"/>
          </w:tcPr>
          <w:p w14:paraId="12A2EB09">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2218" w:name="_Toc21423"/>
            <w:bookmarkStart w:id="2219" w:name="_Toc27519"/>
            <w:bookmarkStart w:id="2220" w:name="_Toc3218"/>
            <w:bookmarkStart w:id="2221" w:name="_Toc29302"/>
            <w:bookmarkStart w:id="2222" w:name="_Toc4316"/>
            <w:r>
              <w:rPr>
                <w:rFonts w:hint="default" w:ascii="Times New Roman" w:hAnsi="Times New Roman" w:cs="Times New Roman"/>
                <w:color w:val="auto"/>
                <w:sz w:val="21"/>
                <w:szCs w:val="21"/>
                <w:highlight w:val="none"/>
              </w:rPr>
              <w:t>水土</w:t>
            </w:r>
            <w:bookmarkEnd w:id="2218"/>
            <w:bookmarkEnd w:id="2219"/>
            <w:bookmarkEnd w:id="2220"/>
            <w:bookmarkEnd w:id="2221"/>
            <w:bookmarkEnd w:id="2222"/>
          </w:p>
          <w:p w14:paraId="07410C1A">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2223" w:name="_Toc5131"/>
            <w:bookmarkStart w:id="2224" w:name="_Toc17114"/>
            <w:bookmarkStart w:id="2225" w:name="_Toc24614"/>
            <w:bookmarkStart w:id="2226" w:name="_Toc19304"/>
            <w:bookmarkStart w:id="2227" w:name="_Toc26875"/>
            <w:r>
              <w:rPr>
                <w:rFonts w:hint="default" w:ascii="Times New Roman" w:hAnsi="Times New Roman" w:cs="Times New Roman"/>
                <w:color w:val="auto"/>
                <w:sz w:val="21"/>
                <w:szCs w:val="21"/>
                <w:highlight w:val="none"/>
              </w:rPr>
              <w:t>保持</w:t>
            </w:r>
            <w:bookmarkEnd w:id="2223"/>
            <w:bookmarkEnd w:id="2224"/>
            <w:bookmarkEnd w:id="2225"/>
            <w:bookmarkEnd w:id="2226"/>
            <w:bookmarkEnd w:id="2227"/>
          </w:p>
        </w:tc>
        <w:tc>
          <w:tcPr>
            <w:tcW w:w="2363" w:type="dxa"/>
            <w:tcBorders>
              <w:tl2br w:val="nil"/>
              <w:tr2bl w:val="nil"/>
            </w:tcBorders>
            <w:vAlign w:val="center"/>
          </w:tcPr>
          <w:p w14:paraId="4766FC5A">
            <w:pPr>
              <w:pStyle w:val="29"/>
              <w:suppressLineNumbers w:val="0"/>
              <w:bidi w:val="0"/>
              <w:spacing w:beforeAutospacing="0" w:afterAutospacing="0"/>
              <w:ind w:left="0" w:leftChars="0" w:right="0" w:rightChars="0" w:firstLine="0" w:firstLineChars="0"/>
              <w:jc w:val="left"/>
              <w:rPr>
                <w:rFonts w:hint="default" w:ascii="Times New Roman" w:hAnsi="Times New Roman" w:eastAsia="宋体" w:cs="Times New Roman"/>
                <w:color w:val="auto"/>
                <w:sz w:val="21"/>
                <w:szCs w:val="21"/>
                <w:highlight w:val="none"/>
                <w:lang w:val="en-US" w:eastAsia="zh-CN"/>
              </w:rPr>
            </w:pPr>
            <w:bookmarkStart w:id="2228" w:name="_Toc28738"/>
            <w:bookmarkStart w:id="2229" w:name="_Toc7582"/>
            <w:bookmarkStart w:id="2230" w:name="_Toc21919"/>
            <w:r>
              <w:rPr>
                <w:rFonts w:hint="default" w:ascii="Times New Roman" w:hAnsi="Times New Roman" w:cs="Times New Roman"/>
                <w:color w:val="auto"/>
                <w:sz w:val="21"/>
                <w:szCs w:val="21"/>
                <w:highlight w:val="none"/>
                <w:lang w:val="en-US" w:eastAsia="zh-CN"/>
              </w:rPr>
              <w:t>工程距北侧生态红线最近</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m</w:t>
            </w:r>
            <w:bookmarkEnd w:id="2228"/>
            <w:bookmarkEnd w:id="2229"/>
            <w:bookmarkEnd w:id="2230"/>
          </w:p>
        </w:tc>
        <w:tc>
          <w:tcPr>
            <w:tcW w:w="1378" w:type="dxa"/>
            <w:tcBorders>
              <w:tl2br w:val="nil"/>
              <w:tr2bl w:val="nil"/>
            </w:tcBorders>
            <w:vAlign w:val="center"/>
          </w:tcPr>
          <w:p w14:paraId="73031BA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2231" w:name="_Toc15212"/>
            <w:bookmarkStart w:id="2232" w:name="_Toc11591"/>
            <w:bookmarkStart w:id="2233" w:name="_Toc21887"/>
            <w:bookmarkStart w:id="2234" w:name="_Toc19242"/>
            <w:bookmarkStart w:id="2235" w:name="_Toc27452"/>
            <w:r>
              <w:rPr>
                <w:rFonts w:hint="default" w:ascii="Times New Roman" w:hAnsi="Times New Roman" w:cs="Times New Roman"/>
                <w:color w:val="auto"/>
                <w:sz w:val="21"/>
                <w:szCs w:val="21"/>
                <w:highlight w:val="none"/>
                <w:lang w:val="en-US" w:eastAsia="zh-CN"/>
              </w:rPr>
              <w:t>红线内</w:t>
            </w:r>
            <w:r>
              <w:rPr>
                <w:rFonts w:hint="default" w:ascii="Times New Roman" w:hAnsi="Times New Roman" w:cs="Times New Roman"/>
                <w:color w:val="auto"/>
                <w:sz w:val="21"/>
                <w:szCs w:val="21"/>
                <w:highlight w:val="none"/>
              </w:rPr>
              <w:t>不新增永久占地</w:t>
            </w:r>
            <w:r>
              <w:rPr>
                <w:rFonts w:hint="default" w:ascii="Times New Roman" w:hAnsi="Times New Roman" w:cs="Times New Roman"/>
                <w:color w:val="auto"/>
                <w:sz w:val="21"/>
                <w:szCs w:val="21"/>
                <w:highlight w:val="none"/>
                <w:lang w:val="en-US" w:eastAsia="zh-CN"/>
              </w:rPr>
              <w:t>及</w:t>
            </w:r>
            <w:r>
              <w:rPr>
                <w:rFonts w:hint="default" w:ascii="Times New Roman" w:hAnsi="Times New Roman" w:cs="Times New Roman"/>
                <w:color w:val="auto"/>
                <w:sz w:val="21"/>
                <w:szCs w:val="21"/>
                <w:highlight w:val="none"/>
              </w:rPr>
              <w:t>临时占地</w:t>
            </w:r>
            <w:bookmarkEnd w:id="2231"/>
            <w:bookmarkEnd w:id="2232"/>
            <w:bookmarkEnd w:id="2233"/>
            <w:bookmarkEnd w:id="2234"/>
            <w:bookmarkEnd w:id="2235"/>
          </w:p>
        </w:tc>
      </w:tr>
    </w:tbl>
    <w:p w14:paraId="35BC5D2E">
      <w:pPr>
        <w:pStyle w:val="6"/>
        <w:rPr>
          <w:rFonts w:hint="default" w:ascii="Times New Roman" w:hAnsi="Times New Roman" w:cs="Times New Roman"/>
          <w:color w:val="auto"/>
          <w:sz w:val="28"/>
          <w:szCs w:val="28"/>
          <w:highlight w:val="none"/>
        </w:rPr>
      </w:pPr>
      <w:bookmarkStart w:id="2236" w:name="_Toc20611"/>
      <w:bookmarkStart w:id="2237" w:name="_Toc28667"/>
      <w:bookmarkStart w:id="2238" w:name="_Toc22633"/>
      <w:r>
        <w:rPr>
          <w:rFonts w:hint="default" w:ascii="Times New Roman" w:hAnsi="Times New Roman" w:cs="Times New Roman"/>
          <w:color w:val="auto"/>
          <w:sz w:val="28"/>
          <w:szCs w:val="28"/>
          <w:highlight w:val="none"/>
        </w:rPr>
        <w:t>1.6.2地表水环境保护目标</w:t>
      </w:r>
      <w:bookmarkEnd w:id="2236"/>
      <w:bookmarkEnd w:id="2237"/>
      <w:bookmarkEnd w:id="2238"/>
    </w:p>
    <w:p w14:paraId="0CF3DC53">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地表水环境保护目标</w:t>
      </w:r>
      <w:r>
        <w:rPr>
          <w:rFonts w:hint="default" w:ascii="Times New Roman" w:hAnsi="Times New Roman" w:cs="Times New Roman"/>
          <w:color w:val="auto"/>
          <w:sz w:val="24"/>
          <w:szCs w:val="24"/>
          <w:highlight w:val="none"/>
          <w:lang w:val="en-US" w:eastAsia="zh-CN"/>
        </w:rPr>
        <w:t>为</w:t>
      </w:r>
      <w:r>
        <w:rPr>
          <w:rFonts w:hint="default" w:ascii="Times New Roman" w:hAnsi="Times New Roman" w:cs="Times New Roman"/>
          <w:color w:val="auto"/>
          <w:sz w:val="24"/>
          <w:szCs w:val="24"/>
          <w:highlight w:val="none"/>
        </w:rPr>
        <w:t>茹河</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含石头崾岘水库</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，具体见表1.6-2。</w:t>
      </w:r>
    </w:p>
    <w:p w14:paraId="03EBAE79">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表1.6-2地表水环境保护目标</w:t>
      </w:r>
    </w:p>
    <w:tbl>
      <w:tblPr>
        <w:tblStyle w:val="31"/>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62"/>
        <w:gridCol w:w="1534"/>
        <w:gridCol w:w="1763"/>
        <w:gridCol w:w="1181"/>
        <w:gridCol w:w="2479"/>
      </w:tblGrid>
      <w:tr w14:paraId="5BB03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4" w:hRule="atLeast"/>
          <w:tblHeader/>
        </w:trPr>
        <w:tc>
          <w:tcPr>
            <w:tcW w:w="1562" w:type="dxa"/>
            <w:tcBorders>
              <w:tl2br w:val="nil"/>
              <w:tr2bl w:val="nil"/>
            </w:tcBorders>
            <w:vAlign w:val="center"/>
          </w:tcPr>
          <w:p w14:paraId="6D7A852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239" w:name="_Toc13750"/>
            <w:bookmarkStart w:id="2240" w:name="_Toc8935"/>
            <w:bookmarkStart w:id="2241" w:name="_Toc17980"/>
            <w:bookmarkStart w:id="2242" w:name="_Toc9534"/>
            <w:bookmarkStart w:id="2243" w:name="_Toc25347"/>
            <w:r>
              <w:rPr>
                <w:rFonts w:hint="default" w:ascii="Times New Roman" w:hAnsi="Times New Roman" w:cs="Times New Roman"/>
                <w:b/>
                <w:bCs/>
                <w:color w:val="auto"/>
                <w:sz w:val="21"/>
                <w:szCs w:val="21"/>
                <w:highlight w:val="none"/>
              </w:rPr>
              <w:t>保护目标</w:t>
            </w:r>
            <w:bookmarkEnd w:id="2239"/>
            <w:bookmarkEnd w:id="2240"/>
            <w:bookmarkEnd w:id="2241"/>
            <w:bookmarkEnd w:id="2242"/>
            <w:bookmarkEnd w:id="2243"/>
          </w:p>
        </w:tc>
        <w:tc>
          <w:tcPr>
            <w:tcW w:w="1534" w:type="dxa"/>
            <w:tcBorders>
              <w:tl2br w:val="nil"/>
              <w:tr2bl w:val="nil"/>
            </w:tcBorders>
            <w:vAlign w:val="center"/>
          </w:tcPr>
          <w:p w14:paraId="1CCB5D08">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244" w:name="_Toc9229"/>
            <w:bookmarkStart w:id="2245" w:name="_Toc5355"/>
            <w:bookmarkStart w:id="2246" w:name="_Toc11711"/>
            <w:bookmarkStart w:id="2247" w:name="_Toc27232"/>
            <w:bookmarkStart w:id="2248" w:name="_Toc2102"/>
            <w:r>
              <w:rPr>
                <w:rFonts w:hint="default" w:ascii="Times New Roman" w:hAnsi="Times New Roman" w:cs="Times New Roman"/>
                <w:b/>
                <w:bCs/>
                <w:color w:val="auto"/>
                <w:sz w:val="21"/>
                <w:szCs w:val="21"/>
                <w:highlight w:val="none"/>
              </w:rPr>
              <w:t>坐标</w:t>
            </w:r>
            <w:bookmarkEnd w:id="2244"/>
            <w:bookmarkEnd w:id="2245"/>
            <w:bookmarkEnd w:id="2246"/>
            <w:bookmarkEnd w:id="2247"/>
            <w:bookmarkEnd w:id="2248"/>
          </w:p>
        </w:tc>
        <w:tc>
          <w:tcPr>
            <w:tcW w:w="1763" w:type="dxa"/>
            <w:tcBorders>
              <w:tl2br w:val="nil"/>
              <w:tr2bl w:val="nil"/>
            </w:tcBorders>
            <w:vAlign w:val="center"/>
          </w:tcPr>
          <w:p w14:paraId="4EB199E4">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249" w:name="_Toc10274"/>
            <w:bookmarkStart w:id="2250" w:name="_Toc10675"/>
            <w:bookmarkStart w:id="2251" w:name="_Toc32441"/>
            <w:bookmarkStart w:id="2252" w:name="_Toc25136"/>
            <w:bookmarkStart w:id="2253" w:name="_Toc11058"/>
            <w:r>
              <w:rPr>
                <w:rFonts w:hint="default" w:ascii="Times New Roman" w:hAnsi="Times New Roman" w:cs="Times New Roman"/>
                <w:b/>
                <w:bCs/>
                <w:color w:val="auto"/>
                <w:sz w:val="21"/>
                <w:szCs w:val="21"/>
                <w:highlight w:val="none"/>
              </w:rPr>
              <w:t>位置关系</w:t>
            </w:r>
            <w:bookmarkEnd w:id="2249"/>
            <w:bookmarkEnd w:id="2250"/>
            <w:bookmarkEnd w:id="2251"/>
            <w:bookmarkEnd w:id="2252"/>
            <w:bookmarkEnd w:id="2253"/>
          </w:p>
        </w:tc>
        <w:tc>
          <w:tcPr>
            <w:tcW w:w="1181" w:type="dxa"/>
            <w:tcBorders>
              <w:tl2br w:val="nil"/>
              <w:tr2bl w:val="nil"/>
            </w:tcBorders>
            <w:vAlign w:val="center"/>
          </w:tcPr>
          <w:p w14:paraId="6573CFD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254" w:name="_Toc23801"/>
            <w:bookmarkStart w:id="2255" w:name="_Toc17800"/>
            <w:bookmarkStart w:id="2256" w:name="_Toc1454"/>
            <w:bookmarkStart w:id="2257" w:name="_Toc18588"/>
            <w:bookmarkStart w:id="2258" w:name="_Toc8937"/>
            <w:r>
              <w:rPr>
                <w:rFonts w:hint="default" w:ascii="Times New Roman" w:hAnsi="Times New Roman" w:cs="Times New Roman"/>
                <w:b/>
                <w:bCs/>
                <w:color w:val="auto"/>
                <w:sz w:val="21"/>
                <w:szCs w:val="21"/>
                <w:highlight w:val="none"/>
              </w:rPr>
              <w:t>功能类别</w:t>
            </w:r>
            <w:bookmarkEnd w:id="2254"/>
            <w:bookmarkEnd w:id="2255"/>
            <w:bookmarkEnd w:id="2256"/>
            <w:bookmarkEnd w:id="2257"/>
            <w:bookmarkEnd w:id="2258"/>
          </w:p>
        </w:tc>
        <w:tc>
          <w:tcPr>
            <w:tcW w:w="2479" w:type="dxa"/>
            <w:tcBorders>
              <w:tl2br w:val="nil"/>
              <w:tr2bl w:val="nil"/>
            </w:tcBorders>
            <w:vAlign w:val="center"/>
          </w:tcPr>
          <w:p w14:paraId="681922F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259" w:name="_Toc26738"/>
            <w:bookmarkStart w:id="2260" w:name="_Toc6447"/>
            <w:bookmarkStart w:id="2261" w:name="_Toc27544"/>
            <w:bookmarkStart w:id="2262" w:name="_Toc5576"/>
            <w:bookmarkStart w:id="2263" w:name="_Toc32336"/>
            <w:r>
              <w:rPr>
                <w:rFonts w:hint="default" w:ascii="Times New Roman" w:hAnsi="Times New Roman" w:cs="Times New Roman"/>
                <w:b/>
                <w:bCs/>
                <w:color w:val="auto"/>
                <w:sz w:val="21"/>
                <w:szCs w:val="21"/>
                <w:highlight w:val="none"/>
              </w:rPr>
              <w:t>保护要求</w:t>
            </w:r>
            <w:bookmarkEnd w:id="2259"/>
            <w:bookmarkEnd w:id="2260"/>
            <w:bookmarkEnd w:id="2261"/>
            <w:bookmarkEnd w:id="2262"/>
            <w:bookmarkEnd w:id="2263"/>
          </w:p>
        </w:tc>
      </w:tr>
      <w:tr w14:paraId="36629D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562" w:type="dxa"/>
            <w:tcBorders>
              <w:tl2br w:val="nil"/>
              <w:tr2bl w:val="nil"/>
            </w:tcBorders>
            <w:vAlign w:val="center"/>
          </w:tcPr>
          <w:p w14:paraId="56C0F0D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264" w:name="_Toc26059"/>
            <w:bookmarkStart w:id="2265" w:name="_Toc10625"/>
            <w:bookmarkStart w:id="2266" w:name="_Toc16644"/>
            <w:bookmarkStart w:id="2267" w:name="_Toc26650"/>
            <w:bookmarkStart w:id="2268" w:name="_Toc14396"/>
            <w:r>
              <w:rPr>
                <w:rFonts w:hint="default" w:ascii="Times New Roman" w:hAnsi="Times New Roman" w:cs="Times New Roman"/>
                <w:color w:val="auto"/>
                <w:sz w:val="21"/>
                <w:szCs w:val="21"/>
                <w:highlight w:val="none"/>
              </w:rPr>
              <w:t>茹河</w:t>
            </w:r>
            <w:bookmarkEnd w:id="2264"/>
            <w:bookmarkEnd w:id="2265"/>
            <w:bookmarkEnd w:id="2266"/>
            <w:bookmarkEnd w:id="2267"/>
            <w:bookmarkEnd w:id="2268"/>
          </w:p>
        </w:tc>
        <w:tc>
          <w:tcPr>
            <w:tcW w:w="1534" w:type="dxa"/>
            <w:tcBorders>
              <w:tl2br w:val="nil"/>
              <w:tr2bl w:val="nil"/>
            </w:tcBorders>
            <w:vAlign w:val="center"/>
          </w:tcPr>
          <w:p w14:paraId="2562D00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2269" w:name="_Toc12619"/>
            <w:bookmarkStart w:id="2270" w:name="_Toc17618"/>
            <w:bookmarkStart w:id="2271" w:name="_Toc8086"/>
            <w:r>
              <w:rPr>
                <w:rFonts w:hint="default" w:ascii="Times New Roman" w:hAnsi="Times New Roman" w:cs="Times New Roman"/>
                <w:color w:val="auto"/>
                <w:sz w:val="21"/>
                <w:szCs w:val="21"/>
                <w:highlight w:val="none"/>
              </w:rPr>
              <w:t>106.622339</w:t>
            </w:r>
            <w:r>
              <w:rPr>
                <w:rFonts w:hint="default" w:ascii="Times New Roman" w:hAnsi="Times New Roman" w:cs="Times New Roman"/>
                <w:color w:val="auto"/>
                <w:sz w:val="21"/>
                <w:szCs w:val="21"/>
                <w:highlight w:val="none"/>
                <w:lang w:val="en-US" w:eastAsia="zh-CN"/>
              </w:rPr>
              <w:t>°</w:t>
            </w:r>
            <w:bookmarkEnd w:id="2269"/>
            <w:bookmarkEnd w:id="2270"/>
          </w:p>
          <w:p w14:paraId="4E8AAEA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272" w:name="_Toc13623"/>
            <w:bookmarkStart w:id="2273" w:name="_Toc28113"/>
            <w:r>
              <w:rPr>
                <w:rFonts w:hint="default" w:ascii="Times New Roman" w:hAnsi="Times New Roman" w:cs="Times New Roman"/>
                <w:color w:val="auto"/>
                <w:sz w:val="21"/>
                <w:szCs w:val="21"/>
                <w:highlight w:val="none"/>
              </w:rPr>
              <w:t>35.873787</w:t>
            </w:r>
            <w:r>
              <w:rPr>
                <w:rFonts w:hint="default" w:ascii="Times New Roman" w:hAnsi="Times New Roman" w:cs="Times New Roman"/>
                <w:color w:val="auto"/>
                <w:sz w:val="21"/>
                <w:szCs w:val="21"/>
                <w:highlight w:val="none"/>
                <w:lang w:val="en-US" w:eastAsia="zh-CN"/>
              </w:rPr>
              <w:t>°</w:t>
            </w:r>
            <w:bookmarkEnd w:id="2271"/>
            <w:bookmarkEnd w:id="2272"/>
            <w:bookmarkEnd w:id="2273"/>
          </w:p>
        </w:tc>
        <w:tc>
          <w:tcPr>
            <w:tcW w:w="1763" w:type="dxa"/>
            <w:tcBorders>
              <w:tl2br w:val="nil"/>
              <w:tr2bl w:val="nil"/>
            </w:tcBorders>
            <w:vAlign w:val="center"/>
          </w:tcPr>
          <w:p w14:paraId="109EAC00">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274" w:name="_Toc21282"/>
            <w:bookmarkStart w:id="2275" w:name="_Toc18850"/>
            <w:bookmarkStart w:id="2276" w:name="_Toc5893"/>
            <w:r>
              <w:rPr>
                <w:rFonts w:hint="default" w:ascii="Times New Roman" w:hAnsi="Times New Roman" w:cs="Times New Roman"/>
                <w:color w:val="auto"/>
                <w:sz w:val="21"/>
                <w:szCs w:val="21"/>
                <w:highlight w:val="none"/>
                <w:lang w:val="en-US" w:eastAsia="zh-CN"/>
              </w:rPr>
              <w:t>项目工程区</w:t>
            </w:r>
            <w:bookmarkEnd w:id="2274"/>
            <w:bookmarkEnd w:id="2275"/>
            <w:bookmarkEnd w:id="2276"/>
          </w:p>
        </w:tc>
        <w:tc>
          <w:tcPr>
            <w:tcW w:w="1181" w:type="dxa"/>
            <w:tcBorders>
              <w:tl2br w:val="nil"/>
              <w:tr2bl w:val="nil"/>
            </w:tcBorders>
            <w:vAlign w:val="center"/>
          </w:tcPr>
          <w:p w14:paraId="41AA164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277" w:name="_Toc30791"/>
            <w:bookmarkStart w:id="2278" w:name="_Toc27723"/>
            <w:bookmarkStart w:id="2279" w:name="_Toc15977"/>
            <w:bookmarkStart w:id="2280" w:name="_Toc18225"/>
            <w:bookmarkStart w:id="2281" w:name="_Toc20678"/>
            <w:r>
              <w:rPr>
                <w:rFonts w:hint="eastAsia" w:cs="Times New Roman"/>
                <w:color w:val="auto"/>
                <w:sz w:val="21"/>
                <w:szCs w:val="21"/>
                <w:highlight w:val="none"/>
                <w:lang w:val="en-US" w:eastAsia="zh-CN"/>
              </w:rPr>
              <w:t>Ⅲ</w:t>
            </w:r>
            <w:r>
              <w:rPr>
                <w:rFonts w:hint="default" w:ascii="Times New Roman" w:hAnsi="Times New Roman" w:cs="Times New Roman"/>
                <w:color w:val="auto"/>
                <w:sz w:val="21"/>
                <w:szCs w:val="21"/>
                <w:highlight w:val="none"/>
              </w:rPr>
              <w:t>类</w:t>
            </w:r>
            <w:bookmarkEnd w:id="2277"/>
            <w:bookmarkEnd w:id="2278"/>
            <w:bookmarkEnd w:id="2279"/>
            <w:bookmarkEnd w:id="2280"/>
            <w:bookmarkEnd w:id="2281"/>
          </w:p>
        </w:tc>
        <w:tc>
          <w:tcPr>
            <w:tcW w:w="2479" w:type="dxa"/>
            <w:vMerge w:val="restart"/>
            <w:tcBorders>
              <w:tl2br w:val="nil"/>
              <w:tr2bl w:val="nil"/>
            </w:tcBorders>
            <w:vAlign w:val="center"/>
          </w:tcPr>
          <w:p w14:paraId="1DBFC14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282" w:name="_Toc16078"/>
            <w:bookmarkStart w:id="2283" w:name="_Toc15219"/>
            <w:bookmarkStart w:id="2284" w:name="_Toc29085"/>
            <w:bookmarkStart w:id="2285" w:name="_Toc23491"/>
            <w:bookmarkStart w:id="2286" w:name="_Toc19396"/>
            <w:r>
              <w:rPr>
                <w:rFonts w:hint="default" w:ascii="Times New Roman" w:hAnsi="Times New Roman" w:cs="Times New Roman"/>
                <w:color w:val="auto"/>
                <w:sz w:val="21"/>
                <w:szCs w:val="21"/>
                <w:highlight w:val="none"/>
              </w:rPr>
              <w:t>禁止施工期、运营期任何废水排入</w:t>
            </w:r>
            <w:bookmarkEnd w:id="2282"/>
            <w:bookmarkEnd w:id="2283"/>
            <w:bookmarkEnd w:id="2284"/>
            <w:bookmarkEnd w:id="2285"/>
            <w:bookmarkEnd w:id="2286"/>
          </w:p>
        </w:tc>
      </w:tr>
      <w:tr w14:paraId="65815C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562" w:type="dxa"/>
            <w:tcBorders>
              <w:tl2br w:val="nil"/>
              <w:tr2bl w:val="nil"/>
            </w:tcBorders>
            <w:vAlign w:val="center"/>
          </w:tcPr>
          <w:p w14:paraId="7E53D52F">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2287" w:name="_Toc28857"/>
            <w:bookmarkStart w:id="2288" w:name="_Toc23144"/>
            <w:bookmarkStart w:id="2289" w:name="_Toc10078"/>
            <w:r>
              <w:rPr>
                <w:rFonts w:hint="eastAsia" w:cs="Times New Roman"/>
                <w:color w:val="auto"/>
                <w:sz w:val="21"/>
                <w:szCs w:val="21"/>
                <w:highlight w:val="none"/>
                <w:lang w:eastAsia="zh-CN"/>
              </w:rPr>
              <w:t>石头崾岘水库</w:t>
            </w:r>
          </w:p>
        </w:tc>
        <w:tc>
          <w:tcPr>
            <w:tcW w:w="1534" w:type="dxa"/>
            <w:tcBorders>
              <w:tl2br w:val="nil"/>
              <w:tr2bl w:val="nil"/>
            </w:tcBorders>
            <w:vAlign w:val="center"/>
          </w:tcPr>
          <w:p w14:paraId="125EDCC9">
            <w:pPr>
              <w:pStyle w:val="29"/>
              <w:suppressLineNumbers w:val="0"/>
              <w:bidi w:val="0"/>
              <w:spacing w:beforeAutospacing="0" w:afterAutospacing="0"/>
              <w:ind w:left="0" w:right="0"/>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106.63670</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w:t>
            </w:r>
          </w:p>
          <w:p w14:paraId="34C27BC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35.869544</w:t>
            </w:r>
            <w:r>
              <w:rPr>
                <w:rFonts w:hint="default" w:ascii="Times New Roman" w:hAnsi="Times New Roman" w:cs="Times New Roman"/>
                <w:color w:val="auto"/>
                <w:sz w:val="21"/>
                <w:szCs w:val="21"/>
                <w:highlight w:val="none"/>
                <w:lang w:val="en-US" w:eastAsia="zh-CN"/>
              </w:rPr>
              <w:t>°</w:t>
            </w:r>
          </w:p>
        </w:tc>
        <w:tc>
          <w:tcPr>
            <w:tcW w:w="1763" w:type="dxa"/>
            <w:tcBorders>
              <w:tl2br w:val="nil"/>
              <w:tr2bl w:val="nil"/>
            </w:tcBorders>
            <w:vAlign w:val="center"/>
          </w:tcPr>
          <w:p w14:paraId="6D43F510">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项目工程区</w:t>
            </w:r>
          </w:p>
        </w:tc>
        <w:tc>
          <w:tcPr>
            <w:tcW w:w="1181" w:type="dxa"/>
            <w:tcBorders>
              <w:tl2br w:val="nil"/>
              <w:tr2bl w:val="nil"/>
            </w:tcBorders>
            <w:vAlign w:val="center"/>
          </w:tcPr>
          <w:p w14:paraId="061145DE">
            <w:pPr>
              <w:pStyle w:val="29"/>
              <w:suppressLineNumbers w:val="0"/>
              <w:bidi w:val="0"/>
              <w:spacing w:beforeAutospacing="0" w:afterAutospacing="0"/>
              <w:ind w:left="0" w:right="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Ⅲ</w:t>
            </w:r>
            <w:r>
              <w:rPr>
                <w:rFonts w:hint="default" w:ascii="Times New Roman" w:hAnsi="Times New Roman" w:cs="Times New Roman"/>
                <w:color w:val="auto"/>
                <w:sz w:val="21"/>
                <w:szCs w:val="21"/>
                <w:highlight w:val="none"/>
              </w:rPr>
              <w:t>类</w:t>
            </w:r>
          </w:p>
        </w:tc>
        <w:tc>
          <w:tcPr>
            <w:tcW w:w="2479" w:type="dxa"/>
            <w:vMerge w:val="continue"/>
            <w:tcBorders>
              <w:tl2br w:val="nil"/>
              <w:tr2bl w:val="nil"/>
            </w:tcBorders>
            <w:vAlign w:val="center"/>
          </w:tcPr>
          <w:p w14:paraId="099BDC3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p>
        </w:tc>
      </w:tr>
    </w:tbl>
    <w:p w14:paraId="62B583AE">
      <w:pPr>
        <w:pStyle w:val="6"/>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1.6.3</w:t>
      </w:r>
      <w:r>
        <w:rPr>
          <w:rFonts w:hint="default" w:ascii="Times New Roman" w:hAnsi="Times New Roman" w:cs="Times New Roman"/>
          <w:color w:val="auto"/>
          <w:sz w:val="28"/>
          <w:szCs w:val="28"/>
          <w:highlight w:val="none"/>
          <w:lang w:val="en-US" w:eastAsia="zh-CN"/>
        </w:rPr>
        <w:t>土壤</w:t>
      </w:r>
      <w:r>
        <w:rPr>
          <w:rFonts w:hint="default" w:ascii="Times New Roman" w:hAnsi="Times New Roman" w:cs="Times New Roman"/>
          <w:color w:val="auto"/>
          <w:sz w:val="28"/>
          <w:szCs w:val="28"/>
          <w:highlight w:val="none"/>
        </w:rPr>
        <w:t>环境保护目标</w:t>
      </w:r>
      <w:bookmarkEnd w:id="2287"/>
      <w:bookmarkEnd w:id="2288"/>
      <w:bookmarkEnd w:id="2289"/>
    </w:p>
    <w:p w14:paraId="29A7F795">
      <w:pPr>
        <w:spacing w:line="360" w:lineRule="auto"/>
        <w:ind w:firstLine="480" w:firstLineChars="200"/>
        <w:rPr>
          <w:rFonts w:hint="default" w:ascii="Times New Roman" w:hAnsi="Times New Roman" w:eastAsia="宋体" w:cs="Times New Roman"/>
          <w:snapToGrid w:val="0"/>
          <w:color w:val="auto"/>
          <w:sz w:val="24"/>
          <w:highlight w:val="none"/>
          <w:lang w:val="en-US" w:eastAsia="zh-CN"/>
        </w:rPr>
      </w:pPr>
      <w:r>
        <w:rPr>
          <w:rFonts w:hint="eastAsia" w:cs="Times New Roman"/>
          <w:snapToGrid w:val="0"/>
          <w:color w:val="auto"/>
          <w:sz w:val="24"/>
          <w:highlight w:val="none"/>
          <w:lang w:val="en-US" w:eastAsia="zh-CN"/>
        </w:rPr>
        <w:t>本工程</w:t>
      </w:r>
      <w:r>
        <w:rPr>
          <w:rFonts w:hint="default" w:ascii="Times New Roman" w:hAnsi="Times New Roman" w:eastAsia="宋体" w:cs="Times New Roman"/>
          <w:snapToGrid w:val="0"/>
          <w:color w:val="auto"/>
          <w:sz w:val="24"/>
          <w:highlight w:val="none"/>
          <w:lang w:val="en-US" w:eastAsia="zh-CN"/>
        </w:rPr>
        <w:t>土壤环境保护目标为项目200m范围涉及的耕地、草地及绿化林地等，具体见表1.6-3。</w:t>
      </w:r>
    </w:p>
    <w:p w14:paraId="2AADB1C1">
      <w:pPr>
        <w:widowControl/>
        <w:ind w:firstLine="482" w:firstLineChars="200"/>
        <w:jc w:val="center"/>
        <w:rPr>
          <w:rFonts w:hint="default" w:ascii="Times New Roman" w:hAnsi="Times New Roman" w:cs="Times New Roman"/>
          <w:b/>
          <w:bCs/>
          <w:snapToGrid w:val="0"/>
          <w:color w:val="auto"/>
          <w:sz w:val="24"/>
          <w:highlight w:val="none"/>
        </w:rPr>
      </w:pPr>
      <w:r>
        <w:rPr>
          <w:rFonts w:hint="default" w:ascii="Times New Roman" w:hAnsi="Times New Roman" w:cs="Times New Roman"/>
          <w:b/>
          <w:bCs/>
          <w:snapToGrid w:val="0"/>
          <w:color w:val="auto"/>
          <w:sz w:val="24"/>
          <w:highlight w:val="none"/>
        </w:rPr>
        <w:t>表</w:t>
      </w:r>
      <w:r>
        <w:rPr>
          <w:rFonts w:hint="default" w:ascii="Times New Roman" w:hAnsi="Times New Roman" w:cs="Times New Roman"/>
          <w:b/>
          <w:bCs/>
          <w:snapToGrid w:val="0"/>
          <w:color w:val="auto"/>
          <w:sz w:val="24"/>
          <w:highlight w:val="none"/>
          <w:lang w:val="en-US" w:eastAsia="zh-CN"/>
        </w:rPr>
        <w:t>1.6-3土壤环境保</w:t>
      </w:r>
      <w:r>
        <w:rPr>
          <w:rFonts w:hint="default" w:ascii="Times New Roman" w:hAnsi="Times New Roman" w:cs="Times New Roman"/>
          <w:b/>
          <w:bCs/>
          <w:snapToGrid w:val="0"/>
          <w:color w:val="auto"/>
          <w:sz w:val="24"/>
          <w:highlight w:val="none"/>
        </w:rPr>
        <w:t>护目标表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3"/>
        <w:gridCol w:w="2323"/>
        <w:gridCol w:w="2055"/>
        <w:gridCol w:w="3318"/>
      </w:tblGrid>
      <w:tr w14:paraId="2A741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6" w:hRule="atLeast"/>
          <w:tblHeader/>
        </w:trPr>
        <w:tc>
          <w:tcPr>
            <w:tcW w:w="483" w:type="pct"/>
            <w:tcBorders>
              <w:tl2br w:val="nil"/>
              <w:tr2bl w:val="nil"/>
            </w:tcBorders>
            <w:noWrap w:val="0"/>
            <w:vAlign w:val="center"/>
          </w:tcPr>
          <w:p w14:paraId="1AC3BCB5">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290" w:name="_Toc4406"/>
            <w:bookmarkStart w:id="2291" w:name="_Toc23453"/>
            <w:bookmarkStart w:id="2292" w:name="_Toc30144"/>
            <w:r>
              <w:rPr>
                <w:rFonts w:hint="default" w:ascii="Times New Roman" w:hAnsi="Times New Roman" w:eastAsia="宋体" w:cs="Times New Roman"/>
                <w:b/>
                <w:bCs/>
                <w:color w:val="auto"/>
                <w:sz w:val="21"/>
                <w:szCs w:val="21"/>
                <w:highlight w:val="none"/>
              </w:rPr>
              <w:t>序号</w:t>
            </w:r>
            <w:bookmarkEnd w:id="2290"/>
            <w:bookmarkEnd w:id="2291"/>
            <w:bookmarkEnd w:id="2292"/>
          </w:p>
        </w:tc>
        <w:tc>
          <w:tcPr>
            <w:tcW w:w="1363" w:type="pct"/>
            <w:tcBorders>
              <w:tl2br w:val="nil"/>
              <w:tr2bl w:val="nil"/>
            </w:tcBorders>
            <w:noWrap w:val="0"/>
            <w:vAlign w:val="center"/>
          </w:tcPr>
          <w:p w14:paraId="6F44B1E3">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293" w:name="_Toc19292"/>
            <w:bookmarkStart w:id="2294" w:name="_Toc4458"/>
            <w:bookmarkStart w:id="2295" w:name="_Toc18157"/>
            <w:bookmarkStart w:id="2296" w:name="_Toc1757"/>
            <w:r>
              <w:rPr>
                <w:rFonts w:hint="default" w:ascii="Times New Roman" w:hAnsi="Times New Roman" w:eastAsia="宋体" w:cs="Times New Roman"/>
                <w:b/>
                <w:bCs/>
                <w:color w:val="auto"/>
                <w:sz w:val="21"/>
                <w:szCs w:val="21"/>
                <w:highlight w:val="none"/>
              </w:rPr>
              <w:t>敏感目标</w:t>
            </w:r>
            <w:bookmarkEnd w:id="2293"/>
            <w:bookmarkEnd w:id="2294"/>
            <w:bookmarkEnd w:id="2295"/>
            <w:bookmarkEnd w:id="2296"/>
          </w:p>
        </w:tc>
        <w:tc>
          <w:tcPr>
            <w:tcW w:w="1206" w:type="pct"/>
            <w:tcBorders>
              <w:tl2br w:val="nil"/>
              <w:tr2bl w:val="nil"/>
            </w:tcBorders>
            <w:noWrap w:val="0"/>
            <w:vAlign w:val="center"/>
          </w:tcPr>
          <w:p w14:paraId="11616DF5">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lang w:eastAsia="zh-CN"/>
              </w:rPr>
            </w:pPr>
            <w:bookmarkStart w:id="2297" w:name="_Toc25356"/>
            <w:bookmarkStart w:id="2298" w:name="_Toc27782"/>
            <w:bookmarkStart w:id="2299" w:name="_Toc29404"/>
            <w:bookmarkStart w:id="2300" w:name="_Toc20051"/>
            <w:r>
              <w:rPr>
                <w:rFonts w:hint="default" w:ascii="Times New Roman" w:hAnsi="Times New Roman" w:eastAsia="宋体" w:cs="Times New Roman"/>
                <w:b/>
                <w:bCs/>
                <w:color w:val="auto"/>
                <w:sz w:val="21"/>
                <w:szCs w:val="21"/>
                <w:highlight w:val="none"/>
                <w:lang w:val="en-US" w:eastAsia="zh-CN"/>
              </w:rPr>
              <w:t>保护范围</w:t>
            </w:r>
            <w:bookmarkEnd w:id="2297"/>
            <w:bookmarkEnd w:id="2298"/>
            <w:bookmarkEnd w:id="2299"/>
            <w:bookmarkEnd w:id="2300"/>
          </w:p>
        </w:tc>
        <w:tc>
          <w:tcPr>
            <w:tcW w:w="1947" w:type="pct"/>
            <w:tcBorders>
              <w:tl2br w:val="nil"/>
              <w:tr2bl w:val="nil"/>
            </w:tcBorders>
            <w:noWrap w:val="0"/>
            <w:vAlign w:val="center"/>
          </w:tcPr>
          <w:p w14:paraId="07C4C8D9">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301" w:name="_Toc31429"/>
            <w:bookmarkStart w:id="2302" w:name="_Toc22955"/>
            <w:bookmarkStart w:id="2303" w:name="_Toc2507"/>
            <w:r>
              <w:rPr>
                <w:rFonts w:hint="default" w:ascii="Times New Roman" w:hAnsi="Times New Roman" w:eastAsia="宋体" w:cs="Times New Roman"/>
                <w:b/>
                <w:bCs/>
                <w:color w:val="auto"/>
                <w:sz w:val="21"/>
                <w:szCs w:val="21"/>
                <w:highlight w:val="none"/>
              </w:rPr>
              <w:t>保护要求</w:t>
            </w:r>
            <w:bookmarkEnd w:id="2301"/>
            <w:bookmarkEnd w:id="2302"/>
            <w:bookmarkEnd w:id="2303"/>
          </w:p>
        </w:tc>
      </w:tr>
      <w:tr w14:paraId="2786EB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83" w:type="pct"/>
            <w:tcBorders>
              <w:tl2br w:val="nil"/>
              <w:tr2bl w:val="nil"/>
            </w:tcBorders>
            <w:noWrap w:val="0"/>
            <w:vAlign w:val="center"/>
          </w:tcPr>
          <w:p w14:paraId="456BEF99">
            <w:pPr>
              <w:pStyle w:val="29"/>
              <w:suppressLineNumbers w:val="0"/>
              <w:bidi w:val="0"/>
              <w:spacing w:beforeAutospacing="0" w:afterAutospacing="0"/>
              <w:ind w:left="0" w:right="0"/>
              <w:rPr>
                <w:rFonts w:hint="default" w:ascii="Times New Roman" w:hAnsi="Times New Roman" w:eastAsia="宋体" w:cs="Times New Roman"/>
                <w:bCs/>
                <w:color w:val="auto"/>
                <w:kern w:val="0"/>
                <w:szCs w:val="21"/>
                <w:highlight w:val="none"/>
              </w:rPr>
            </w:pPr>
            <w:bookmarkStart w:id="2304" w:name="_Toc18344"/>
            <w:bookmarkStart w:id="2305" w:name="_Toc9453"/>
            <w:bookmarkStart w:id="2306" w:name="_Toc16761"/>
            <w:bookmarkStart w:id="2307" w:name="_Toc8875"/>
            <w:r>
              <w:rPr>
                <w:rFonts w:hint="default" w:ascii="Times New Roman" w:hAnsi="Times New Roman" w:eastAsia="宋体" w:cs="Times New Roman"/>
                <w:bCs/>
                <w:color w:val="auto"/>
                <w:kern w:val="0"/>
                <w:szCs w:val="21"/>
                <w:highlight w:val="none"/>
              </w:rPr>
              <w:t>1</w:t>
            </w:r>
            <w:bookmarkEnd w:id="2304"/>
            <w:bookmarkEnd w:id="2305"/>
            <w:bookmarkEnd w:id="2306"/>
            <w:bookmarkEnd w:id="2307"/>
          </w:p>
        </w:tc>
        <w:tc>
          <w:tcPr>
            <w:tcW w:w="1363" w:type="pct"/>
            <w:tcBorders>
              <w:tl2br w:val="nil"/>
              <w:tr2bl w:val="nil"/>
            </w:tcBorders>
            <w:noWrap w:val="0"/>
            <w:vAlign w:val="center"/>
          </w:tcPr>
          <w:p w14:paraId="0C50BF00">
            <w:pPr>
              <w:pStyle w:val="29"/>
              <w:suppressLineNumbers w:val="0"/>
              <w:bidi w:val="0"/>
              <w:spacing w:beforeAutospacing="0" w:afterAutospacing="0"/>
              <w:ind w:left="0" w:right="0"/>
              <w:rPr>
                <w:rFonts w:hint="default" w:ascii="Times New Roman" w:hAnsi="Times New Roman" w:eastAsia="宋体" w:cs="Times New Roman"/>
                <w:bCs/>
                <w:color w:val="auto"/>
                <w:kern w:val="0"/>
                <w:szCs w:val="21"/>
                <w:highlight w:val="none"/>
              </w:rPr>
            </w:pPr>
            <w:bookmarkStart w:id="2308" w:name="_Toc21308"/>
            <w:bookmarkStart w:id="2309" w:name="_Toc13228"/>
            <w:bookmarkStart w:id="2310" w:name="_Toc24894"/>
            <w:r>
              <w:rPr>
                <w:rFonts w:hint="default" w:ascii="Times New Roman" w:hAnsi="Times New Roman" w:eastAsia="宋体" w:cs="Times New Roman"/>
                <w:bCs/>
                <w:color w:val="auto"/>
                <w:kern w:val="0"/>
                <w:szCs w:val="21"/>
                <w:highlight w:val="none"/>
                <w:lang w:val="en-US" w:eastAsia="zh-CN"/>
              </w:rPr>
              <w:t>耕地、草地、绿化林地</w:t>
            </w:r>
            <w:bookmarkEnd w:id="2308"/>
            <w:bookmarkEnd w:id="2309"/>
            <w:bookmarkEnd w:id="2310"/>
          </w:p>
        </w:tc>
        <w:tc>
          <w:tcPr>
            <w:tcW w:w="1206" w:type="pct"/>
            <w:tcBorders>
              <w:tl2br w:val="nil"/>
              <w:tr2bl w:val="nil"/>
            </w:tcBorders>
            <w:noWrap w:val="0"/>
            <w:vAlign w:val="center"/>
          </w:tcPr>
          <w:p w14:paraId="2CAA058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311" w:name="_Toc159"/>
            <w:bookmarkStart w:id="2312" w:name="_Toc24144"/>
            <w:bookmarkStart w:id="2313" w:name="_Toc14261"/>
            <w:bookmarkStart w:id="2314" w:name="_Toc27202"/>
            <w:r>
              <w:rPr>
                <w:rFonts w:hint="default" w:ascii="Times New Roman" w:hAnsi="Times New Roman" w:eastAsia="宋体" w:cs="Times New Roman"/>
                <w:color w:val="auto"/>
                <w:sz w:val="21"/>
                <w:szCs w:val="21"/>
                <w:highlight w:val="none"/>
                <w:lang w:val="en-US" w:eastAsia="zh-CN"/>
              </w:rPr>
              <w:t>河道工程区两侧</w:t>
            </w:r>
            <w:bookmarkEnd w:id="2311"/>
            <w:bookmarkEnd w:id="2312"/>
            <w:bookmarkEnd w:id="2313"/>
            <w:bookmarkEnd w:id="2314"/>
          </w:p>
        </w:tc>
        <w:tc>
          <w:tcPr>
            <w:tcW w:w="1947" w:type="pct"/>
            <w:tcBorders>
              <w:tl2br w:val="nil"/>
              <w:tr2bl w:val="nil"/>
            </w:tcBorders>
            <w:noWrap w:val="0"/>
            <w:vAlign w:val="center"/>
          </w:tcPr>
          <w:p w14:paraId="5A9B3456">
            <w:pPr>
              <w:pStyle w:val="29"/>
              <w:suppressLineNumbers w:val="0"/>
              <w:bidi w:val="0"/>
              <w:spacing w:beforeAutospacing="0" w:afterAutospacing="0"/>
              <w:ind w:left="0" w:right="0"/>
              <w:rPr>
                <w:rFonts w:hint="default" w:ascii="Times New Roman" w:hAnsi="Times New Roman" w:eastAsia="宋体" w:cs="Times New Roman"/>
                <w:bCs/>
                <w:color w:val="auto"/>
                <w:kern w:val="0"/>
                <w:szCs w:val="21"/>
                <w:highlight w:val="none"/>
              </w:rPr>
            </w:pPr>
            <w:bookmarkStart w:id="2315" w:name="_Toc6880"/>
            <w:bookmarkStart w:id="2316" w:name="_Toc20029"/>
            <w:bookmarkStart w:id="2317" w:name="_Toc27689"/>
            <w:r>
              <w:rPr>
                <w:rFonts w:hint="default" w:ascii="Times New Roman" w:hAnsi="Times New Roman" w:eastAsia="宋体" w:cs="Times New Roman"/>
                <w:bCs/>
                <w:color w:val="auto"/>
                <w:kern w:val="0"/>
                <w:szCs w:val="21"/>
                <w:highlight w:val="none"/>
              </w:rPr>
              <w:t>《土壤环境质量农用地土壤污染风险管控标准（试行）》（GB15618-2018）</w:t>
            </w:r>
            <w:bookmarkEnd w:id="2315"/>
            <w:bookmarkEnd w:id="2316"/>
            <w:bookmarkEnd w:id="2317"/>
          </w:p>
        </w:tc>
      </w:tr>
    </w:tbl>
    <w:p w14:paraId="164DB9F8">
      <w:pPr>
        <w:pStyle w:val="6"/>
        <w:rPr>
          <w:rFonts w:hint="default" w:ascii="Times New Roman" w:hAnsi="Times New Roman" w:eastAsia="宋体" w:cs="Times New Roman"/>
          <w:color w:val="auto"/>
          <w:sz w:val="28"/>
          <w:szCs w:val="28"/>
          <w:highlight w:val="none"/>
          <w:lang w:val="en-US" w:eastAsia="zh-CN"/>
        </w:rPr>
      </w:pPr>
      <w:bookmarkStart w:id="2318" w:name="_Toc16272"/>
      <w:bookmarkStart w:id="2319" w:name="_Toc21250"/>
      <w:bookmarkStart w:id="2320" w:name="_Toc8360"/>
      <w:bookmarkStart w:id="2321" w:name="_Toc386"/>
      <w:r>
        <w:rPr>
          <w:rFonts w:hint="default" w:ascii="Times New Roman" w:hAnsi="Times New Roman" w:eastAsia="宋体" w:cs="Times New Roman"/>
          <w:color w:val="auto"/>
          <w:sz w:val="28"/>
          <w:szCs w:val="28"/>
          <w:highlight w:val="none"/>
          <w:lang w:val="en-US" w:eastAsia="zh-CN"/>
        </w:rPr>
        <w:t>1.6.4地下水</w:t>
      </w:r>
      <w:r>
        <w:rPr>
          <w:rFonts w:hint="default" w:ascii="Times New Roman" w:hAnsi="Times New Roman" w:cs="Times New Roman"/>
          <w:color w:val="auto"/>
          <w:sz w:val="28"/>
          <w:szCs w:val="28"/>
          <w:highlight w:val="none"/>
        </w:rPr>
        <w:t>环境</w:t>
      </w:r>
      <w:r>
        <w:rPr>
          <w:rFonts w:hint="default" w:ascii="Times New Roman" w:hAnsi="Times New Roman" w:eastAsia="宋体" w:cs="Times New Roman"/>
          <w:color w:val="auto"/>
          <w:sz w:val="28"/>
          <w:szCs w:val="28"/>
          <w:highlight w:val="none"/>
          <w:lang w:val="en-US" w:eastAsia="zh-CN"/>
        </w:rPr>
        <w:t>保护目标</w:t>
      </w:r>
      <w:bookmarkEnd w:id="2318"/>
    </w:p>
    <w:p w14:paraId="47E26677">
      <w:pPr>
        <w:ind w:firstLine="480"/>
        <w:rPr>
          <w:rFonts w:hint="default" w:ascii="Times New Roman" w:hAnsi="Times New Roman" w:eastAsia="宋体" w:cs="Times New Roman"/>
          <w:snapToGrid w:val="0"/>
          <w:color w:val="auto"/>
          <w:highlight w:val="none"/>
          <w:lang w:val="en-US" w:eastAsia="zh-CN"/>
        </w:rPr>
      </w:pPr>
      <w:r>
        <w:rPr>
          <w:rFonts w:hint="eastAsia" w:cs="Times New Roman"/>
          <w:snapToGrid w:val="0"/>
          <w:color w:val="auto"/>
          <w:highlight w:val="none"/>
          <w:lang w:val="en-US" w:eastAsia="zh-CN"/>
        </w:rPr>
        <w:t>本工程</w:t>
      </w:r>
      <w:r>
        <w:rPr>
          <w:rFonts w:hint="default" w:ascii="Times New Roman" w:hAnsi="Times New Roman" w:eastAsia="宋体" w:cs="Times New Roman"/>
          <w:snapToGrid w:val="0"/>
          <w:color w:val="auto"/>
          <w:highlight w:val="none"/>
          <w:lang w:val="en-US" w:eastAsia="zh-CN"/>
        </w:rPr>
        <w:t>占地边界外200m范围内无地下水集中式饮用水水源和热水、矿泉水、温泉等特殊地下水资源，无地下水环境保护目标。</w:t>
      </w:r>
    </w:p>
    <w:p w14:paraId="51599CE1">
      <w:pPr>
        <w:pStyle w:val="6"/>
        <w:rPr>
          <w:rFonts w:hint="default" w:ascii="Times New Roman" w:hAnsi="Times New Roman" w:eastAsia="宋体" w:cs="Times New Roman"/>
          <w:color w:val="auto"/>
          <w:sz w:val="28"/>
          <w:szCs w:val="28"/>
          <w:highlight w:val="none"/>
          <w:lang w:val="en-US" w:eastAsia="zh-CN"/>
        </w:rPr>
      </w:pPr>
      <w:bookmarkStart w:id="2322" w:name="_Toc7660"/>
      <w:r>
        <w:rPr>
          <w:rFonts w:hint="default" w:ascii="Times New Roman" w:hAnsi="Times New Roman" w:eastAsia="宋体" w:cs="Times New Roman"/>
          <w:color w:val="auto"/>
          <w:sz w:val="28"/>
          <w:szCs w:val="28"/>
          <w:highlight w:val="none"/>
          <w:lang w:val="en-US" w:eastAsia="zh-CN"/>
        </w:rPr>
        <w:t>1.6.5大气、声环境保护目标</w:t>
      </w:r>
      <w:bookmarkEnd w:id="2322"/>
    </w:p>
    <w:p w14:paraId="5010F867">
      <w:pPr>
        <w:spacing w:line="360" w:lineRule="auto"/>
        <w:ind w:firstLine="480" w:firstLineChars="200"/>
        <w:rPr>
          <w:rFonts w:hint="default" w:ascii="Times New Roman" w:hAnsi="Times New Roman" w:cs="Times New Roman"/>
          <w:snapToGrid w:val="0"/>
          <w:color w:val="auto"/>
          <w:sz w:val="24"/>
          <w:highlight w:val="none"/>
        </w:rPr>
      </w:pPr>
      <w:r>
        <w:rPr>
          <w:rFonts w:hint="eastAsia" w:cs="Times New Roman"/>
          <w:snapToGrid w:val="0"/>
          <w:color w:val="auto"/>
          <w:sz w:val="24"/>
          <w:highlight w:val="none"/>
          <w:lang w:eastAsia="zh-CN"/>
        </w:rPr>
        <w:t>本工程</w:t>
      </w:r>
      <w:r>
        <w:rPr>
          <w:rFonts w:hint="default" w:ascii="Times New Roman" w:hAnsi="Times New Roman" w:cs="Times New Roman"/>
          <w:snapToGrid w:val="0"/>
          <w:color w:val="auto"/>
          <w:sz w:val="24"/>
          <w:highlight w:val="none"/>
          <w:lang w:val="en-US" w:eastAsia="zh-CN"/>
        </w:rPr>
        <w:t>沿河道两侧施工。</w:t>
      </w:r>
      <w:r>
        <w:rPr>
          <w:rFonts w:hint="default" w:ascii="Times New Roman" w:hAnsi="Times New Roman" w:cs="Times New Roman"/>
          <w:snapToGrid w:val="0"/>
          <w:color w:val="auto"/>
          <w:sz w:val="24"/>
          <w:highlight w:val="none"/>
        </w:rPr>
        <w:t>工程</w:t>
      </w:r>
      <w:r>
        <w:rPr>
          <w:rFonts w:hint="default" w:ascii="Times New Roman" w:hAnsi="Times New Roman" w:cs="Times New Roman"/>
          <w:snapToGrid w:val="0"/>
          <w:color w:val="auto"/>
          <w:sz w:val="24"/>
          <w:highlight w:val="none"/>
          <w:lang w:val="en-US" w:eastAsia="zh-CN"/>
        </w:rPr>
        <w:t>沿线环境空气及声</w:t>
      </w:r>
      <w:r>
        <w:rPr>
          <w:rFonts w:hint="eastAsia" w:cs="Times New Roman"/>
          <w:snapToGrid w:val="0"/>
          <w:color w:val="auto"/>
          <w:sz w:val="24"/>
          <w:highlight w:val="none"/>
          <w:lang w:val="en-US" w:eastAsia="zh-CN"/>
        </w:rPr>
        <w:t>环境保护</w:t>
      </w:r>
      <w:r>
        <w:rPr>
          <w:rFonts w:hint="default" w:ascii="Times New Roman" w:hAnsi="Times New Roman" w:cs="Times New Roman"/>
          <w:snapToGrid w:val="0"/>
          <w:color w:val="auto"/>
          <w:sz w:val="24"/>
          <w:highlight w:val="none"/>
          <w:lang w:eastAsia="zh-CN"/>
        </w:rPr>
        <w:t>目标</w:t>
      </w:r>
      <w:r>
        <w:rPr>
          <w:rFonts w:hint="default" w:ascii="Times New Roman" w:hAnsi="Times New Roman" w:cs="Times New Roman"/>
          <w:snapToGrid w:val="0"/>
          <w:color w:val="auto"/>
          <w:sz w:val="24"/>
          <w:highlight w:val="none"/>
          <w:lang w:val="en-US" w:eastAsia="zh-CN"/>
        </w:rPr>
        <w:t>见表1.6-4</w:t>
      </w:r>
      <w:r>
        <w:rPr>
          <w:rFonts w:hint="default" w:ascii="Times New Roman" w:hAnsi="Times New Roman" w:cs="Times New Roman"/>
          <w:snapToGrid w:val="0"/>
          <w:color w:val="auto"/>
          <w:sz w:val="24"/>
          <w:highlight w:val="none"/>
        </w:rPr>
        <w:t>。</w:t>
      </w:r>
    </w:p>
    <w:p w14:paraId="67458325">
      <w:pPr>
        <w:widowControl/>
        <w:ind w:firstLine="482" w:firstLineChars="200"/>
        <w:jc w:val="center"/>
        <w:rPr>
          <w:rFonts w:hint="default" w:ascii="Times New Roman" w:hAnsi="Times New Roman" w:cs="Times New Roman"/>
          <w:b/>
          <w:bCs/>
          <w:snapToGrid w:val="0"/>
          <w:color w:val="auto"/>
          <w:sz w:val="24"/>
          <w:highlight w:val="none"/>
        </w:rPr>
      </w:pPr>
      <w:r>
        <w:rPr>
          <w:rFonts w:hint="default" w:ascii="Times New Roman" w:hAnsi="Times New Roman" w:cs="Times New Roman"/>
          <w:b/>
          <w:bCs/>
          <w:snapToGrid w:val="0"/>
          <w:color w:val="auto"/>
          <w:sz w:val="24"/>
          <w:highlight w:val="none"/>
        </w:rPr>
        <w:t>表</w:t>
      </w:r>
      <w:r>
        <w:rPr>
          <w:rFonts w:hint="default" w:ascii="Times New Roman" w:hAnsi="Times New Roman" w:cs="Times New Roman"/>
          <w:b/>
          <w:bCs/>
          <w:snapToGrid w:val="0"/>
          <w:color w:val="auto"/>
          <w:sz w:val="24"/>
          <w:highlight w:val="none"/>
          <w:lang w:val="en-US" w:eastAsia="zh-CN"/>
        </w:rPr>
        <w:t>1.6-4大气</w:t>
      </w:r>
      <w:r>
        <w:rPr>
          <w:rFonts w:hint="default" w:ascii="Times New Roman" w:hAnsi="Times New Roman" w:cs="Times New Roman"/>
          <w:b/>
          <w:bCs/>
          <w:snapToGrid w:val="0"/>
          <w:color w:val="auto"/>
          <w:sz w:val="24"/>
          <w:highlight w:val="none"/>
        </w:rPr>
        <w:t>环境</w:t>
      </w:r>
      <w:r>
        <w:rPr>
          <w:rFonts w:hint="default" w:ascii="Times New Roman" w:hAnsi="Times New Roman" w:cs="Times New Roman"/>
          <w:b/>
          <w:bCs/>
          <w:snapToGrid w:val="0"/>
          <w:color w:val="auto"/>
          <w:sz w:val="24"/>
          <w:highlight w:val="none"/>
          <w:lang w:eastAsia="zh-CN"/>
        </w:rPr>
        <w:t>、</w:t>
      </w:r>
      <w:r>
        <w:rPr>
          <w:rFonts w:hint="default" w:ascii="Times New Roman" w:hAnsi="Times New Roman" w:cs="Times New Roman"/>
          <w:b/>
          <w:bCs/>
          <w:snapToGrid w:val="0"/>
          <w:color w:val="auto"/>
          <w:sz w:val="24"/>
          <w:highlight w:val="none"/>
          <w:lang w:val="en-US" w:eastAsia="zh-CN"/>
        </w:rPr>
        <w:t>声环境保</w:t>
      </w:r>
      <w:r>
        <w:rPr>
          <w:rFonts w:hint="default" w:ascii="Times New Roman" w:hAnsi="Times New Roman" w:cs="Times New Roman"/>
          <w:b/>
          <w:bCs/>
          <w:snapToGrid w:val="0"/>
          <w:color w:val="auto"/>
          <w:sz w:val="24"/>
          <w:highlight w:val="none"/>
        </w:rPr>
        <w:t>护目标表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1501"/>
        <w:gridCol w:w="1320"/>
        <w:gridCol w:w="1320"/>
        <w:gridCol w:w="1110"/>
        <w:gridCol w:w="844"/>
        <w:gridCol w:w="1719"/>
      </w:tblGrid>
      <w:tr w14:paraId="1E85A0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6" w:hRule="atLeast"/>
          <w:tblHeader/>
        </w:trPr>
        <w:tc>
          <w:tcPr>
            <w:tcW w:w="414" w:type="pct"/>
            <w:tcBorders>
              <w:tl2br w:val="nil"/>
              <w:tr2bl w:val="nil"/>
            </w:tcBorders>
            <w:noWrap w:val="0"/>
            <w:vAlign w:val="center"/>
          </w:tcPr>
          <w:p w14:paraId="0567F73B">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323" w:name="_Toc16614"/>
            <w:bookmarkStart w:id="2324" w:name="_Toc13841"/>
            <w:bookmarkStart w:id="2325" w:name="_Toc3345"/>
            <w:bookmarkStart w:id="2326" w:name="_Toc25508"/>
            <w:r>
              <w:rPr>
                <w:rFonts w:hint="default" w:ascii="Times New Roman" w:hAnsi="Times New Roman" w:eastAsia="宋体" w:cs="Times New Roman"/>
                <w:b/>
                <w:bCs/>
                <w:color w:val="auto"/>
                <w:sz w:val="21"/>
                <w:szCs w:val="21"/>
                <w:highlight w:val="none"/>
              </w:rPr>
              <w:t>序号</w:t>
            </w:r>
            <w:bookmarkEnd w:id="2323"/>
            <w:bookmarkEnd w:id="2324"/>
            <w:bookmarkEnd w:id="2325"/>
            <w:bookmarkEnd w:id="2326"/>
          </w:p>
        </w:tc>
        <w:tc>
          <w:tcPr>
            <w:tcW w:w="880" w:type="pct"/>
            <w:tcBorders>
              <w:tl2br w:val="nil"/>
              <w:tr2bl w:val="nil"/>
            </w:tcBorders>
            <w:noWrap w:val="0"/>
            <w:vAlign w:val="center"/>
          </w:tcPr>
          <w:p w14:paraId="41BE5FA1">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327" w:name="_Toc26006"/>
            <w:bookmarkStart w:id="2328" w:name="_Toc28278"/>
            <w:bookmarkStart w:id="2329" w:name="_Toc572"/>
            <w:bookmarkStart w:id="2330" w:name="_Toc15127"/>
            <w:r>
              <w:rPr>
                <w:rFonts w:hint="default" w:ascii="Times New Roman" w:hAnsi="Times New Roman" w:eastAsia="宋体" w:cs="Times New Roman"/>
                <w:b/>
                <w:bCs/>
                <w:color w:val="auto"/>
                <w:sz w:val="21"/>
                <w:szCs w:val="21"/>
                <w:highlight w:val="none"/>
              </w:rPr>
              <w:t>敏感目标</w:t>
            </w:r>
            <w:bookmarkEnd w:id="2327"/>
            <w:bookmarkEnd w:id="2328"/>
            <w:bookmarkEnd w:id="2329"/>
            <w:bookmarkEnd w:id="2330"/>
          </w:p>
        </w:tc>
        <w:tc>
          <w:tcPr>
            <w:tcW w:w="774" w:type="pct"/>
            <w:tcBorders>
              <w:tl2br w:val="nil"/>
              <w:tr2bl w:val="nil"/>
            </w:tcBorders>
            <w:noWrap w:val="0"/>
            <w:vAlign w:val="center"/>
          </w:tcPr>
          <w:p w14:paraId="1E17C19F">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lang w:val="en-US" w:eastAsia="zh-CN"/>
              </w:rPr>
            </w:pPr>
            <w:bookmarkStart w:id="2331" w:name="_Toc4054"/>
            <w:bookmarkStart w:id="2332" w:name="_Toc23591"/>
            <w:bookmarkStart w:id="2333" w:name="_Toc21018"/>
            <w:r>
              <w:rPr>
                <w:rFonts w:hint="default" w:ascii="Times New Roman" w:hAnsi="Times New Roman" w:eastAsia="宋体" w:cs="Times New Roman"/>
                <w:b/>
                <w:bCs/>
                <w:color w:val="auto"/>
                <w:sz w:val="21"/>
                <w:szCs w:val="21"/>
                <w:highlight w:val="none"/>
                <w:lang w:val="en-US" w:eastAsia="zh-CN"/>
              </w:rPr>
              <w:t>经度</w:t>
            </w:r>
            <w:bookmarkEnd w:id="2331"/>
            <w:bookmarkEnd w:id="2332"/>
            <w:bookmarkEnd w:id="2333"/>
          </w:p>
        </w:tc>
        <w:tc>
          <w:tcPr>
            <w:tcW w:w="774" w:type="pct"/>
            <w:tcBorders>
              <w:tl2br w:val="nil"/>
              <w:tr2bl w:val="nil"/>
            </w:tcBorders>
            <w:noWrap w:val="0"/>
            <w:vAlign w:val="center"/>
          </w:tcPr>
          <w:p w14:paraId="291B3A60">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lang w:val="en-US" w:eastAsia="zh-CN"/>
              </w:rPr>
            </w:pPr>
            <w:bookmarkStart w:id="2334" w:name="_Toc23547"/>
            <w:bookmarkStart w:id="2335" w:name="_Toc3260"/>
            <w:bookmarkStart w:id="2336" w:name="_Toc15742"/>
            <w:bookmarkStart w:id="2337" w:name="_Toc10216"/>
            <w:r>
              <w:rPr>
                <w:rFonts w:hint="default" w:ascii="Times New Roman" w:hAnsi="Times New Roman" w:eastAsia="宋体" w:cs="Times New Roman"/>
                <w:b/>
                <w:bCs/>
                <w:color w:val="auto"/>
                <w:sz w:val="21"/>
                <w:szCs w:val="21"/>
                <w:highlight w:val="none"/>
                <w:lang w:val="en-US" w:eastAsia="zh-CN"/>
              </w:rPr>
              <w:t>纬度</w:t>
            </w:r>
            <w:bookmarkEnd w:id="2334"/>
            <w:bookmarkEnd w:id="2335"/>
            <w:bookmarkEnd w:id="2336"/>
          </w:p>
        </w:tc>
        <w:tc>
          <w:tcPr>
            <w:tcW w:w="651" w:type="pct"/>
            <w:tcBorders>
              <w:tl2br w:val="nil"/>
              <w:tr2bl w:val="nil"/>
            </w:tcBorders>
            <w:noWrap w:val="0"/>
            <w:vAlign w:val="center"/>
          </w:tcPr>
          <w:p w14:paraId="720708DE">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338" w:name="_Toc27359"/>
            <w:bookmarkStart w:id="2339" w:name="_Toc20995"/>
            <w:bookmarkStart w:id="2340" w:name="_Toc16413"/>
            <w:r>
              <w:rPr>
                <w:rFonts w:hint="default" w:ascii="Times New Roman" w:hAnsi="Times New Roman" w:eastAsia="宋体" w:cs="Times New Roman"/>
                <w:b/>
                <w:bCs/>
                <w:color w:val="auto"/>
                <w:sz w:val="21"/>
                <w:szCs w:val="21"/>
                <w:highlight w:val="none"/>
              </w:rPr>
              <w:t>位置关系</w:t>
            </w:r>
            <w:bookmarkEnd w:id="2337"/>
            <w:bookmarkEnd w:id="2338"/>
            <w:bookmarkEnd w:id="2339"/>
            <w:bookmarkEnd w:id="2340"/>
          </w:p>
        </w:tc>
        <w:tc>
          <w:tcPr>
            <w:tcW w:w="495" w:type="pct"/>
            <w:tcBorders>
              <w:tl2br w:val="nil"/>
              <w:tr2bl w:val="nil"/>
            </w:tcBorders>
            <w:noWrap w:val="0"/>
            <w:vAlign w:val="center"/>
          </w:tcPr>
          <w:p w14:paraId="12B7937B">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341" w:name="_Toc15517"/>
            <w:bookmarkStart w:id="2342" w:name="_Toc30857"/>
            <w:bookmarkStart w:id="2343" w:name="_Toc24815"/>
            <w:bookmarkStart w:id="2344" w:name="_Toc5451"/>
            <w:r>
              <w:rPr>
                <w:rFonts w:hint="default" w:ascii="Times New Roman" w:hAnsi="Times New Roman" w:eastAsia="宋体" w:cs="Times New Roman"/>
                <w:b/>
                <w:bCs/>
                <w:color w:val="auto"/>
                <w:sz w:val="21"/>
                <w:szCs w:val="21"/>
                <w:highlight w:val="none"/>
              </w:rPr>
              <w:t>户数</w:t>
            </w:r>
            <w:bookmarkEnd w:id="2341"/>
            <w:bookmarkEnd w:id="2342"/>
            <w:bookmarkEnd w:id="2343"/>
            <w:bookmarkEnd w:id="2344"/>
          </w:p>
        </w:tc>
        <w:tc>
          <w:tcPr>
            <w:tcW w:w="1008" w:type="pct"/>
            <w:tcBorders>
              <w:tl2br w:val="nil"/>
              <w:tr2bl w:val="nil"/>
            </w:tcBorders>
            <w:noWrap w:val="0"/>
            <w:vAlign w:val="center"/>
          </w:tcPr>
          <w:p w14:paraId="5E63D956">
            <w:pPr>
              <w:pStyle w:val="29"/>
              <w:suppressLineNumbers w:val="0"/>
              <w:bidi w:val="0"/>
              <w:spacing w:beforeAutospacing="0" w:afterAutospacing="0"/>
              <w:ind w:left="0" w:right="0"/>
              <w:rPr>
                <w:rFonts w:hint="default" w:ascii="Times New Roman" w:hAnsi="Times New Roman" w:eastAsia="宋体" w:cs="Times New Roman"/>
                <w:b/>
                <w:bCs/>
                <w:color w:val="auto"/>
                <w:sz w:val="21"/>
                <w:szCs w:val="21"/>
                <w:highlight w:val="none"/>
              </w:rPr>
            </w:pPr>
            <w:bookmarkStart w:id="2345" w:name="_Toc19392"/>
            <w:bookmarkStart w:id="2346" w:name="_Toc755"/>
            <w:bookmarkStart w:id="2347" w:name="_Toc25616"/>
            <w:bookmarkStart w:id="2348" w:name="_Toc25677"/>
            <w:r>
              <w:rPr>
                <w:rFonts w:hint="default" w:ascii="Times New Roman" w:hAnsi="Times New Roman" w:eastAsia="宋体" w:cs="Times New Roman"/>
                <w:b/>
                <w:bCs/>
                <w:color w:val="auto"/>
                <w:sz w:val="21"/>
                <w:szCs w:val="21"/>
                <w:highlight w:val="none"/>
              </w:rPr>
              <w:t>保护要求</w:t>
            </w:r>
            <w:bookmarkEnd w:id="2345"/>
            <w:bookmarkEnd w:id="2346"/>
            <w:bookmarkEnd w:id="2347"/>
            <w:bookmarkEnd w:id="2348"/>
          </w:p>
        </w:tc>
      </w:tr>
      <w:tr w14:paraId="19531C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4" w:type="pct"/>
            <w:tcBorders>
              <w:tl2br w:val="nil"/>
              <w:tr2bl w:val="nil"/>
            </w:tcBorders>
            <w:noWrap w:val="0"/>
            <w:vAlign w:val="center"/>
          </w:tcPr>
          <w:p w14:paraId="23931FE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2349" w:name="_Toc561"/>
            <w:bookmarkStart w:id="2350" w:name="_Toc17102"/>
            <w:bookmarkStart w:id="2351" w:name="_Toc29627"/>
            <w:bookmarkStart w:id="2352" w:name="_Toc14994"/>
            <w:r>
              <w:rPr>
                <w:rFonts w:hint="default" w:ascii="Times New Roman" w:hAnsi="Times New Roman" w:eastAsia="宋体" w:cs="Times New Roman"/>
                <w:color w:val="auto"/>
                <w:sz w:val="21"/>
                <w:szCs w:val="21"/>
                <w:highlight w:val="none"/>
              </w:rPr>
              <w:t>1</w:t>
            </w:r>
            <w:bookmarkEnd w:id="2349"/>
            <w:bookmarkEnd w:id="2350"/>
            <w:bookmarkEnd w:id="2351"/>
            <w:bookmarkEnd w:id="2352"/>
          </w:p>
        </w:tc>
        <w:tc>
          <w:tcPr>
            <w:tcW w:w="880" w:type="pct"/>
            <w:tcBorders>
              <w:tl2br w:val="nil"/>
              <w:tr2bl w:val="nil"/>
            </w:tcBorders>
            <w:noWrap w:val="0"/>
            <w:vAlign w:val="center"/>
          </w:tcPr>
          <w:p w14:paraId="056E3D4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353" w:name="_Toc19378"/>
            <w:bookmarkStart w:id="2354" w:name="_Toc12114"/>
            <w:bookmarkStart w:id="2355" w:name="_Toc23286"/>
            <w:r>
              <w:rPr>
                <w:rFonts w:hint="default" w:ascii="Times New Roman" w:hAnsi="Times New Roman" w:eastAsia="宋体" w:cs="Times New Roman"/>
                <w:color w:val="auto"/>
                <w:sz w:val="21"/>
                <w:szCs w:val="21"/>
                <w:highlight w:val="none"/>
                <w:lang w:val="en-US" w:eastAsia="zh-CN"/>
              </w:rPr>
              <w:t>史崾蚬村</w:t>
            </w:r>
            <w:bookmarkEnd w:id="2353"/>
            <w:bookmarkEnd w:id="2354"/>
            <w:bookmarkEnd w:id="2355"/>
          </w:p>
        </w:tc>
        <w:tc>
          <w:tcPr>
            <w:tcW w:w="774" w:type="pct"/>
            <w:tcBorders>
              <w:tl2br w:val="nil"/>
              <w:tr2bl w:val="nil"/>
            </w:tcBorders>
            <w:noWrap w:val="0"/>
            <w:vAlign w:val="center"/>
          </w:tcPr>
          <w:p w14:paraId="063AC52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356" w:name="_Toc25233"/>
            <w:bookmarkStart w:id="2357" w:name="_Toc2287"/>
            <w:bookmarkStart w:id="2358" w:name="_Toc29745"/>
            <w:r>
              <w:rPr>
                <w:rFonts w:hint="default" w:ascii="Times New Roman" w:hAnsi="Times New Roman" w:eastAsia="宋体" w:cs="Times New Roman"/>
                <w:color w:val="auto"/>
                <w:sz w:val="21"/>
                <w:szCs w:val="21"/>
                <w:highlight w:val="none"/>
                <w:lang w:val="en-US" w:eastAsia="zh-CN"/>
              </w:rPr>
              <w:t>106.6382645</w:t>
            </w:r>
            <w:bookmarkEnd w:id="2356"/>
            <w:bookmarkEnd w:id="2357"/>
            <w:bookmarkEnd w:id="2358"/>
          </w:p>
        </w:tc>
        <w:tc>
          <w:tcPr>
            <w:tcW w:w="774" w:type="pct"/>
            <w:tcBorders>
              <w:tl2br w:val="nil"/>
              <w:tr2bl w:val="nil"/>
            </w:tcBorders>
            <w:noWrap w:val="0"/>
            <w:vAlign w:val="center"/>
          </w:tcPr>
          <w:p w14:paraId="16F3002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359" w:name="_Toc22942"/>
            <w:bookmarkStart w:id="2360" w:name="_Toc4233"/>
            <w:bookmarkStart w:id="2361" w:name="_Toc11888"/>
            <w:r>
              <w:rPr>
                <w:rFonts w:hint="default" w:ascii="Times New Roman" w:hAnsi="Times New Roman" w:eastAsia="宋体" w:cs="Times New Roman"/>
                <w:color w:val="auto"/>
                <w:sz w:val="21"/>
                <w:szCs w:val="21"/>
                <w:highlight w:val="none"/>
                <w:lang w:val="en-US" w:eastAsia="zh-CN"/>
              </w:rPr>
              <w:t>35.87125719</w:t>
            </w:r>
            <w:bookmarkEnd w:id="2359"/>
            <w:bookmarkEnd w:id="2360"/>
            <w:bookmarkEnd w:id="2361"/>
          </w:p>
        </w:tc>
        <w:tc>
          <w:tcPr>
            <w:tcW w:w="1110" w:type="dxa"/>
            <w:tcBorders>
              <w:tl2br w:val="nil"/>
              <w:tr2bl w:val="nil"/>
            </w:tcBorders>
            <w:noWrap w:val="0"/>
            <w:vAlign w:val="center"/>
          </w:tcPr>
          <w:p w14:paraId="703A6092">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eastAsia" w:ascii="Times New Roman" w:hAnsi="Times New Roman" w:eastAsia="宋体" w:cs="Times New Roman"/>
                <w:color w:val="auto"/>
                <w:sz w:val="21"/>
                <w:szCs w:val="21"/>
                <w:highlight w:val="none"/>
                <w:lang w:val="en-US" w:eastAsia="zh-CN"/>
              </w:rPr>
            </w:pPr>
            <w:bookmarkStart w:id="2362" w:name="_Toc8238"/>
            <w:bookmarkStart w:id="2363" w:name="_Toc22596"/>
            <w:bookmarkStart w:id="2364" w:name="_Toc18519"/>
            <w:r>
              <w:rPr>
                <w:rFonts w:hint="eastAsia" w:cs="Times New Roman"/>
                <w:color w:val="auto"/>
                <w:sz w:val="21"/>
                <w:szCs w:val="21"/>
                <w:highlight w:val="none"/>
                <w:lang w:val="en-US" w:eastAsia="zh-CN"/>
              </w:rPr>
              <w:t>N,58</w:t>
            </w:r>
            <w:r>
              <w:rPr>
                <w:rFonts w:hint="default" w:ascii="Times New Roman" w:hAnsi="Times New Roman" w:cs="Times New Roman"/>
                <w:color w:val="auto"/>
                <w:sz w:val="21"/>
                <w:szCs w:val="21"/>
                <w:highlight w:val="none"/>
              </w:rPr>
              <w:t>m</w:t>
            </w:r>
            <w:bookmarkEnd w:id="2362"/>
            <w:bookmarkEnd w:id="2363"/>
            <w:bookmarkEnd w:id="2364"/>
          </w:p>
        </w:tc>
        <w:tc>
          <w:tcPr>
            <w:tcW w:w="495" w:type="pct"/>
            <w:tcBorders>
              <w:tl2br w:val="nil"/>
              <w:tr2bl w:val="nil"/>
            </w:tcBorders>
            <w:noWrap w:val="0"/>
            <w:vAlign w:val="center"/>
          </w:tcPr>
          <w:p w14:paraId="5CECB82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2365" w:name="_Toc3201"/>
            <w:bookmarkStart w:id="2366" w:name="_Toc27534"/>
            <w:bookmarkStart w:id="2367" w:name="_Toc3547"/>
            <w:bookmarkStart w:id="2368" w:name="_Toc24567"/>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户</w:t>
            </w:r>
            <w:bookmarkEnd w:id="2365"/>
            <w:bookmarkEnd w:id="2366"/>
            <w:bookmarkEnd w:id="2367"/>
            <w:bookmarkEnd w:id="2368"/>
          </w:p>
        </w:tc>
        <w:tc>
          <w:tcPr>
            <w:tcW w:w="1008" w:type="pct"/>
            <w:vMerge w:val="restart"/>
            <w:tcBorders>
              <w:tl2br w:val="nil"/>
              <w:tr2bl w:val="nil"/>
            </w:tcBorders>
            <w:noWrap w:val="0"/>
            <w:vAlign w:val="center"/>
          </w:tcPr>
          <w:p w14:paraId="3028950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2369" w:name="_Toc16058"/>
            <w:bookmarkStart w:id="2370" w:name="_Toc6879"/>
            <w:bookmarkStart w:id="2371" w:name="_Toc18686"/>
            <w:bookmarkStart w:id="2372" w:name="_Toc31745"/>
            <w:r>
              <w:rPr>
                <w:rFonts w:hint="default" w:ascii="Times New Roman" w:hAnsi="Times New Roman" w:eastAsia="宋体" w:cs="Times New Roman"/>
                <w:color w:val="auto"/>
                <w:sz w:val="21"/>
                <w:szCs w:val="21"/>
                <w:highlight w:val="none"/>
              </w:rPr>
              <w:t>环境空气：二级</w:t>
            </w:r>
            <w:bookmarkEnd w:id="2369"/>
            <w:bookmarkEnd w:id="2370"/>
            <w:bookmarkEnd w:id="2371"/>
            <w:bookmarkEnd w:id="2372"/>
          </w:p>
          <w:p w14:paraId="41739911">
            <w:pPr>
              <w:pStyle w:val="29"/>
              <w:suppressLineNumbers w:val="0"/>
              <w:bidi w:val="0"/>
              <w:spacing w:beforeAutospacing="0" w:afterAutospacing="0"/>
              <w:ind w:left="0" w:right="0"/>
              <w:rPr>
                <w:rFonts w:hint="default" w:ascii="Times New Roman" w:hAnsi="Times New Roman" w:eastAsia="宋体" w:cs="Times New Roman"/>
                <w:bCs/>
                <w:color w:val="auto"/>
                <w:kern w:val="0"/>
                <w:szCs w:val="21"/>
                <w:highlight w:val="none"/>
                <w:lang w:eastAsia="zh-CN"/>
              </w:rPr>
            </w:pPr>
            <w:bookmarkStart w:id="2373" w:name="_Toc1638"/>
            <w:bookmarkStart w:id="2374" w:name="_Toc28189"/>
            <w:bookmarkStart w:id="2375" w:name="_Toc3571"/>
            <w:bookmarkStart w:id="2376" w:name="_Toc30896"/>
            <w:r>
              <w:rPr>
                <w:rFonts w:hint="default" w:ascii="Times New Roman" w:hAnsi="Times New Roman" w:eastAsia="宋体" w:cs="Times New Roman"/>
                <w:color w:val="auto"/>
                <w:sz w:val="21"/>
                <w:szCs w:val="21"/>
                <w:highlight w:val="none"/>
              </w:rPr>
              <w:t>声环境：</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类</w:t>
            </w:r>
            <w:bookmarkEnd w:id="2373"/>
            <w:bookmarkEnd w:id="2374"/>
            <w:bookmarkEnd w:id="2375"/>
            <w:bookmarkEnd w:id="2376"/>
          </w:p>
        </w:tc>
      </w:tr>
      <w:tr w14:paraId="0EC32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6B804B4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2377" w:name="_Toc14751"/>
            <w:bookmarkStart w:id="2378" w:name="_Toc6832"/>
            <w:bookmarkStart w:id="2379" w:name="_Toc16315"/>
            <w:bookmarkStart w:id="2380" w:name="_Toc12941"/>
            <w:r>
              <w:rPr>
                <w:rFonts w:hint="default" w:ascii="Times New Roman" w:hAnsi="Times New Roman" w:eastAsia="宋体" w:cs="Times New Roman"/>
                <w:color w:val="auto"/>
                <w:sz w:val="21"/>
                <w:szCs w:val="21"/>
                <w:highlight w:val="none"/>
              </w:rPr>
              <w:t>2</w:t>
            </w:r>
            <w:bookmarkEnd w:id="2377"/>
            <w:bookmarkEnd w:id="2378"/>
            <w:bookmarkEnd w:id="2379"/>
            <w:bookmarkEnd w:id="2380"/>
          </w:p>
        </w:tc>
        <w:tc>
          <w:tcPr>
            <w:tcW w:w="880" w:type="pct"/>
            <w:tcBorders>
              <w:tl2br w:val="nil"/>
              <w:tr2bl w:val="nil"/>
            </w:tcBorders>
            <w:noWrap w:val="0"/>
            <w:vAlign w:val="center"/>
          </w:tcPr>
          <w:p w14:paraId="7D9BE4E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381" w:name="_Toc1832"/>
            <w:bookmarkStart w:id="2382" w:name="_Toc7320"/>
            <w:bookmarkStart w:id="2383" w:name="_Toc7917"/>
            <w:r>
              <w:rPr>
                <w:rFonts w:hint="default" w:ascii="Times New Roman" w:hAnsi="Times New Roman" w:eastAsia="宋体" w:cs="Times New Roman"/>
                <w:color w:val="auto"/>
                <w:sz w:val="21"/>
                <w:szCs w:val="21"/>
                <w:highlight w:val="none"/>
                <w:lang w:val="en-US" w:eastAsia="zh-CN"/>
              </w:rPr>
              <w:t>李洼村</w:t>
            </w:r>
            <w:bookmarkEnd w:id="2381"/>
            <w:bookmarkEnd w:id="2382"/>
            <w:bookmarkEnd w:id="2383"/>
          </w:p>
        </w:tc>
        <w:tc>
          <w:tcPr>
            <w:tcW w:w="774" w:type="pct"/>
            <w:tcBorders>
              <w:tl2br w:val="nil"/>
              <w:tr2bl w:val="nil"/>
            </w:tcBorders>
            <w:noWrap w:val="0"/>
            <w:vAlign w:val="center"/>
          </w:tcPr>
          <w:p w14:paraId="261D87E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384" w:name="_Toc20360"/>
            <w:bookmarkStart w:id="2385" w:name="_Toc13207"/>
            <w:bookmarkStart w:id="2386" w:name="_Toc5747"/>
            <w:r>
              <w:rPr>
                <w:rFonts w:hint="default" w:ascii="Times New Roman" w:hAnsi="Times New Roman" w:eastAsia="宋体" w:cs="Times New Roman"/>
                <w:color w:val="auto"/>
                <w:sz w:val="21"/>
                <w:szCs w:val="21"/>
                <w:highlight w:val="none"/>
                <w:lang w:val="en-US" w:eastAsia="zh-CN"/>
              </w:rPr>
              <w:t>106.6331388</w:t>
            </w:r>
            <w:bookmarkEnd w:id="2384"/>
            <w:bookmarkEnd w:id="2385"/>
            <w:bookmarkEnd w:id="2386"/>
          </w:p>
        </w:tc>
        <w:tc>
          <w:tcPr>
            <w:tcW w:w="774" w:type="pct"/>
            <w:tcBorders>
              <w:tl2br w:val="nil"/>
              <w:tr2bl w:val="nil"/>
            </w:tcBorders>
            <w:noWrap w:val="0"/>
            <w:vAlign w:val="center"/>
          </w:tcPr>
          <w:p w14:paraId="2E086D0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387" w:name="_Toc6470"/>
            <w:bookmarkStart w:id="2388" w:name="_Toc20318"/>
            <w:bookmarkStart w:id="2389" w:name="_Toc17363"/>
            <w:bookmarkStart w:id="2390" w:name="_Toc12220"/>
            <w:r>
              <w:rPr>
                <w:rFonts w:hint="default" w:ascii="Times New Roman" w:hAnsi="Times New Roman" w:eastAsia="宋体" w:cs="Times New Roman"/>
                <w:color w:val="auto"/>
                <w:sz w:val="21"/>
                <w:szCs w:val="21"/>
                <w:highlight w:val="none"/>
                <w:lang w:val="en-US" w:eastAsia="zh-CN"/>
              </w:rPr>
              <w:t>35.87418079</w:t>
            </w:r>
            <w:bookmarkEnd w:id="2387"/>
            <w:bookmarkEnd w:id="2388"/>
            <w:bookmarkEnd w:id="2389"/>
          </w:p>
          <w:bookmarkEnd w:id="2390"/>
        </w:tc>
        <w:tc>
          <w:tcPr>
            <w:tcW w:w="1110" w:type="dxa"/>
            <w:tcBorders>
              <w:tl2br w:val="nil"/>
              <w:tr2bl w:val="nil"/>
            </w:tcBorders>
            <w:noWrap w:val="0"/>
            <w:vAlign w:val="center"/>
          </w:tcPr>
          <w:p w14:paraId="35F20041">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rPr>
            </w:pPr>
            <w:bookmarkStart w:id="2391" w:name="_Toc7562"/>
            <w:bookmarkStart w:id="2392" w:name="_Toc3552"/>
            <w:bookmarkStart w:id="2393" w:name="_Toc5915"/>
            <w:r>
              <w:rPr>
                <w:rFonts w:hint="eastAsia" w:cs="Times New Roman"/>
                <w:color w:val="auto"/>
                <w:sz w:val="21"/>
                <w:szCs w:val="21"/>
                <w:highlight w:val="none"/>
                <w:lang w:val="en-US" w:eastAsia="zh-CN"/>
              </w:rPr>
              <w:t>N,52</w:t>
            </w:r>
            <w:r>
              <w:rPr>
                <w:rFonts w:hint="default" w:ascii="Times New Roman" w:hAnsi="Times New Roman" w:cs="Times New Roman"/>
                <w:color w:val="auto"/>
                <w:sz w:val="21"/>
                <w:szCs w:val="21"/>
                <w:highlight w:val="none"/>
              </w:rPr>
              <w:t>m</w:t>
            </w:r>
            <w:bookmarkEnd w:id="2391"/>
            <w:bookmarkEnd w:id="2392"/>
            <w:bookmarkEnd w:id="2393"/>
          </w:p>
        </w:tc>
        <w:tc>
          <w:tcPr>
            <w:tcW w:w="495" w:type="pct"/>
            <w:tcBorders>
              <w:tl2br w:val="nil"/>
              <w:tr2bl w:val="nil"/>
            </w:tcBorders>
            <w:noWrap w:val="0"/>
            <w:vAlign w:val="center"/>
          </w:tcPr>
          <w:p w14:paraId="52ADAAD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2394" w:name="_Toc20648"/>
            <w:bookmarkStart w:id="2395" w:name="_Toc3597"/>
            <w:bookmarkStart w:id="2396" w:name="_Toc4097"/>
            <w:bookmarkStart w:id="2397" w:name="_Toc311"/>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户</w:t>
            </w:r>
            <w:bookmarkEnd w:id="2394"/>
            <w:bookmarkEnd w:id="2395"/>
            <w:bookmarkEnd w:id="2396"/>
            <w:bookmarkEnd w:id="2397"/>
          </w:p>
        </w:tc>
        <w:tc>
          <w:tcPr>
            <w:tcW w:w="1008" w:type="pct"/>
            <w:vMerge w:val="continue"/>
            <w:tcBorders>
              <w:tl2br w:val="nil"/>
              <w:tr2bl w:val="nil"/>
            </w:tcBorders>
            <w:noWrap w:val="0"/>
            <w:vAlign w:val="center"/>
          </w:tcPr>
          <w:p w14:paraId="150C071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4BD511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664BB72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2398" w:name="_Toc18863"/>
            <w:bookmarkStart w:id="2399" w:name="_Toc23519"/>
            <w:bookmarkStart w:id="2400" w:name="_Toc421"/>
            <w:bookmarkStart w:id="2401" w:name="_Toc18119"/>
            <w:r>
              <w:rPr>
                <w:rFonts w:hint="default" w:ascii="Times New Roman" w:hAnsi="Times New Roman" w:eastAsia="宋体" w:cs="Times New Roman"/>
                <w:color w:val="auto"/>
                <w:sz w:val="21"/>
                <w:szCs w:val="21"/>
                <w:highlight w:val="none"/>
              </w:rPr>
              <w:t>3</w:t>
            </w:r>
            <w:bookmarkEnd w:id="2398"/>
            <w:bookmarkEnd w:id="2399"/>
            <w:bookmarkEnd w:id="2400"/>
            <w:bookmarkEnd w:id="2401"/>
          </w:p>
        </w:tc>
        <w:tc>
          <w:tcPr>
            <w:tcW w:w="880" w:type="pct"/>
            <w:tcBorders>
              <w:tl2br w:val="nil"/>
              <w:tr2bl w:val="nil"/>
            </w:tcBorders>
            <w:noWrap w:val="0"/>
            <w:vAlign w:val="center"/>
          </w:tcPr>
          <w:p w14:paraId="3AD494A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02" w:name="_Toc26091"/>
            <w:bookmarkStart w:id="2403" w:name="_Toc14155"/>
            <w:bookmarkStart w:id="2404" w:name="_Toc23203"/>
            <w:r>
              <w:rPr>
                <w:rFonts w:hint="default" w:ascii="Times New Roman" w:hAnsi="Times New Roman" w:eastAsia="宋体" w:cs="Times New Roman"/>
                <w:color w:val="auto"/>
                <w:sz w:val="21"/>
                <w:szCs w:val="21"/>
                <w:highlight w:val="none"/>
                <w:lang w:val="en-US" w:eastAsia="zh-CN"/>
              </w:rPr>
              <w:t>罗堡村</w:t>
            </w:r>
            <w:bookmarkEnd w:id="2402"/>
            <w:bookmarkEnd w:id="2403"/>
            <w:bookmarkEnd w:id="2404"/>
          </w:p>
        </w:tc>
        <w:tc>
          <w:tcPr>
            <w:tcW w:w="774" w:type="pct"/>
            <w:tcBorders>
              <w:tl2br w:val="nil"/>
              <w:tr2bl w:val="nil"/>
            </w:tcBorders>
            <w:noWrap w:val="0"/>
            <w:vAlign w:val="center"/>
          </w:tcPr>
          <w:p w14:paraId="2BD1528B">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05" w:name="_Toc21605"/>
            <w:bookmarkStart w:id="2406" w:name="_Toc163"/>
            <w:bookmarkStart w:id="2407" w:name="_Toc596"/>
            <w:r>
              <w:rPr>
                <w:rFonts w:hint="default" w:ascii="Times New Roman" w:hAnsi="Times New Roman" w:eastAsia="宋体" w:cs="Times New Roman"/>
                <w:color w:val="auto"/>
                <w:sz w:val="21"/>
                <w:szCs w:val="21"/>
                <w:highlight w:val="none"/>
                <w:lang w:val="en-US" w:eastAsia="zh-CN"/>
              </w:rPr>
              <w:t>106.6183866</w:t>
            </w:r>
            <w:bookmarkEnd w:id="2405"/>
            <w:bookmarkEnd w:id="2406"/>
            <w:bookmarkEnd w:id="2407"/>
          </w:p>
        </w:tc>
        <w:tc>
          <w:tcPr>
            <w:tcW w:w="774" w:type="pct"/>
            <w:tcBorders>
              <w:tl2br w:val="nil"/>
              <w:tr2bl w:val="nil"/>
            </w:tcBorders>
            <w:noWrap w:val="0"/>
            <w:vAlign w:val="center"/>
          </w:tcPr>
          <w:p w14:paraId="4C8793E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08" w:name="_Toc17769"/>
            <w:bookmarkStart w:id="2409" w:name="_Toc20450"/>
            <w:bookmarkStart w:id="2410" w:name="_Toc28127"/>
            <w:bookmarkStart w:id="2411" w:name="_Toc28399"/>
            <w:r>
              <w:rPr>
                <w:rFonts w:hint="default" w:ascii="Times New Roman" w:hAnsi="Times New Roman" w:eastAsia="宋体" w:cs="Times New Roman"/>
                <w:color w:val="auto"/>
                <w:sz w:val="21"/>
                <w:szCs w:val="21"/>
                <w:highlight w:val="none"/>
                <w:lang w:val="en-US" w:eastAsia="zh-CN"/>
              </w:rPr>
              <w:t>35.87970883</w:t>
            </w:r>
            <w:bookmarkEnd w:id="2408"/>
            <w:bookmarkEnd w:id="2409"/>
            <w:bookmarkEnd w:id="2410"/>
          </w:p>
          <w:bookmarkEnd w:id="2411"/>
        </w:tc>
        <w:tc>
          <w:tcPr>
            <w:tcW w:w="1110" w:type="dxa"/>
            <w:tcBorders>
              <w:tl2br w:val="nil"/>
              <w:tr2bl w:val="nil"/>
            </w:tcBorders>
            <w:noWrap w:val="0"/>
            <w:vAlign w:val="center"/>
          </w:tcPr>
          <w:p w14:paraId="0CA4751F">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rPr>
            </w:pPr>
            <w:bookmarkStart w:id="2412" w:name="_Toc25039"/>
            <w:bookmarkStart w:id="2413" w:name="_Toc31512"/>
            <w:bookmarkStart w:id="2414" w:name="_Toc21412"/>
            <w:r>
              <w:rPr>
                <w:rFonts w:hint="eastAsia" w:cs="Times New Roman"/>
                <w:color w:val="auto"/>
                <w:sz w:val="21"/>
                <w:szCs w:val="21"/>
                <w:highlight w:val="none"/>
                <w:lang w:val="en-US" w:eastAsia="zh-CN"/>
              </w:rPr>
              <w:t>N,110</w:t>
            </w:r>
            <w:r>
              <w:rPr>
                <w:rFonts w:hint="default" w:ascii="Times New Roman" w:hAnsi="Times New Roman" w:cs="Times New Roman"/>
                <w:color w:val="auto"/>
                <w:sz w:val="21"/>
                <w:szCs w:val="21"/>
                <w:highlight w:val="none"/>
              </w:rPr>
              <w:t>m</w:t>
            </w:r>
            <w:bookmarkEnd w:id="2412"/>
            <w:bookmarkEnd w:id="2413"/>
            <w:bookmarkEnd w:id="2414"/>
          </w:p>
        </w:tc>
        <w:tc>
          <w:tcPr>
            <w:tcW w:w="495" w:type="pct"/>
            <w:tcBorders>
              <w:tl2br w:val="nil"/>
              <w:tr2bl w:val="nil"/>
            </w:tcBorders>
            <w:noWrap w:val="0"/>
            <w:vAlign w:val="center"/>
          </w:tcPr>
          <w:p w14:paraId="5CC74E80">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rPr>
            </w:pPr>
            <w:bookmarkStart w:id="2415" w:name="_Toc23194"/>
            <w:bookmarkStart w:id="2416" w:name="_Toc30827"/>
            <w:bookmarkStart w:id="2417" w:name="_Toc9505"/>
            <w:r>
              <w:rPr>
                <w:rFonts w:hint="default"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户</w:t>
            </w:r>
            <w:bookmarkEnd w:id="2415"/>
            <w:bookmarkEnd w:id="2416"/>
            <w:bookmarkEnd w:id="2417"/>
          </w:p>
        </w:tc>
        <w:tc>
          <w:tcPr>
            <w:tcW w:w="1008" w:type="pct"/>
            <w:vMerge w:val="continue"/>
            <w:tcBorders>
              <w:tl2br w:val="nil"/>
              <w:tr2bl w:val="nil"/>
            </w:tcBorders>
            <w:noWrap w:val="0"/>
            <w:vAlign w:val="center"/>
          </w:tcPr>
          <w:p w14:paraId="59E49A1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296B88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5F2EA1F0">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18" w:name="_Toc30026"/>
            <w:bookmarkStart w:id="2419" w:name="_Toc451"/>
            <w:bookmarkStart w:id="2420" w:name="_Toc3733"/>
            <w:r>
              <w:rPr>
                <w:rFonts w:hint="default" w:ascii="Times New Roman" w:hAnsi="Times New Roman" w:eastAsia="宋体" w:cs="Times New Roman"/>
                <w:color w:val="auto"/>
                <w:sz w:val="21"/>
                <w:szCs w:val="21"/>
                <w:highlight w:val="none"/>
                <w:lang w:val="en-US" w:eastAsia="zh-CN"/>
              </w:rPr>
              <w:t>4</w:t>
            </w:r>
            <w:bookmarkEnd w:id="2418"/>
            <w:bookmarkEnd w:id="2419"/>
            <w:bookmarkEnd w:id="2420"/>
          </w:p>
        </w:tc>
        <w:tc>
          <w:tcPr>
            <w:tcW w:w="880" w:type="pct"/>
            <w:tcBorders>
              <w:tl2br w:val="nil"/>
              <w:tr2bl w:val="nil"/>
            </w:tcBorders>
            <w:noWrap w:val="0"/>
            <w:vAlign w:val="center"/>
          </w:tcPr>
          <w:p w14:paraId="02EDBF7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21" w:name="_Toc22862"/>
            <w:bookmarkStart w:id="2422" w:name="_Toc20703"/>
            <w:bookmarkStart w:id="2423" w:name="_Toc30371"/>
            <w:r>
              <w:rPr>
                <w:rFonts w:hint="default" w:ascii="Times New Roman" w:hAnsi="Times New Roman" w:eastAsia="宋体" w:cs="Times New Roman"/>
                <w:color w:val="auto"/>
                <w:sz w:val="21"/>
                <w:szCs w:val="21"/>
                <w:highlight w:val="none"/>
                <w:lang w:val="en-US" w:eastAsia="zh-CN"/>
              </w:rPr>
              <w:t>沙河村</w:t>
            </w:r>
            <w:bookmarkEnd w:id="2421"/>
            <w:bookmarkEnd w:id="2422"/>
            <w:bookmarkEnd w:id="2423"/>
          </w:p>
        </w:tc>
        <w:tc>
          <w:tcPr>
            <w:tcW w:w="774" w:type="pct"/>
            <w:tcBorders>
              <w:tl2br w:val="nil"/>
              <w:tr2bl w:val="nil"/>
            </w:tcBorders>
            <w:noWrap w:val="0"/>
            <w:vAlign w:val="center"/>
          </w:tcPr>
          <w:p w14:paraId="1BA8386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24" w:name="_Toc27282"/>
            <w:bookmarkStart w:id="2425" w:name="_Toc10426"/>
            <w:bookmarkStart w:id="2426" w:name="_Toc27536"/>
            <w:r>
              <w:rPr>
                <w:rFonts w:hint="default" w:ascii="Times New Roman" w:hAnsi="Times New Roman" w:eastAsia="宋体" w:cs="Times New Roman"/>
                <w:color w:val="auto"/>
                <w:sz w:val="21"/>
                <w:szCs w:val="21"/>
                <w:highlight w:val="none"/>
                <w:lang w:val="en-US" w:eastAsia="zh-CN"/>
              </w:rPr>
              <w:t>106.6015209</w:t>
            </w:r>
            <w:bookmarkEnd w:id="2424"/>
            <w:bookmarkEnd w:id="2425"/>
            <w:bookmarkEnd w:id="2426"/>
          </w:p>
        </w:tc>
        <w:tc>
          <w:tcPr>
            <w:tcW w:w="774" w:type="pct"/>
            <w:tcBorders>
              <w:tl2br w:val="nil"/>
              <w:tr2bl w:val="nil"/>
            </w:tcBorders>
            <w:noWrap w:val="0"/>
            <w:vAlign w:val="center"/>
          </w:tcPr>
          <w:p w14:paraId="53059188">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27" w:name="_Toc380"/>
            <w:bookmarkStart w:id="2428" w:name="_Toc12838"/>
            <w:bookmarkStart w:id="2429" w:name="_Toc26397"/>
            <w:r>
              <w:rPr>
                <w:rFonts w:hint="default" w:ascii="Times New Roman" w:hAnsi="Times New Roman" w:eastAsia="宋体" w:cs="Times New Roman"/>
                <w:color w:val="auto"/>
                <w:sz w:val="21"/>
                <w:szCs w:val="21"/>
                <w:highlight w:val="none"/>
                <w:lang w:val="en-US" w:eastAsia="zh-CN"/>
              </w:rPr>
              <w:t>35.88338882</w:t>
            </w:r>
            <w:bookmarkEnd w:id="2427"/>
            <w:bookmarkEnd w:id="2428"/>
            <w:bookmarkEnd w:id="2429"/>
          </w:p>
        </w:tc>
        <w:tc>
          <w:tcPr>
            <w:tcW w:w="1110" w:type="dxa"/>
            <w:tcBorders>
              <w:tl2br w:val="nil"/>
              <w:tr2bl w:val="nil"/>
            </w:tcBorders>
            <w:noWrap w:val="0"/>
            <w:vAlign w:val="center"/>
          </w:tcPr>
          <w:p w14:paraId="54552881">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430" w:name="_Toc14909"/>
            <w:bookmarkStart w:id="2431" w:name="_Toc18962"/>
            <w:bookmarkStart w:id="2432" w:name="_Toc9860"/>
            <w:r>
              <w:rPr>
                <w:rFonts w:hint="eastAsia" w:cs="Times New Roman"/>
                <w:color w:val="auto"/>
                <w:sz w:val="21"/>
                <w:szCs w:val="21"/>
                <w:highlight w:val="none"/>
                <w:lang w:val="en-US" w:eastAsia="zh-CN"/>
              </w:rPr>
              <w:t>W,1</w:t>
            </w:r>
            <w:r>
              <w:rPr>
                <w:rFonts w:hint="default" w:ascii="Times New Roman" w:hAnsi="Times New Roman" w:cs="Times New Roman"/>
                <w:color w:val="auto"/>
                <w:sz w:val="21"/>
                <w:szCs w:val="21"/>
                <w:highlight w:val="none"/>
              </w:rPr>
              <w:t>0m</w:t>
            </w:r>
            <w:bookmarkEnd w:id="2430"/>
            <w:bookmarkEnd w:id="2431"/>
            <w:bookmarkEnd w:id="2432"/>
          </w:p>
        </w:tc>
        <w:tc>
          <w:tcPr>
            <w:tcW w:w="495" w:type="pct"/>
            <w:tcBorders>
              <w:tl2br w:val="nil"/>
              <w:tr2bl w:val="nil"/>
            </w:tcBorders>
            <w:noWrap w:val="0"/>
            <w:vAlign w:val="center"/>
          </w:tcPr>
          <w:p w14:paraId="502AC6D6">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33" w:name="_Toc20365"/>
            <w:bookmarkStart w:id="2434" w:name="_Toc21332"/>
            <w:bookmarkStart w:id="2435" w:name="_Toc22513"/>
            <w:r>
              <w:rPr>
                <w:rFonts w:hint="default" w:ascii="Times New Roman" w:hAnsi="Times New Roman" w:eastAsia="宋体" w:cs="Times New Roman"/>
                <w:color w:val="auto"/>
                <w:sz w:val="21"/>
                <w:szCs w:val="21"/>
                <w:highlight w:val="none"/>
                <w:lang w:val="en-US" w:eastAsia="zh-CN"/>
              </w:rPr>
              <w:t>43</w:t>
            </w:r>
            <w:r>
              <w:rPr>
                <w:rFonts w:hint="default" w:ascii="Times New Roman" w:hAnsi="Times New Roman" w:eastAsia="宋体" w:cs="Times New Roman"/>
                <w:color w:val="auto"/>
                <w:sz w:val="21"/>
                <w:szCs w:val="21"/>
                <w:highlight w:val="none"/>
              </w:rPr>
              <w:t>户</w:t>
            </w:r>
            <w:bookmarkEnd w:id="2433"/>
            <w:bookmarkEnd w:id="2434"/>
            <w:bookmarkEnd w:id="2435"/>
          </w:p>
        </w:tc>
        <w:tc>
          <w:tcPr>
            <w:tcW w:w="1008" w:type="pct"/>
            <w:vMerge w:val="continue"/>
            <w:tcBorders>
              <w:tl2br w:val="nil"/>
              <w:tr2bl w:val="nil"/>
            </w:tcBorders>
            <w:noWrap w:val="0"/>
            <w:vAlign w:val="center"/>
          </w:tcPr>
          <w:p w14:paraId="2E2B9AA9">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0A6F86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34ECDCB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36" w:name="_Toc15606"/>
            <w:bookmarkStart w:id="2437" w:name="_Toc5855"/>
            <w:bookmarkStart w:id="2438" w:name="_Toc18504"/>
            <w:r>
              <w:rPr>
                <w:rFonts w:hint="default" w:ascii="Times New Roman" w:hAnsi="Times New Roman" w:eastAsia="宋体" w:cs="Times New Roman"/>
                <w:color w:val="auto"/>
                <w:sz w:val="21"/>
                <w:szCs w:val="21"/>
                <w:highlight w:val="none"/>
                <w:lang w:val="en-US" w:eastAsia="zh-CN"/>
              </w:rPr>
              <w:t>5</w:t>
            </w:r>
            <w:bookmarkEnd w:id="2436"/>
            <w:bookmarkEnd w:id="2437"/>
            <w:bookmarkEnd w:id="2438"/>
          </w:p>
        </w:tc>
        <w:tc>
          <w:tcPr>
            <w:tcW w:w="880" w:type="pct"/>
            <w:tcBorders>
              <w:tl2br w:val="nil"/>
              <w:tr2bl w:val="nil"/>
            </w:tcBorders>
            <w:noWrap w:val="0"/>
            <w:vAlign w:val="center"/>
          </w:tcPr>
          <w:p w14:paraId="11E22970">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39" w:name="_Toc543"/>
            <w:bookmarkStart w:id="2440" w:name="_Toc25800"/>
            <w:bookmarkStart w:id="2441" w:name="_Toc500"/>
            <w:r>
              <w:rPr>
                <w:rFonts w:hint="default" w:ascii="Times New Roman" w:hAnsi="Times New Roman" w:eastAsia="宋体" w:cs="Times New Roman"/>
                <w:color w:val="auto"/>
                <w:sz w:val="21"/>
                <w:szCs w:val="21"/>
                <w:highlight w:val="none"/>
                <w:lang w:val="en-US" w:eastAsia="zh-CN"/>
              </w:rPr>
              <w:t>袁穆公路两侧居民区</w:t>
            </w:r>
            <w:bookmarkEnd w:id="2439"/>
            <w:bookmarkEnd w:id="2440"/>
            <w:bookmarkEnd w:id="2441"/>
          </w:p>
        </w:tc>
        <w:tc>
          <w:tcPr>
            <w:tcW w:w="774" w:type="pct"/>
            <w:tcBorders>
              <w:tl2br w:val="nil"/>
              <w:tr2bl w:val="nil"/>
            </w:tcBorders>
            <w:noWrap w:val="0"/>
            <w:vAlign w:val="center"/>
          </w:tcPr>
          <w:p w14:paraId="5776DA2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42" w:name="_Toc2395"/>
            <w:bookmarkStart w:id="2443" w:name="_Toc11081"/>
            <w:bookmarkStart w:id="2444" w:name="_Toc25394"/>
            <w:r>
              <w:rPr>
                <w:rFonts w:hint="default" w:ascii="Times New Roman" w:hAnsi="Times New Roman" w:eastAsia="宋体" w:cs="Times New Roman"/>
                <w:color w:val="auto"/>
                <w:sz w:val="21"/>
                <w:szCs w:val="21"/>
                <w:highlight w:val="none"/>
                <w:lang w:val="en-US" w:eastAsia="zh-CN"/>
              </w:rPr>
              <w:t>106.5551133</w:t>
            </w:r>
            <w:bookmarkEnd w:id="2442"/>
            <w:bookmarkEnd w:id="2443"/>
            <w:bookmarkEnd w:id="2444"/>
          </w:p>
        </w:tc>
        <w:tc>
          <w:tcPr>
            <w:tcW w:w="774" w:type="pct"/>
            <w:tcBorders>
              <w:tl2br w:val="nil"/>
              <w:tr2bl w:val="nil"/>
            </w:tcBorders>
            <w:noWrap w:val="0"/>
            <w:vAlign w:val="center"/>
          </w:tcPr>
          <w:p w14:paraId="199DE05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45" w:name="_Toc28947"/>
            <w:bookmarkStart w:id="2446" w:name="_Toc18098"/>
            <w:bookmarkStart w:id="2447" w:name="_Toc17147"/>
            <w:r>
              <w:rPr>
                <w:rFonts w:hint="default" w:ascii="Times New Roman" w:hAnsi="Times New Roman" w:eastAsia="宋体" w:cs="Times New Roman"/>
                <w:color w:val="auto"/>
                <w:sz w:val="21"/>
                <w:szCs w:val="21"/>
                <w:highlight w:val="none"/>
                <w:lang w:val="en-US" w:eastAsia="zh-CN"/>
              </w:rPr>
              <w:t>35.90066263</w:t>
            </w:r>
            <w:bookmarkEnd w:id="2445"/>
            <w:bookmarkEnd w:id="2446"/>
            <w:bookmarkEnd w:id="2447"/>
          </w:p>
        </w:tc>
        <w:tc>
          <w:tcPr>
            <w:tcW w:w="1110" w:type="dxa"/>
            <w:tcBorders>
              <w:tl2br w:val="nil"/>
              <w:tr2bl w:val="nil"/>
            </w:tcBorders>
            <w:noWrap w:val="0"/>
            <w:vAlign w:val="center"/>
          </w:tcPr>
          <w:p w14:paraId="4B5540A2">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448" w:name="_Toc30788"/>
            <w:bookmarkStart w:id="2449" w:name="_Toc28101"/>
            <w:bookmarkStart w:id="2450" w:name="_Toc31349"/>
            <w:r>
              <w:rPr>
                <w:rFonts w:hint="eastAsia" w:cs="Times New Roman"/>
                <w:color w:val="auto"/>
                <w:sz w:val="21"/>
                <w:szCs w:val="21"/>
                <w:highlight w:val="none"/>
                <w:lang w:val="en-US" w:eastAsia="zh-CN"/>
              </w:rPr>
              <w:t>E,112</w:t>
            </w:r>
            <w:r>
              <w:rPr>
                <w:rFonts w:hint="default" w:ascii="Times New Roman" w:hAnsi="Times New Roman" w:cs="Times New Roman"/>
                <w:color w:val="auto"/>
                <w:sz w:val="21"/>
                <w:szCs w:val="21"/>
                <w:highlight w:val="none"/>
              </w:rPr>
              <w:t>m</w:t>
            </w:r>
            <w:bookmarkEnd w:id="2448"/>
            <w:bookmarkEnd w:id="2449"/>
            <w:bookmarkEnd w:id="2450"/>
          </w:p>
        </w:tc>
        <w:tc>
          <w:tcPr>
            <w:tcW w:w="495" w:type="pct"/>
            <w:tcBorders>
              <w:tl2br w:val="nil"/>
              <w:tr2bl w:val="nil"/>
            </w:tcBorders>
            <w:noWrap w:val="0"/>
            <w:vAlign w:val="center"/>
          </w:tcPr>
          <w:p w14:paraId="10E2E47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51" w:name="_Toc15707"/>
            <w:bookmarkStart w:id="2452" w:name="_Toc11542"/>
            <w:bookmarkStart w:id="2453" w:name="_Toc27036"/>
            <w:r>
              <w:rPr>
                <w:rFonts w:hint="eastAsia" w:cs="Times New Roman"/>
                <w:color w:val="auto"/>
                <w:sz w:val="21"/>
                <w:szCs w:val="21"/>
                <w:highlight w:val="none"/>
                <w:lang w:val="en-US" w:eastAsia="zh-CN"/>
              </w:rPr>
              <w:t>13户</w:t>
            </w:r>
            <w:bookmarkEnd w:id="2451"/>
            <w:bookmarkEnd w:id="2452"/>
            <w:bookmarkEnd w:id="2453"/>
          </w:p>
        </w:tc>
        <w:tc>
          <w:tcPr>
            <w:tcW w:w="1008" w:type="pct"/>
            <w:vMerge w:val="continue"/>
            <w:tcBorders>
              <w:tl2br w:val="nil"/>
              <w:tr2bl w:val="nil"/>
            </w:tcBorders>
            <w:noWrap w:val="0"/>
            <w:vAlign w:val="center"/>
          </w:tcPr>
          <w:p w14:paraId="20C279D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4E17E2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281D424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54" w:name="_Toc6635"/>
            <w:bookmarkStart w:id="2455" w:name="_Toc12648"/>
            <w:bookmarkStart w:id="2456" w:name="_Toc27479"/>
            <w:r>
              <w:rPr>
                <w:rFonts w:hint="default" w:ascii="Times New Roman" w:hAnsi="Times New Roman" w:eastAsia="宋体" w:cs="Times New Roman"/>
                <w:color w:val="auto"/>
                <w:sz w:val="21"/>
                <w:szCs w:val="21"/>
                <w:highlight w:val="none"/>
                <w:lang w:val="en-US" w:eastAsia="zh-CN"/>
              </w:rPr>
              <w:t>6</w:t>
            </w:r>
            <w:bookmarkEnd w:id="2454"/>
            <w:bookmarkEnd w:id="2455"/>
            <w:bookmarkEnd w:id="2456"/>
          </w:p>
        </w:tc>
        <w:tc>
          <w:tcPr>
            <w:tcW w:w="880" w:type="pct"/>
            <w:tcBorders>
              <w:tl2br w:val="nil"/>
              <w:tr2bl w:val="nil"/>
            </w:tcBorders>
            <w:noWrap w:val="0"/>
            <w:vAlign w:val="center"/>
          </w:tcPr>
          <w:p w14:paraId="3565720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57" w:name="_Toc16638"/>
            <w:bookmarkStart w:id="2458" w:name="_Toc30365"/>
            <w:bookmarkStart w:id="2459" w:name="_Toc12471"/>
            <w:r>
              <w:rPr>
                <w:rFonts w:hint="default" w:ascii="Times New Roman" w:hAnsi="Times New Roman" w:eastAsia="宋体" w:cs="Times New Roman"/>
                <w:color w:val="auto"/>
                <w:sz w:val="21"/>
                <w:szCs w:val="21"/>
                <w:highlight w:val="none"/>
                <w:lang w:val="en-US" w:eastAsia="zh-CN"/>
              </w:rPr>
              <w:t>郑庄村</w:t>
            </w:r>
            <w:bookmarkEnd w:id="2457"/>
            <w:bookmarkEnd w:id="2458"/>
            <w:bookmarkEnd w:id="2459"/>
          </w:p>
        </w:tc>
        <w:tc>
          <w:tcPr>
            <w:tcW w:w="774" w:type="pct"/>
            <w:tcBorders>
              <w:tl2br w:val="nil"/>
              <w:tr2bl w:val="nil"/>
            </w:tcBorders>
            <w:noWrap w:val="0"/>
            <w:vAlign w:val="center"/>
          </w:tcPr>
          <w:p w14:paraId="4168DF6A">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60" w:name="_Toc14978"/>
            <w:bookmarkStart w:id="2461" w:name="_Toc28508"/>
            <w:bookmarkStart w:id="2462" w:name="_Toc7526"/>
            <w:r>
              <w:rPr>
                <w:rFonts w:hint="default" w:ascii="Times New Roman" w:hAnsi="Times New Roman" w:eastAsia="宋体" w:cs="Times New Roman"/>
                <w:color w:val="auto"/>
                <w:sz w:val="21"/>
                <w:szCs w:val="21"/>
                <w:highlight w:val="none"/>
                <w:lang w:val="en-US" w:eastAsia="zh-CN"/>
              </w:rPr>
              <w:t>106.5381296</w:t>
            </w:r>
            <w:bookmarkEnd w:id="2460"/>
            <w:bookmarkEnd w:id="2461"/>
            <w:bookmarkEnd w:id="2462"/>
          </w:p>
        </w:tc>
        <w:tc>
          <w:tcPr>
            <w:tcW w:w="774" w:type="pct"/>
            <w:tcBorders>
              <w:tl2br w:val="nil"/>
              <w:tr2bl w:val="nil"/>
            </w:tcBorders>
            <w:noWrap w:val="0"/>
            <w:vAlign w:val="center"/>
          </w:tcPr>
          <w:p w14:paraId="66751DE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63" w:name="_Toc30965"/>
            <w:bookmarkStart w:id="2464" w:name="_Toc20794"/>
            <w:bookmarkStart w:id="2465" w:name="_Toc6203"/>
            <w:r>
              <w:rPr>
                <w:rFonts w:hint="default" w:ascii="Times New Roman" w:hAnsi="Times New Roman" w:eastAsia="宋体" w:cs="Times New Roman"/>
                <w:color w:val="auto"/>
                <w:sz w:val="21"/>
                <w:szCs w:val="21"/>
                <w:highlight w:val="none"/>
                <w:lang w:val="en-US" w:eastAsia="zh-CN"/>
              </w:rPr>
              <w:t>35.90898285</w:t>
            </w:r>
            <w:bookmarkEnd w:id="2463"/>
            <w:bookmarkEnd w:id="2464"/>
            <w:bookmarkEnd w:id="2465"/>
          </w:p>
        </w:tc>
        <w:tc>
          <w:tcPr>
            <w:tcW w:w="1110" w:type="dxa"/>
            <w:tcBorders>
              <w:tl2br w:val="nil"/>
              <w:tr2bl w:val="nil"/>
            </w:tcBorders>
            <w:noWrap w:val="0"/>
            <w:vAlign w:val="center"/>
          </w:tcPr>
          <w:p w14:paraId="6C374822">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466" w:name="_Toc16660"/>
            <w:bookmarkStart w:id="2467" w:name="_Toc1297"/>
            <w:bookmarkStart w:id="2468" w:name="_Toc12583"/>
            <w:r>
              <w:rPr>
                <w:rFonts w:hint="eastAsia" w:cs="Times New Roman"/>
                <w:color w:val="auto"/>
                <w:sz w:val="21"/>
                <w:szCs w:val="21"/>
                <w:highlight w:val="none"/>
                <w:lang w:val="en-US" w:eastAsia="zh-CN"/>
              </w:rPr>
              <w:t>N,31</w:t>
            </w:r>
            <w:r>
              <w:rPr>
                <w:rFonts w:hint="default" w:ascii="Times New Roman" w:hAnsi="Times New Roman" w:cs="Times New Roman"/>
                <w:color w:val="auto"/>
                <w:sz w:val="21"/>
                <w:szCs w:val="21"/>
                <w:highlight w:val="none"/>
              </w:rPr>
              <w:t>m</w:t>
            </w:r>
            <w:bookmarkEnd w:id="2466"/>
            <w:bookmarkEnd w:id="2467"/>
            <w:bookmarkEnd w:id="2468"/>
          </w:p>
        </w:tc>
        <w:tc>
          <w:tcPr>
            <w:tcW w:w="495" w:type="pct"/>
            <w:tcBorders>
              <w:tl2br w:val="nil"/>
              <w:tr2bl w:val="nil"/>
            </w:tcBorders>
            <w:noWrap w:val="0"/>
            <w:vAlign w:val="center"/>
          </w:tcPr>
          <w:p w14:paraId="5E6DB773">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69" w:name="_Toc5306"/>
            <w:bookmarkStart w:id="2470" w:name="_Toc4195"/>
            <w:bookmarkStart w:id="2471" w:name="_Toc23583"/>
            <w:r>
              <w:rPr>
                <w:rFonts w:hint="eastAsia" w:cs="Times New Roman"/>
                <w:color w:val="auto"/>
                <w:sz w:val="21"/>
                <w:szCs w:val="21"/>
                <w:highlight w:val="none"/>
                <w:lang w:val="en-US" w:eastAsia="zh-CN"/>
              </w:rPr>
              <w:t>60户</w:t>
            </w:r>
            <w:bookmarkEnd w:id="2469"/>
            <w:bookmarkEnd w:id="2470"/>
            <w:bookmarkEnd w:id="2471"/>
          </w:p>
        </w:tc>
        <w:tc>
          <w:tcPr>
            <w:tcW w:w="1008" w:type="pct"/>
            <w:vMerge w:val="continue"/>
            <w:tcBorders>
              <w:tl2br w:val="nil"/>
              <w:tr2bl w:val="nil"/>
            </w:tcBorders>
            <w:noWrap w:val="0"/>
            <w:vAlign w:val="center"/>
          </w:tcPr>
          <w:p w14:paraId="657FF65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36C362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4CA606E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72" w:name="_Toc25066"/>
            <w:bookmarkStart w:id="2473" w:name="_Toc23556"/>
            <w:bookmarkStart w:id="2474" w:name="_Toc3938"/>
            <w:r>
              <w:rPr>
                <w:rFonts w:hint="default" w:ascii="Times New Roman" w:hAnsi="Times New Roman" w:eastAsia="宋体" w:cs="Times New Roman"/>
                <w:color w:val="auto"/>
                <w:sz w:val="21"/>
                <w:szCs w:val="21"/>
                <w:highlight w:val="none"/>
                <w:lang w:val="en-US" w:eastAsia="zh-CN"/>
              </w:rPr>
              <w:t>7</w:t>
            </w:r>
            <w:bookmarkEnd w:id="2472"/>
            <w:bookmarkEnd w:id="2473"/>
            <w:bookmarkEnd w:id="2474"/>
          </w:p>
        </w:tc>
        <w:tc>
          <w:tcPr>
            <w:tcW w:w="880" w:type="pct"/>
            <w:tcBorders>
              <w:tl2br w:val="nil"/>
              <w:tr2bl w:val="nil"/>
            </w:tcBorders>
            <w:noWrap w:val="0"/>
            <w:vAlign w:val="center"/>
          </w:tcPr>
          <w:p w14:paraId="4545A7F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75" w:name="_Toc21382"/>
            <w:bookmarkStart w:id="2476" w:name="_Toc18407"/>
            <w:bookmarkStart w:id="2477" w:name="_Toc19350"/>
            <w:r>
              <w:rPr>
                <w:rFonts w:hint="default" w:ascii="Times New Roman" w:hAnsi="Times New Roman" w:eastAsia="宋体" w:cs="Times New Roman"/>
                <w:color w:val="auto"/>
                <w:sz w:val="21"/>
                <w:szCs w:val="21"/>
                <w:highlight w:val="none"/>
                <w:lang w:val="en-US" w:eastAsia="zh-CN"/>
              </w:rPr>
              <w:t>党沟村</w:t>
            </w:r>
            <w:bookmarkEnd w:id="2475"/>
            <w:bookmarkEnd w:id="2476"/>
            <w:bookmarkEnd w:id="2477"/>
          </w:p>
        </w:tc>
        <w:tc>
          <w:tcPr>
            <w:tcW w:w="774" w:type="pct"/>
            <w:tcBorders>
              <w:tl2br w:val="nil"/>
              <w:tr2bl w:val="nil"/>
            </w:tcBorders>
            <w:noWrap w:val="0"/>
            <w:vAlign w:val="center"/>
          </w:tcPr>
          <w:p w14:paraId="40E5BC30">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78" w:name="_Toc8194"/>
            <w:bookmarkStart w:id="2479" w:name="_Toc31530"/>
            <w:bookmarkStart w:id="2480" w:name="_Toc12286"/>
            <w:r>
              <w:rPr>
                <w:rFonts w:hint="default" w:ascii="Times New Roman" w:hAnsi="Times New Roman" w:eastAsia="宋体" w:cs="Times New Roman"/>
                <w:color w:val="auto"/>
                <w:sz w:val="21"/>
                <w:szCs w:val="21"/>
                <w:highlight w:val="none"/>
                <w:lang w:val="en-US" w:eastAsia="zh-CN"/>
              </w:rPr>
              <w:t>106.5390818</w:t>
            </w:r>
            <w:bookmarkEnd w:id="2478"/>
            <w:bookmarkEnd w:id="2479"/>
            <w:bookmarkEnd w:id="2480"/>
          </w:p>
        </w:tc>
        <w:tc>
          <w:tcPr>
            <w:tcW w:w="774" w:type="pct"/>
            <w:tcBorders>
              <w:tl2br w:val="nil"/>
              <w:tr2bl w:val="nil"/>
            </w:tcBorders>
            <w:noWrap w:val="0"/>
            <w:vAlign w:val="center"/>
          </w:tcPr>
          <w:p w14:paraId="79D6DC6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81" w:name="_Toc10736"/>
            <w:bookmarkStart w:id="2482" w:name="_Toc2830"/>
            <w:bookmarkStart w:id="2483" w:name="_Toc6082"/>
            <w:r>
              <w:rPr>
                <w:rFonts w:hint="default" w:ascii="Times New Roman" w:hAnsi="Times New Roman" w:eastAsia="宋体" w:cs="Times New Roman"/>
                <w:color w:val="auto"/>
                <w:sz w:val="21"/>
                <w:szCs w:val="21"/>
                <w:highlight w:val="none"/>
                <w:lang w:val="en-US" w:eastAsia="zh-CN"/>
              </w:rPr>
              <w:t>35.9043909</w:t>
            </w:r>
            <w:bookmarkEnd w:id="2481"/>
            <w:bookmarkEnd w:id="2482"/>
            <w:bookmarkEnd w:id="2483"/>
          </w:p>
        </w:tc>
        <w:tc>
          <w:tcPr>
            <w:tcW w:w="1110" w:type="dxa"/>
            <w:tcBorders>
              <w:tl2br w:val="nil"/>
              <w:tr2bl w:val="nil"/>
            </w:tcBorders>
            <w:noWrap w:val="0"/>
            <w:vAlign w:val="center"/>
          </w:tcPr>
          <w:p w14:paraId="2C57FC7A">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484" w:name="_Toc24855"/>
            <w:bookmarkStart w:id="2485" w:name="_Toc27638"/>
            <w:bookmarkStart w:id="2486" w:name="_Toc25672"/>
            <w:r>
              <w:rPr>
                <w:rFonts w:hint="eastAsia" w:cs="Times New Roman"/>
                <w:color w:val="auto"/>
                <w:sz w:val="21"/>
                <w:szCs w:val="21"/>
                <w:highlight w:val="none"/>
                <w:lang w:val="en-US" w:eastAsia="zh-CN"/>
              </w:rPr>
              <w:t>S,36</w:t>
            </w:r>
            <w:r>
              <w:rPr>
                <w:rFonts w:hint="default" w:ascii="Times New Roman" w:hAnsi="Times New Roman" w:cs="Times New Roman"/>
                <w:color w:val="auto"/>
                <w:sz w:val="21"/>
                <w:szCs w:val="21"/>
                <w:highlight w:val="none"/>
              </w:rPr>
              <w:t>m</w:t>
            </w:r>
            <w:bookmarkEnd w:id="2484"/>
            <w:bookmarkEnd w:id="2485"/>
            <w:bookmarkEnd w:id="2486"/>
          </w:p>
        </w:tc>
        <w:tc>
          <w:tcPr>
            <w:tcW w:w="495" w:type="pct"/>
            <w:tcBorders>
              <w:tl2br w:val="nil"/>
              <w:tr2bl w:val="nil"/>
            </w:tcBorders>
            <w:noWrap w:val="0"/>
            <w:vAlign w:val="center"/>
          </w:tcPr>
          <w:p w14:paraId="0BB6CBE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87" w:name="_Toc9130"/>
            <w:bookmarkStart w:id="2488" w:name="_Toc11605"/>
            <w:bookmarkStart w:id="2489" w:name="_Toc19596"/>
            <w:r>
              <w:rPr>
                <w:rFonts w:hint="eastAsia" w:cs="Times New Roman"/>
                <w:color w:val="auto"/>
                <w:sz w:val="21"/>
                <w:szCs w:val="21"/>
                <w:highlight w:val="none"/>
                <w:lang w:val="en-US" w:eastAsia="zh-CN"/>
              </w:rPr>
              <w:t>17户</w:t>
            </w:r>
            <w:bookmarkEnd w:id="2487"/>
            <w:bookmarkEnd w:id="2488"/>
            <w:bookmarkEnd w:id="2489"/>
          </w:p>
        </w:tc>
        <w:tc>
          <w:tcPr>
            <w:tcW w:w="1008" w:type="pct"/>
            <w:vMerge w:val="continue"/>
            <w:tcBorders>
              <w:tl2br w:val="nil"/>
              <w:tr2bl w:val="nil"/>
            </w:tcBorders>
            <w:noWrap w:val="0"/>
            <w:vAlign w:val="center"/>
          </w:tcPr>
          <w:p w14:paraId="5746715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5EB61D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1B0F43AB">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90" w:name="_Toc9592"/>
            <w:bookmarkStart w:id="2491" w:name="_Toc28030"/>
            <w:bookmarkStart w:id="2492" w:name="_Toc17207"/>
            <w:r>
              <w:rPr>
                <w:rFonts w:hint="default" w:ascii="Times New Roman" w:hAnsi="Times New Roman" w:eastAsia="宋体" w:cs="Times New Roman"/>
                <w:color w:val="auto"/>
                <w:sz w:val="21"/>
                <w:szCs w:val="21"/>
                <w:highlight w:val="none"/>
                <w:lang w:val="en-US" w:eastAsia="zh-CN"/>
              </w:rPr>
              <w:t>8</w:t>
            </w:r>
            <w:bookmarkEnd w:id="2490"/>
            <w:bookmarkEnd w:id="2491"/>
            <w:bookmarkEnd w:id="2492"/>
          </w:p>
        </w:tc>
        <w:tc>
          <w:tcPr>
            <w:tcW w:w="880" w:type="pct"/>
            <w:tcBorders>
              <w:tl2br w:val="nil"/>
              <w:tr2bl w:val="nil"/>
            </w:tcBorders>
            <w:noWrap w:val="0"/>
            <w:vAlign w:val="center"/>
          </w:tcPr>
          <w:p w14:paraId="298D021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93" w:name="_Toc21797"/>
            <w:bookmarkStart w:id="2494" w:name="_Toc32416"/>
            <w:bookmarkStart w:id="2495" w:name="_Toc2590"/>
            <w:r>
              <w:rPr>
                <w:rFonts w:hint="default" w:ascii="Times New Roman" w:hAnsi="Times New Roman" w:eastAsia="宋体" w:cs="Times New Roman"/>
                <w:color w:val="auto"/>
                <w:sz w:val="21"/>
                <w:szCs w:val="21"/>
                <w:highlight w:val="none"/>
                <w:lang w:val="en-US" w:eastAsia="zh-CN"/>
              </w:rPr>
              <w:t>田庄村</w:t>
            </w:r>
            <w:bookmarkEnd w:id="2493"/>
            <w:bookmarkEnd w:id="2494"/>
            <w:bookmarkEnd w:id="2495"/>
          </w:p>
        </w:tc>
        <w:tc>
          <w:tcPr>
            <w:tcW w:w="774" w:type="pct"/>
            <w:tcBorders>
              <w:tl2br w:val="nil"/>
              <w:tr2bl w:val="nil"/>
            </w:tcBorders>
            <w:noWrap w:val="0"/>
            <w:vAlign w:val="center"/>
          </w:tcPr>
          <w:p w14:paraId="5276BD6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96" w:name="_Toc15395"/>
            <w:bookmarkStart w:id="2497" w:name="_Toc11381"/>
            <w:bookmarkStart w:id="2498" w:name="_Toc13546"/>
            <w:r>
              <w:rPr>
                <w:rFonts w:hint="default" w:ascii="Times New Roman" w:hAnsi="Times New Roman" w:eastAsia="宋体" w:cs="Times New Roman"/>
                <w:color w:val="auto"/>
                <w:sz w:val="21"/>
                <w:szCs w:val="21"/>
                <w:highlight w:val="none"/>
                <w:lang w:val="en-US" w:eastAsia="zh-CN"/>
              </w:rPr>
              <w:t>106.514856</w:t>
            </w:r>
            <w:bookmarkEnd w:id="2496"/>
            <w:bookmarkEnd w:id="2497"/>
            <w:bookmarkEnd w:id="2498"/>
          </w:p>
        </w:tc>
        <w:tc>
          <w:tcPr>
            <w:tcW w:w="774" w:type="pct"/>
            <w:tcBorders>
              <w:tl2br w:val="nil"/>
              <w:tr2bl w:val="nil"/>
            </w:tcBorders>
            <w:noWrap w:val="0"/>
            <w:vAlign w:val="center"/>
          </w:tcPr>
          <w:p w14:paraId="056E7C55">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499" w:name="_Toc2050"/>
            <w:bookmarkStart w:id="2500" w:name="_Toc14998"/>
            <w:bookmarkStart w:id="2501" w:name="_Toc28222"/>
            <w:r>
              <w:rPr>
                <w:rFonts w:hint="default" w:ascii="Times New Roman" w:hAnsi="Times New Roman" w:eastAsia="宋体" w:cs="Times New Roman"/>
                <w:color w:val="auto"/>
                <w:sz w:val="21"/>
                <w:szCs w:val="21"/>
                <w:highlight w:val="none"/>
                <w:lang w:val="en-US" w:eastAsia="zh-CN"/>
              </w:rPr>
              <w:t>35.92027495</w:t>
            </w:r>
            <w:bookmarkEnd w:id="2499"/>
            <w:bookmarkEnd w:id="2500"/>
            <w:bookmarkEnd w:id="2501"/>
          </w:p>
        </w:tc>
        <w:tc>
          <w:tcPr>
            <w:tcW w:w="1110" w:type="dxa"/>
            <w:tcBorders>
              <w:tl2br w:val="nil"/>
              <w:tr2bl w:val="nil"/>
            </w:tcBorders>
            <w:noWrap w:val="0"/>
            <w:vAlign w:val="center"/>
          </w:tcPr>
          <w:p w14:paraId="3DDA58C8">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502" w:name="_Toc32670"/>
            <w:bookmarkStart w:id="2503" w:name="_Toc22683"/>
            <w:bookmarkStart w:id="2504" w:name="_Toc17571"/>
            <w:r>
              <w:rPr>
                <w:rFonts w:hint="eastAsia" w:cs="Times New Roman"/>
                <w:color w:val="auto"/>
                <w:sz w:val="21"/>
                <w:szCs w:val="21"/>
                <w:highlight w:val="none"/>
                <w:lang w:val="en-US" w:eastAsia="zh-CN"/>
              </w:rPr>
              <w:t>N,28</w:t>
            </w:r>
            <w:r>
              <w:rPr>
                <w:rFonts w:hint="default" w:ascii="Times New Roman" w:hAnsi="Times New Roman" w:cs="Times New Roman"/>
                <w:color w:val="auto"/>
                <w:sz w:val="21"/>
                <w:szCs w:val="21"/>
                <w:highlight w:val="none"/>
              </w:rPr>
              <w:t>m</w:t>
            </w:r>
            <w:bookmarkEnd w:id="2502"/>
            <w:bookmarkEnd w:id="2503"/>
            <w:bookmarkEnd w:id="2504"/>
          </w:p>
        </w:tc>
        <w:tc>
          <w:tcPr>
            <w:tcW w:w="495" w:type="pct"/>
            <w:tcBorders>
              <w:tl2br w:val="nil"/>
              <w:tr2bl w:val="nil"/>
            </w:tcBorders>
            <w:noWrap w:val="0"/>
            <w:vAlign w:val="center"/>
          </w:tcPr>
          <w:p w14:paraId="3E18A11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05" w:name="_Toc27556"/>
            <w:bookmarkStart w:id="2506" w:name="_Toc7785"/>
            <w:bookmarkStart w:id="2507" w:name="_Toc25613"/>
            <w:r>
              <w:rPr>
                <w:rFonts w:hint="eastAsia" w:cs="Times New Roman"/>
                <w:color w:val="auto"/>
                <w:sz w:val="21"/>
                <w:szCs w:val="21"/>
                <w:highlight w:val="none"/>
                <w:lang w:val="en-US" w:eastAsia="zh-CN"/>
              </w:rPr>
              <w:t>22户</w:t>
            </w:r>
            <w:bookmarkEnd w:id="2505"/>
            <w:bookmarkEnd w:id="2506"/>
            <w:bookmarkEnd w:id="2507"/>
          </w:p>
        </w:tc>
        <w:tc>
          <w:tcPr>
            <w:tcW w:w="1008" w:type="pct"/>
            <w:vMerge w:val="continue"/>
            <w:tcBorders>
              <w:tl2br w:val="nil"/>
              <w:tr2bl w:val="nil"/>
            </w:tcBorders>
            <w:noWrap w:val="0"/>
            <w:vAlign w:val="center"/>
          </w:tcPr>
          <w:p w14:paraId="4A6BB31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4B2DC9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028CD6B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08" w:name="_Toc16327"/>
            <w:bookmarkStart w:id="2509" w:name="_Toc32424"/>
            <w:bookmarkStart w:id="2510" w:name="_Toc30431"/>
            <w:r>
              <w:rPr>
                <w:rFonts w:hint="default" w:ascii="Times New Roman" w:hAnsi="Times New Roman" w:eastAsia="宋体" w:cs="Times New Roman"/>
                <w:color w:val="auto"/>
                <w:sz w:val="21"/>
                <w:szCs w:val="21"/>
                <w:highlight w:val="none"/>
                <w:lang w:val="en-US" w:eastAsia="zh-CN"/>
              </w:rPr>
              <w:t>9</w:t>
            </w:r>
            <w:bookmarkEnd w:id="2508"/>
            <w:bookmarkEnd w:id="2509"/>
            <w:bookmarkEnd w:id="2510"/>
          </w:p>
        </w:tc>
        <w:tc>
          <w:tcPr>
            <w:tcW w:w="880" w:type="pct"/>
            <w:tcBorders>
              <w:tl2br w:val="nil"/>
              <w:tr2bl w:val="nil"/>
            </w:tcBorders>
            <w:noWrap w:val="0"/>
            <w:vAlign w:val="center"/>
          </w:tcPr>
          <w:p w14:paraId="10BBFFE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11" w:name="_Toc15869"/>
            <w:bookmarkStart w:id="2512" w:name="_Toc28496"/>
            <w:bookmarkStart w:id="2513" w:name="_Toc20700"/>
            <w:r>
              <w:rPr>
                <w:rFonts w:hint="default" w:ascii="Times New Roman" w:hAnsi="Times New Roman" w:eastAsia="宋体" w:cs="Times New Roman"/>
                <w:color w:val="auto"/>
                <w:sz w:val="21"/>
                <w:szCs w:val="21"/>
                <w:highlight w:val="none"/>
                <w:lang w:val="en-US" w:eastAsia="zh-CN"/>
              </w:rPr>
              <w:t>焦家湾村</w:t>
            </w:r>
            <w:bookmarkEnd w:id="2511"/>
            <w:bookmarkEnd w:id="2512"/>
            <w:bookmarkEnd w:id="2513"/>
          </w:p>
        </w:tc>
        <w:tc>
          <w:tcPr>
            <w:tcW w:w="774" w:type="pct"/>
            <w:tcBorders>
              <w:tl2br w:val="nil"/>
              <w:tr2bl w:val="nil"/>
            </w:tcBorders>
            <w:noWrap w:val="0"/>
            <w:vAlign w:val="center"/>
          </w:tcPr>
          <w:p w14:paraId="16432F8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14" w:name="_Toc31310"/>
            <w:bookmarkStart w:id="2515" w:name="_Toc31185"/>
            <w:bookmarkStart w:id="2516" w:name="_Toc21345"/>
            <w:r>
              <w:rPr>
                <w:rFonts w:hint="default" w:ascii="Times New Roman" w:hAnsi="Times New Roman" w:eastAsia="宋体" w:cs="Times New Roman"/>
                <w:color w:val="auto"/>
                <w:sz w:val="21"/>
                <w:szCs w:val="21"/>
                <w:highlight w:val="none"/>
                <w:lang w:val="en-US" w:eastAsia="zh-CN"/>
              </w:rPr>
              <w:t>106.4998249</w:t>
            </w:r>
            <w:bookmarkEnd w:id="2514"/>
            <w:bookmarkEnd w:id="2515"/>
            <w:bookmarkEnd w:id="2516"/>
          </w:p>
        </w:tc>
        <w:tc>
          <w:tcPr>
            <w:tcW w:w="774" w:type="pct"/>
            <w:tcBorders>
              <w:tl2br w:val="nil"/>
              <w:tr2bl w:val="nil"/>
            </w:tcBorders>
            <w:noWrap w:val="0"/>
            <w:vAlign w:val="center"/>
          </w:tcPr>
          <w:p w14:paraId="3E7880BA">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17" w:name="_Toc6230"/>
            <w:bookmarkStart w:id="2518" w:name="_Toc24256"/>
            <w:bookmarkStart w:id="2519" w:name="_Toc19132"/>
            <w:r>
              <w:rPr>
                <w:rFonts w:hint="default" w:ascii="Times New Roman" w:hAnsi="Times New Roman" w:eastAsia="宋体" w:cs="Times New Roman"/>
                <w:color w:val="auto"/>
                <w:sz w:val="21"/>
                <w:szCs w:val="21"/>
                <w:highlight w:val="none"/>
                <w:lang w:val="en-US" w:eastAsia="zh-CN"/>
              </w:rPr>
              <w:t>35.92104206</w:t>
            </w:r>
            <w:bookmarkEnd w:id="2517"/>
            <w:bookmarkEnd w:id="2518"/>
            <w:bookmarkEnd w:id="2519"/>
          </w:p>
        </w:tc>
        <w:tc>
          <w:tcPr>
            <w:tcW w:w="1110" w:type="dxa"/>
            <w:tcBorders>
              <w:tl2br w:val="nil"/>
              <w:tr2bl w:val="nil"/>
            </w:tcBorders>
            <w:noWrap w:val="0"/>
            <w:vAlign w:val="center"/>
          </w:tcPr>
          <w:p w14:paraId="36C58046">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520" w:name="_Toc18659"/>
            <w:bookmarkStart w:id="2521" w:name="_Toc25331"/>
            <w:bookmarkStart w:id="2522" w:name="_Toc7641"/>
            <w:r>
              <w:rPr>
                <w:rFonts w:hint="eastAsia" w:cs="Times New Roman"/>
                <w:color w:val="auto"/>
                <w:sz w:val="21"/>
                <w:szCs w:val="21"/>
                <w:highlight w:val="none"/>
                <w:lang w:val="en-US" w:eastAsia="zh-CN"/>
              </w:rPr>
              <w:t>N,40</w:t>
            </w:r>
            <w:r>
              <w:rPr>
                <w:rFonts w:hint="default" w:ascii="Times New Roman" w:hAnsi="Times New Roman" w:cs="Times New Roman"/>
                <w:color w:val="auto"/>
                <w:sz w:val="21"/>
                <w:szCs w:val="21"/>
                <w:highlight w:val="none"/>
              </w:rPr>
              <w:t>m</w:t>
            </w:r>
            <w:bookmarkEnd w:id="2520"/>
            <w:bookmarkEnd w:id="2521"/>
            <w:bookmarkEnd w:id="2522"/>
          </w:p>
        </w:tc>
        <w:tc>
          <w:tcPr>
            <w:tcW w:w="495" w:type="pct"/>
            <w:tcBorders>
              <w:tl2br w:val="nil"/>
              <w:tr2bl w:val="nil"/>
            </w:tcBorders>
            <w:noWrap w:val="0"/>
            <w:vAlign w:val="center"/>
          </w:tcPr>
          <w:p w14:paraId="43ABF4CD">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23" w:name="_Toc3306"/>
            <w:bookmarkStart w:id="2524" w:name="_Toc6385"/>
            <w:bookmarkStart w:id="2525" w:name="_Toc7479"/>
            <w:r>
              <w:rPr>
                <w:rFonts w:hint="eastAsia" w:cs="Times New Roman"/>
                <w:color w:val="auto"/>
                <w:sz w:val="21"/>
                <w:szCs w:val="21"/>
                <w:highlight w:val="none"/>
                <w:lang w:val="en-US" w:eastAsia="zh-CN"/>
              </w:rPr>
              <w:t>31户</w:t>
            </w:r>
            <w:bookmarkEnd w:id="2523"/>
            <w:bookmarkEnd w:id="2524"/>
            <w:bookmarkEnd w:id="2525"/>
          </w:p>
        </w:tc>
        <w:tc>
          <w:tcPr>
            <w:tcW w:w="1008" w:type="pct"/>
            <w:vMerge w:val="continue"/>
            <w:tcBorders>
              <w:tl2br w:val="nil"/>
              <w:tr2bl w:val="nil"/>
            </w:tcBorders>
            <w:noWrap w:val="0"/>
            <w:vAlign w:val="center"/>
          </w:tcPr>
          <w:p w14:paraId="695690B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64C1F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02CA523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26" w:name="_Toc1012"/>
            <w:bookmarkStart w:id="2527" w:name="_Toc4615"/>
            <w:bookmarkStart w:id="2528" w:name="_Toc18653"/>
            <w:r>
              <w:rPr>
                <w:rFonts w:hint="default" w:ascii="Times New Roman" w:hAnsi="Times New Roman" w:eastAsia="宋体" w:cs="Times New Roman"/>
                <w:color w:val="auto"/>
                <w:sz w:val="21"/>
                <w:szCs w:val="21"/>
                <w:highlight w:val="none"/>
                <w:lang w:val="en-US" w:eastAsia="zh-CN"/>
              </w:rPr>
              <w:t>10</w:t>
            </w:r>
            <w:bookmarkEnd w:id="2526"/>
            <w:bookmarkEnd w:id="2527"/>
            <w:bookmarkEnd w:id="2528"/>
          </w:p>
        </w:tc>
        <w:tc>
          <w:tcPr>
            <w:tcW w:w="880" w:type="pct"/>
            <w:tcBorders>
              <w:tl2br w:val="nil"/>
              <w:tr2bl w:val="nil"/>
            </w:tcBorders>
            <w:noWrap w:val="0"/>
            <w:vAlign w:val="center"/>
          </w:tcPr>
          <w:p w14:paraId="4680F8E6">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29" w:name="_Toc13862"/>
            <w:bookmarkStart w:id="2530" w:name="_Toc4136"/>
            <w:bookmarkStart w:id="2531" w:name="_Toc23260"/>
            <w:r>
              <w:rPr>
                <w:rFonts w:hint="default" w:ascii="Times New Roman" w:hAnsi="Times New Roman" w:eastAsia="宋体" w:cs="Times New Roman"/>
                <w:color w:val="auto"/>
                <w:sz w:val="21"/>
                <w:szCs w:val="21"/>
                <w:highlight w:val="none"/>
                <w:lang w:val="en-US" w:eastAsia="zh-CN"/>
              </w:rPr>
              <w:t>川口村</w:t>
            </w:r>
            <w:bookmarkEnd w:id="2529"/>
            <w:bookmarkEnd w:id="2530"/>
            <w:bookmarkEnd w:id="2531"/>
          </w:p>
        </w:tc>
        <w:tc>
          <w:tcPr>
            <w:tcW w:w="774" w:type="pct"/>
            <w:tcBorders>
              <w:tl2br w:val="nil"/>
              <w:tr2bl w:val="nil"/>
            </w:tcBorders>
            <w:noWrap w:val="0"/>
            <w:vAlign w:val="center"/>
          </w:tcPr>
          <w:p w14:paraId="2F3B486A">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32" w:name="_Toc28008"/>
            <w:bookmarkStart w:id="2533" w:name="_Toc19660"/>
            <w:bookmarkStart w:id="2534" w:name="_Toc30612"/>
            <w:r>
              <w:rPr>
                <w:rFonts w:hint="default" w:ascii="Times New Roman" w:hAnsi="Times New Roman" w:eastAsia="宋体" w:cs="Times New Roman"/>
                <w:color w:val="auto"/>
                <w:sz w:val="21"/>
                <w:szCs w:val="21"/>
                <w:highlight w:val="none"/>
                <w:lang w:val="en-US" w:eastAsia="zh-CN"/>
              </w:rPr>
              <w:t>106.4876638</w:t>
            </w:r>
            <w:bookmarkEnd w:id="2532"/>
            <w:bookmarkEnd w:id="2533"/>
            <w:bookmarkEnd w:id="2534"/>
          </w:p>
        </w:tc>
        <w:tc>
          <w:tcPr>
            <w:tcW w:w="774" w:type="pct"/>
            <w:tcBorders>
              <w:tl2br w:val="nil"/>
              <w:tr2bl w:val="nil"/>
            </w:tcBorders>
            <w:noWrap w:val="0"/>
            <w:vAlign w:val="center"/>
          </w:tcPr>
          <w:p w14:paraId="3E256B0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35" w:name="_Toc6956"/>
            <w:bookmarkStart w:id="2536" w:name="_Toc4461"/>
            <w:bookmarkStart w:id="2537" w:name="_Toc22587"/>
            <w:r>
              <w:rPr>
                <w:rFonts w:hint="default" w:ascii="Times New Roman" w:hAnsi="Times New Roman" w:eastAsia="宋体" w:cs="Times New Roman"/>
                <w:color w:val="auto"/>
                <w:sz w:val="21"/>
                <w:szCs w:val="21"/>
                <w:highlight w:val="none"/>
                <w:lang w:val="en-US" w:eastAsia="zh-CN"/>
              </w:rPr>
              <w:t>35.917523</w:t>
            </w:r>
            <w:bookmarkEnd w:id="2535"/>
            <w:bookmarkEnd w:id="2536"/>
            <w:bookmarkEnd w:id="2537"/>
          </w:p>
        </w:tc>
        <w:tc>
          <w:tcPr>
            <w:tcW w:w="1110" w:type="dxa"/>
            <w:tcBorders>
              <w:tl2br w:val="nil"/>
              <w:tr2bl w:val="nil"/>
            </w:tcBorders>
            <w:noWrap w:val="0"/>
            <w:vAlign w:val="center"/>
          </w:tcPr>
          <w:p w14:paraId="6DECC3A0">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538" w:name="_Toc14053"/>
            <w:bookmarkStart w:id="2539" w:name="_Toc19078"/>
            <w:bookmarkStart w:id="2540" w:name="_Toc32394"/>
            <w:r>
              <w:rPr>
                <w:rFonts w:hint="eastAsia" w:cs="Times New Roman"/>
                <w:color w:val="auto"/>
                <w:sz w:val="21"/>
                <w:szCs w:val="21"/>
                <w:highlight w:val="none"/>
                <w:lang w:val="en-US" w:eastAsia="zh-CN"/>
              </w:rPr>
              <w:t>S,1</w:t>
            </w:r>
            <w:r>
              <w:rPr>
                <w:rFonts w:hint="default" w:ascii="Times New Roman" w:hAnsi="Times New Roman" w:cs="Times New Roman"/>
                <w:color w:val="auto"/>
                <w:sz w:val="21"/>
                <w:szCs w:val="21"/>
                <w:highlight w:val="none"/>
              </w:rPr>
              <w:t>2m</w:t>
            </w:r>
            <w:bookmarkEnd w:id="2538"/>
            <w:bookmarkEnd w:id="2539"/>
            <w:bookmarkEnd w:id="2540"/>
          </w:p>
        </w:tc>
        <w:tc>
          <w:tcPr>
            <w:tcW w:w="495" w:type="pct"/>
            <w:tcBorders>
              <w:tl2br w:val="nil"/>
              <w:tr2bl w:val="nil"/>
            </w:tcBorders>
            <w:noWrap w:val="0"/>
            <w:vAlign w:val="center"/>
          </w:tcPr>
          <w:p w14:paraId="63FB308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41" w:name="_Toc8184"/>
            <w:bookmarkStart w:id="2542" w:name="_Toc19381"/>
            <w:bookmarkStart w:id="2543" w:name="_Toc1318"/>
            <w:r>
              <w:rPr>
                <w:rFonts w:hint="eastAsia" w:cs="Times New Roman"/>
                <w:color w:val="auto"/>
                <w:sz w:val="21"/>
                <w:szCs w:val="21"/>
                <w:highlight w:val="none"/>
                <w:lang w:val="en-US" w:eastAsia="zh-CN"/>
              </w:rPr>
              <w:t>48户</w:t>
            </w:r>
            <w:bookmarkEnd w:id="2541"/>
            <w:bookmarkEnd w:id="2542"/>
            <w:bookmarkEnd w:id="2543"/>
          </w:p>
        </w:tc>
        <w:tc>
          <w:tcPr>
            <w:tcW w:w="1008" w:type="pct"/>
            <w:vMerge w:val="continue"/>
            <w:tcBorders>
              <w:tl2br w:val="nil"/>
              <w:tr2bl w:val="nil"/>
            </w:tcBorders>
            <w:noWrap w:val="0"/>
            <w:vAlign w:val="center"/>
          </w:tcPr>
          <w:p w14:paraId="6F7A995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069B23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3797351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44" w:name="_Toc27973"/>
            <w:bookmarkStart w:id="2545" w:name="_Toc5664"/>
            <w:bookmarkStart w:id="2546" w:name="_Toc3276"/>
            <w:r>
              <w:rPr>
                <w:rFonts w:hint="default" w:ascii="Times New Roman" w:hAnsi="Times New Roman" w:eastAsia="宋体" w:cs="Times New Roman"/>
                <w:color w:val="auto"/>
                <w:sz w:val="21"/>
                <w:szCs w:val="21"/>
                <w:highlight w:val="none"/>
                <w:lang w:val="en-US" w:eastAsia="zh-CN"/>
              </w:rPr>
              <w:t>11</w:t>
            </w:r>
            <w:bookmarkEnd w:id="2544"/>
            <w:bookmarkEnd w:id="2545"/>
            <w:bookmarkEnd w:id="2546"/>
          </w:p>
        </w:tc>
        <w:tc>
          <w:tcPr>
            <w:tcW w:w="880" w:type="pct"/>
            <w:tcBorders>
              <w:tl2br w:val="nil"/>
              <w:tr2bl w:val="nil"/>
            </w:tcBorders>
            <w:noWrap w:val="0"/>
            <w:vAlign w:val="center"/>
          </w:tcPr>
          <w:p w14:paraId="66C32630">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47" w:name="_Toc2700"/>
            <w:bookmarkStart w:id="2548" w:name="_Toc30660"/>
            <w:bookmarkStart w:id="2549" w:name="_Toc28958"/>
            <w:r>
              <w:rPr>
                <w:rFonts w:hint="default" w:ascii="Times New Roman" w:hAnsi="Times New Roman" w:eastAsia="宋体" w:cs="Times New Roman"/>
                <w:color w:val="auto"/>
                <w:sz w:val="21"/>
                <w:szCs w:val="21"/>
                <w:highlight w:val="none"/>
                <w:lang w:val="en-US" w:eastAsia="zh-CN"/>
              </w:rPr>
              <w:t>刘门沟村</w:t>
            </w:r>
            <w:bookmarkEnd w:id="2547"/>
            <w:bookmarkEnd w:id="2548"/>
            <w:bookmarkEnd w:id="2549"/>
          </w:p>
        </w:tc>
        <w:tc>
          <w:tcPr>
            <w:tcW w:w="774" w:type="pct"/>
            <w:tcBorders>
              <w:tl2br w:val="nil"/>
              <w:tr2bl w:val="nil"/>
            </w:tcBorders>
            <w:noWrap w:val="0"/>
            <w:vAlign w:val="center"/>
          </w:tcPr>
          <w:p w14:paraId="395423C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50" w:name="_Toc13807"/>
            <w:bookmarkStart w:id="2551" w:name="_Toc30641"/>
            <w:bookmarkStart w:id="2552" w:name="_Toc15972"/>
            <w:r>
              <w:rPr>
                <w:rFonts w:hint="default" w:ascii="Times New Roman" w:hAnsi="Times New Roman" w:eastAsia="宋体" w:cs="Times New Roman"/>
                <w:color w:val="auto"/>
                <w:sz w:val="21"/>
                <w:szCs w:val="21"/>
                <w:highlight w:val="none"/>
                <w:lang w:val="en-US" w:eastAsia="zh-CN"/>
              </w:rPr>
              <w:t>106.4716376</w:t>
            </w:r>
            <w:bookmarkEnd w:id="2550"/>
            <w:bookmarkEnd w:id="2551"/>
            <w:bookmarkEnd w:id="2552"/>
          </w:p>
        </w:tc>
        <w:tc>
          <w:tcPr>
            <w:tcW w:w="774" w:type="pct"/>
            <w:tcBorders>
              <w:tl2br w:val="nil"/>
              <w:tr2bl w:val="nil"/>
            </w:tcBorders>
            <w:noWrap w:val="0"/>
            <w:vAlign w:val="center"/>
          </w:tcPr>
          <w:p w14:paraId="23A3938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53" w:name="_Toc24749"/>
            <w:bookmarkStart w:id="2554" w:name="_Toc30170"/>
            <w:bookmarkStart w:id="2555" w:name="_Toc20158"/>
            <w:r>
              <w:rPr>
                <w:rFonts w:hint="default" w:ascii="Times New Roman" w:hAnsi="Times New Roman" w:eastAsia="宋体" w:cs="Times New Roman"/>
                <w:color w:val="auto"/>
                <w:sz w:val="21"/>
                <w:szCs w:val="21"/>
                <w:highlight w:val="none"/>
                <w:lang w:val="en-US" w:eastAsia="zh-CN"/>
              </w:rPr>
              <w:t>35.9137317</w:t>
            </w:r>
            <w:bookmarkEnd w:id="2553"/>
            <w:bookmarkEnd w:id="2554"/>
            <w:bookmarkEnd w:id="2555"/>
          </w:p>
        </w:tc>
        <w:tc>
          <w:tcPr>
            <w:tcW w:w="1110" w:type="dxa"/>
            <w:tcBorders>
              <w:tl2br w:val="nil"/>
              <w:tr2bl w:val="nil"/>
            </w:tcBorders>
            <w:noWrap w:val="0"/>
            <w:vAlign w:val="center"/>
          </w:tcPr>
          <w:p w14:paraId="7E1EBE90">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556" w:name="_Toc29107"/>
            <w:bookmarkStart w:id="2557" w:name="_Toc64"/>
            <w:bookmarkStart w:id="2558" w:name="_Toc21660"/>
            <w:r>
              <w:rPr>
                <w:rFonts w:hint="eastAsia" w:cs="Times New Roman"/>
                <w:color w:val="auto"/>
                <w:sz w:val="21"/>
                <w:szCs w:val="21"/>
                <w:highlight w:val="none"/>
                <w:lang w:val="en-US" w:eastAsia="zh-CN"/>
              </w:rPr>
              <w:t>NE,</w:t>
            </w:r>
            <w:r>
              <w:rPr>
                <w:rFonts w:hint="default" w:ascii="Times New Roman" w:hAnsi="Times New Roman" w:cs="Times New Roman"/>
                <w:color w:val="auto"/>
                <w:sz w:val="21"/>
                <w:szCs w:val="21"/>
                <w:highlight w:val="none"/>
              </w:rPr>
              <w:t>95m</w:t>
            </w:r>
            <w:bookmarkEnd w:id="2556"/>
            <w:bookmarkEnd w:id="2557"/>
            <w:bookmarkEnd w:id="2558"/>
          </w:p>
        </w:tc>
        <w:tc>
          <w:tcPr>
            <w:tcW w:w="495" w:type="pct"/>
            <w:tcBorders>
              <w:tl2br w:val="nil"/>
              <w:tr2bl w:val="nil"/>
            </w:tcBorders>
            <w:noWrap w:val="0"/>
            <w:vAlign w:val="center"/>
          </w:tcPr>
          <w:p w14:paraId="5BE1B8A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59" w:name="_Toc5726"/>
            <w:bookmarkStart w:id="2560" w:name="_Toc11918"/>
            <w:bookmarkStart w:id="2561" w:name="_Toc12671"/>
            <w:r>
              <w:rPr>
                <w:rFonts w:hint="eastAsia" w:cs="Times New Roman"/>
                <w:color w:val="auto"/>
                <w:sz w:val="21"/>
                <w:szCs w:val="21"/>
                <w:highlight w:val="none"/>
                <w:lang w:val="en-US" w:eastAsia="zh-CN"/>
              </w:rPr>
              <w:t>15户</w:t>
            </w:r>
            <w:bookmarkEnd w:id="2559"/>
            <w:bookmarkEnd w:id="2560"/>
            <w:bookmarkEnd w:id="2561"/>
          </w:p>
        </w:tc>
        <w:tc>
          <w:tcPr>
            <w:tcW w:w="1008" w:type="pct"/>
            <w:vMerge w:val="continue"/>
            <w:tcBorders>
              <w:tl2br w:val="nil"/>
              <w:tr2bl w:val="nil"/>
            </w:tcBorders>
            <w:noWrap w:val="0"/>
            <w:vAlign w:val="center"/>
          </w:tcPr>
          <w:p w14:paraId="340FD07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377686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157A3FA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62" w:name="_Toc2247"/>
            <w:bookmarkStart w:id="2563" w:name="_Toc10309"/>
            <w:bookmarkStart w:id="2564" w:name="_Toc25956"/>
            <w:r>
              <w:rPr>
                <w:rFonts w:hint="default" w:ascii="Times New Roman" w:hAnsi="Times New Roman" w:eastAsia="宋体" w:cs="Times New Roman"/>
                <w:color w:val="auto"/>
                <w:sz w:val="21"/>
                <w:szCs w:val="21"/>
                <w:highlight w:val="none"/>
                <w:lang w:val="en-US" w:eastAsia="zh-CN"/>
              </w:rPr>
              <w:t>12</w:t>
            </w:r>
            <w:bookmarkEnd w:id="2562"/>
            <w:bookmarkEnd w:id="2563"/>
            <w:bookmarkEnd w:id="2564"/>
          </w:p>
        </w:tc>
        <w:tc>
          <w:tcPr>
            <w:tcW w:w="880" w:type="pct"/>
            <w:tcBorders>
              <w:tl2br w:val="nil"/>
              <w:tr2bl w:val="nil"/>
            </w:tcBorders>
            <w:noWrap w:val="0"/>
            <w:vAlign w:val="center"/>
          </w:tcPr>
          <w:p w14:paraId="4D1A396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2565" w:name="_Toc8607"/>
            <w:bookmarkStart w:id="2566" w:name="_Toc22843"/>
            <w:bookmarkStart w:id="2567" w:name="_Toc477"/>
            <w:r>
              <w:rPr>
                <w:rFonts w:hint="default" w:ascii="Times New Roman" w:hAnsi="Times New Roman" w:eastAsia="宋体" w:cs="Times New Roman"/>
                <w:color w:val="auto"/>
                <w:sz w:val="21"/>
                <w:szCs w:val="21"/>
                <w:highlight w:val="none"/>
                <w:lang w:val="en-US" w:eastAsia="zh-CN"/>
              </w:rPr>
              <w:t>白杨庄</w:t>
            </w:r>
            <w:bookmarkEnd w:id="2565"/>
            <w:bookmarkEnd w:id="2566"/>
            <w:bookmarkEnd w:id="2567"/>
          </w:p>
        </w:tc>
        <w:tc>
          <w:tcPr>
            <w:tcW w:w="774" w:type="pct"/>
            <w:tcBorders>
              <w:tl2br w:val="nil"/>
              <w:tr2bl w:val="nil"/>
            </w:tcBorders>
            <w:noWrap w:val="0"/>
            <w:vAlign w:val="center"/>
          </w:tcPr>
          <w:p w14:paraId="3CD3C0E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68" w:name="_Toc2860"/>
            <w:bookmarkStart w:id="2569" w:name="_Toc10251"/>
            <w:bookmarkStart w:id="2570" w:name="_Toc32645"/>
            <w:r>
              <w:rPr>
                <w:rFonts w:hint="default" w:ascii="Times New Roman" w:hAnsi="Times New Roman" w:eastAsia="宋体" w:cs="Times New Roman"/>
                <w:color w:val="auto"/>
                <w:sz w:val="21"/>
                <w:szCs w:val="21"/>
                <w:highlight w:val="none"/>
                <w:lang w:val="en-US" w:eastAsia="zh-CN"/>
              </w:rPr>
              <w:t>106.4495577</w:t>
            </w:r>
            <w:bookmarkEnd w:id="2568"/>
            <w:bookmarkEnd w:id="2569"/>
            <w:bookmarkEnd w:id="2570"/>
          </w:p>
        </w:tc>
        <w:tc>
          <w:tcPr>
            <w:tcW w:w="774" w:type="pct"/>
            <w:tcBorders>
              <w:tl2br w:val="nil"/>
              <w:tr2bl w:val="nil"/>
            </w:tcBorders>
            <w:noWrap w:val="0"/>
            <w:vAlign w:val="center"/>
          </w:tcPr>
          <w:p w14:paraId="071E8E0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71" w:name="_Toc5491"/>
            <w:bookmarkStart w:id="2572" w:name="_Toc23645"/>
            <w:bookmarkStart w:id="2573" w:name="_Toc23457"/>
            <w:r>
              <w:rPr>
                <w:rFonts w:hint="default" w:ascii="Times New Roman" w:hAnsi="Times New Roman" w:eastAsia="宋体" w:cs="Times New Roman"/>
                <w:color w:val="auto"/>
                <w:sz w:val="21"/>
                <w:szCs w:val="21"/>
                <w:highlight w:val="none"/>
                <w:lang w:val="en-US" w:eastAsia="zh-CN"/>
              </w:rPr>
              <w:t>35.90922559</w:t>
            </w:r>
            <w:bookmarkEnd w:id="2571"/>
            <w:bookmarkEnd w:id="2572"/>
            <w:bookmarkEnd w:id="2573"/>
          </w:p>
        </w:tc>
        <w:tc>
          <w:tcPr>
            <w:tcW w:w="1110" w:type="dxa"/>
            <w:tcBorders>
              <w:tl2br w:val="nil"/>
              <w:tr2bl w:val="nil"/>
            </w:tcBorders>
            <w:noWrap w:val="0"/>
            <w:vAlign w:val="center"/>
          </w:tcPr>
          <w:p w14:paraId="4941AF49">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574" w:name="_Toc8123"/>
            <w:bookmarkStart w:id="2575" w:name="_Toc741"/>
            <w:bookmarkStart w:id="2576" w:name="_Toc19131"/>
            <w:r>
              <w:rPr>
                <w:rFonts w:hint="eastAsia" w:cs="Times New Roman"/>
                <w:color w:val="auto"/>
                <w:sz w:val="21"/>
                <w:szCs w:val="21"/>
                <w:highlight w:val="none"/>
                <w:lang w:val="en-US" w:eastAsia="zh-CN"/>
              </w:rPr>
              <w:t>N,32</w:t>
            </w:r>
            <w:r>
              <w:rPr>
                <w:rFonts w:hint="default" w:ascii="Times New Roman" w:hAnsi="Times New Roman" w:cs="Times New Roman"/>
                <w:color w:val="auto"/>
                <w:sz w:val="21"/>
                <w:szCs w:val="21"/>
                <w:highlight w:val="none"/>
              </w:rPr>
              <w:t>m</w:t>
            </w:r>
            <w:bookmarkEnd w:id="2574"/>
            <w:bookmarkEnd w:id="2575"/>
            <w:bookmarkEnd w:id="2576"/>
          </w:p>
        </w:tc>
        <w:tc>
          <w:tcPr>
            <w:tcW w:w="495" w:type="pct"/>
            <w:tcBorders>
              <w:tl2br w:val="nil"/>
              <w:tr2bl w:val="nil"/>
            </w:tcBorders>
            <w:noWrap w:val="0"/>
            <w:vAlign w:val="center"/>
          </w:tcPr>
          <w:p w14:paraId="28A7ADD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77" w:name="_Toc27629"/>
            <w:bookmarkStart w:id="2578" w:name="_Toc7489"/>
            <w:bookmarkStart w:id="2579" w:name="_Toc4095"/>
            <w:r>
              <w:rPr>
                <w:rFonts w:hint="eastAsia" w:cs="Times New Roman"/>
                <w:color w:val="auto"/>
                <w:sz w:val="21"/>
                <w:szCs w:val="21"/>
                <w:highlight w:val="none"/>
                <w:lang w:val="en-US" w:eastAsia="zh-CN"/>
              </w:rPr>
              <w:t>21户</w:t>
            </w:r>
            <w:bookmarkEnd w:id="2577"/>
            <w:bookmarkEnd w:id="2578"/>
            <w:bookmarkEnd w:id="2579"/>
          </w:p>
        </w:tc>
        <w:tc>
          <w:tcPr>
            <w:tcW w:w="1008" w:type="pct"/>
            <w:vMerge w:val="continue"/>
            <w:tcBorders>
              <w:tl2br w:val="nil"/>
              <w:tr2bl w:val="nil"/>
            </w:tcBorders>
            <w:noWrap w:val="0"/>
            <w:vAlign w:val="center"/>
          </w:tcPr>
          <w:p w14:paraId="4FB84F7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20D35D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32F91F13">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80" w:name="_Toc18562"/>
            <w:bookmarkStart w:id="2581" w:name="_Toc17683"/>
            <w:bookmarkStart w:id="2582" w:name="_Toc20290"/>
            <w:r>
              <w:rPr>
                <w:rFonts w:hint="default" w:ascii="Times New Roman" w:hAnsi="Times New Roman" w:eastAsia="宋体" w:cs="Times New Roman"/>
                <w:color w:val="auto"/>
                <w:sz w:val="21"/>
                <w:szCs w:val="21"/>
                <w:highlight w:val="none"/>
                <w:lang w:val="en-US" w:eastAsia="zh-CN"/>
              </w:rPr>
              <w:t>13</w:t>
            </w:r>
            <w:bookmarkEnd w:id="2580"/>
            <w:bookmarkEnd w:id="2581"/>
            <w:bookmarkEnd w:id="2582"/>
          </w:p>
        </w:tc>
        <w:tc>
          <w:tcPr>
            <w:tcW w:w="880" w:type="pct"/>
            <w:tcBorders>
              <w:tl2br w:val="nil"/>
              <w:tr2bl w:val="nil"/>
            </w:tcBorders>
            <w:noWrap w:val="0"/>
            <w:vAlign w:val="center"/>
          </w:tcPr>
          <w:p w14:paraId="5CFDAC7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83" w:name="_Toc15009"/>
            <w:bookmarkStart w:id="2584" w:name="_Toc22837"/>
            <w:bookmarkStart w:id="2585" w:name="_Toc9706"/>
            <w:r>
              <w:rPr>
                <w:rFonts w:hint="default" w:ascii="Times New Roman" w:hAnsi="Times New Roman" w:eastAsia="宋体" w:cs="Times New Roman"/>
                <w:color w:val="auto"/>
                <w:sz w:val="21"/>
                <w:szCs w:val="21"/>
                <w:highlight w:val="none"/>
                <w:lang w:val="en-US" w:eastAsia="zh-CN"/>
              </w:rPr>
              <w:t>甘海村</w:t>
            </w:r>
            <w:bookmarkEnd w:id="2583"/>
            <w:bookmarkEnd w:id="2584"/>
            <w:bookmarkEnd w:id="2585"/>
          </w:p>
        </w:tc>
        <w:tc>
          <w:tcPr>
            <w:tcW w:w="774" w:type="pct"/>
            <w:tcBorders>
              <w:tl2br w:val="nil"/>
              <w:tr2bl w:val="nil"/>
            </w:tcBorders>
            <w:noWrap w:val="0"/>
            <w:vAlign w:val="center"/>
          </w:tcPr>
          <w:p w14:paraId="58DFC827">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86" w:name="_Toc7379"/>
            <w:bookmarkStart w:id="2587" w:name="_Toc17785"/>
            <w:bookmarkStart w:id="2588" w:name="_Toc24006"/>
            <w:r>
              <w:rPr>
                <w:rFonts w:hint="default" w:ascii="Times New Roman" w:hAnsi="Times New Roman" w:eastAsia="宋体" w:cs="Times New Roman"/>
                <w:color w:val="auto"/>
                <w:sz w:val="21"/>
                <w:szCs w:val="21"/>
                <w:highlight w:val="none"/>
                <w:lang w:val="en-US" w:eastAsia="zh-CN"/>
              </w:rPr>
              <w:t>106.4377989</w:t>
            </w:r>
            <w:bookmarkEnd w:id="2586"/>
            <w:bookmarkEnd w:id="2587"/>
            <w:bookmarkEnd w:id="2588"/>
          </w:p>
        </w:tc>
        <w:tc>
          <w:tcPr>
            <w:tcW w:w="774" w:type="pct"/>
            <w:tcBorders>
              <w:tl2br w:val="nil"/>
              <w:tr2bl w:val="nil"/>
            </w:tcBorders>
            <w:noWrap w:val="0"/>
            <w:vAlign w:val="center"/>
          </w:tcPr>
          <w:p w14:paraId="33BEEA63">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89" w:name="_Toc25176"/>
            <w:bookmarkStart w:id="2590" w:name="_Toc12421"/>
            <w:bookmarkStart w:id="2591" w:name="_Toc21676"/>
            <w:r>
              <w:rPr>
                <w:rFonts w:hint="default" w:ascii="Times New Roman" w:hAnsi="Times New Roman" w:eastAsia="宋体" w:cs="Times New Roman"/>
                <w:color w:val="auto"/>
                <w:sz w:val="21"/>
                <w:szCs w:val="21"/>
                <w:highlight w:val="none"/>
                <w:lang w:val="en-US" w:eastAsia="zh-CN"/>
              </w:rPr>
              <w:t>35.90719784</w:t>
            </w:r>
            <w:bookmarkEnd w:id="2589"/>
            <w:bookmarkEnd w:id="2590"/>
            <w:bookmarkEnd w:id="2591"/>
          </w:p>
        </w:tc>
        <w:tc>
          <w:tcPr>
            <w:tcW w:w="1110" w:type="dxa"/>
            <w:tcBorders>
              <w:tl2br w:val="nil"/>
              <w:tr2bl w:val="nil"/>
            </w:tcBorders>
            <w:noWrap w:val="0"/>
            <w:vAlign w:val="center"/>
          </w:tcPr>
          <w:p w14:paraId="59FC0AC4">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592" w:name="_Toc8785"/>
            <w:bookmarkStart w:id="2593" w:name="_Toc24145"/>
            <w:bookmarkStart w:id="2594" w:name="_Toc13644"/>
            <w:r>
              <w:rPr>
                <w:rFonts w:hint="eastAsia" w:cs="Times New Roman"/>
                <w:color w:val="auto"/>
                <w:sz w:val="21"/>
                <w:szCs w:val="21"/>
                <w:highlight w:val="none"/>
                <w:lang w:val="en-US" w:eastAsia="zh-CN"/>
              </w:rPr>
              <w:t>N,49</w:t>
            </w:r>
            <w:r>
              <w:rPr>
                <w:rFonts w:hint="default" w:ascii="Times New Roman" w:hAnsi="Times New Roman" w:cs="Times New Roman"/>
                <w:color w:val="auto"/>
                <w:sz w:val="21"/>
                <w:szCs w:val="21"/>
                <w:highlight w:val="none"/>
              </w:rPr>
              <w:t>m</w:t>
            </w:r>
            <w:bookmarkEnd w:id="2592"/>
            <w:bookmarkEnd w:id="2593"/>
            <w:bookmarkEnd w:id="2594"/>
          </w:p>
        </w:tc>
        <w:tc>
          <w:tcPr>
            <w:tcW w:w="495" w:type="pct"/>
            <w:tcBorders>
              <w:tl2br w:val="nil"/>
              <w:tr2bl w:val="nil"/>
            </w:tcBorders>
            <w:noWrap w:val="0"/>
            <w:vAlign w:val="center"/>
          </w:tcPr>
          <w:p w14:paraId="011B741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95" w:name="_Toc6239"/>
            <w:bookmarkStart w:id="2596" w:name="_Toc5346"/>
            <w:bookmarkStart w:id="2597" w:name="_Toc4688"/>
            <w:r>
              <w:rPr>
                <w:rFonts w:hint="eastAsia" w:cs="Times New Roman"/>
                <w:color w:val="auto"/>
                <w:sz w:val="21"/>
                <w:szCs w:val="21"/>
                <w:highlight w:val="none"/>
                <w:lang w:val="en-US" w:eastAsia="zh-CN"/>
              </w:rPr>
              <w:t>55户</w:t>
            </w:r>
            <w:bookmarkEnd w:id="2595"/>
            <w:bookmarkEnd w:id="2596"/>
            <w:bookmarkEnd w:id="2597"/>
          </w:p>
        </w:tc>
        <w:tc>
          <w:tcPr>
            <w:tcW w:w="1008" w:type="pct"/>
            <w:vMerge w:val="continue"/>
            <w:tcBorders>
              <w:tl2br w:val="nil"/>
              <w:tr2bl w:val="nil"/>
            </w:tcBorders>
            <w:noWrap w:val="0"/>
            <w:vAlign w:val="center"/>
          </w:tcPr>
          <w:p w14:paraId="6F0FAA6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05A9D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19DF58AB">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598" w:name="_Toc11598"/>
            <w:bookmarkStart w:id="2599" w:name="_Toc22411"/>
            <w:bookmarkStart w:id="2600" w:name="_Toc26769"/>
            <w:r>
              <w:rPr>
                <w:rFonts w:hint="default" w:ascii="Times New Roman" w:hAnsi="Times New Roman" w:eastAsia="宋体" w:cs="Times New Roman"/>
                <w:color w:val="auto"/>
                <w:sz w:val="21"/>
                <w:szCs w:val="21"/>
                <w:highlight w:val="none"/>
                <w:lang w:val="en-US" w:eastAsia="zh-CN"/>
              </w:rPr>
              <w:t>14</w:t>
            </w:r>
            <w:bookmarkEnd w:id="2598"/>
            <w:bookmarkEnd w:id="2599"/>
            <w:bookmarkEnd w:id="2600"/>
          </w:p>
        </w:tc>
        <w:tc>
          <w:tcPr>
            <w:tcW w:w="880" w:type="pct"/>
            <w:tcBorders>
              <w:tl2br w:val="nil"/>
              <w:tr2bl w:val="nil"/>
            </w:tcBorders>
            <w:noWrap w:val="0"/>
            <w:vAlign w:val="center"/>
          </w:tcPr>
          <w:p w14:paraId="4FB76BE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01" w:name="_Toc6786"/>
            <w:bookmarkStart w:id="2602" w:name="_Toc25420"/>
            <w:bookmarkStart w:id="2603" w:name="_Toc31666"/>
            <w:r>
              <w:rPr>
                <w:rFonts w:hint="default" w:ascii="Times New Roman" w:hAnsi="Times New Roman" w:eastAsia="宋体" w:cs="Times New Roman"/>
                <w:color w:val="auto"/>
                <w:sz w:val="21"/>
                <w:szCs w:val="21"/>
                <w:highlight w:val="none"/>
                <w:lang w:val="en-US" w:eastAsia="zh-CN"/>
              </w:rPr>
              <w:t>杨庄村</w:t>
            </w:r>
            <w:bookmarkEnd w:id="2601"/>
            <w:bookmarkEnd w:id="2602"/>
            <w:bookmarkEnd w:id="2603"/>
          </w:p>
        </w:tc>
        <w:tc>
          <w:tcPr>
            <w:tcW w:w="774" w:type="pct"/>
            <w:tcBorders>
              <w:tl2br w:val="nil"/>
              <w:tr2bl w:val="nil"/>
            </w:tcBorders>
            <w:noWrap w:val="0"/>
            <w:vAlign w:val="center"/>
          </w:tcPr>
          <w:p w14:paraId="094300C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04" w:name="_Toc20991"/>
            <w:bookmarkStart w:id="2605" w:name="_Toc20309"/>
            <w:bookmarkStart w:id="2606" w:name="_Toc12949"/>
            <w:r>
              <w:rPr>
                <w:rFonts w:hint="default" w:ascii="Times New Roman" w:hAnsi="Times New Roman" w:eastAsia="宋体" w:cs="Times New Roman"/>
                <w:color w:val="auto"/>
                <w:sz w:val="21"/>
                <w:szCs w:val="21"/>
                <w:highlight w:val="none"/>
                <w:lang w:val="en-US" w:eastAsia="zh-CN"/>
              </w:rPr>
              <w:t>106.4266476</w:t>
            </w:r>
            <w:bookmarkEnd w:id="2604"/>
            <w:bookmarkEnd w:id="2605"/>
            <w:bookmarkEnd w:id="2606"/>
          </w:p>
        </w:tc>
        <w:tc>
          <w:tcPr>
            <w:tcW w:w="774" w:type="pct"/>
            <w:tcBorders>
              <w:tl2br w:val="nil"/>
              <w:tr2bl w:val="nil"/>
            </w:tcBorders>
            <w:noWrap w:val="0"/>
            <w:vAlign w:val="center"/>
          </w:tcPr>
          <w:p w14:paraId="271A1313">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07" w:name="_Toc21370"/>
            <w:bookmarkStart w:id="2608" w:name="_Toc12635"/>
            <w:bookmarkStart w:id="2609" w:name="_Toc6056"/>
            <w:r>
              <w:rPr>
                <w:rFonts w:hint="default" w:ascii="Times New Roman" w:hAnsi="Times New Roman" w:eastAsia="宋体" w:cs="Times New Roman"/>
                <w:color w:val="auto"/>
                <w:sz w:val="21"/>
                <w:szCs w:val="21"/>
                <w:highlight w:val="none"/>
                <w:lang w:val="en-US" w:eastAsia="zh-CN"/>
              </w:rPr>
              <w:t>35.90813124</w:t>
            </w:r>
            <w:bookmarkEnd w:id="2607"/>
            <w:bookmarkEnd w:id="2608"/>
            <w:bookmarkEnd w:id="2609"/>
          </w:p>
        </w:tc>
        <w:tc>
          <w:tcPr>
            <w:tcW w:w="1110" w:type="dxa"/>
            <w:tcBorders>
              <w:tl2br w:val="nil"/>
              <w:tr2bl w:val="nil"/>
            </w:tcBorders>
            <w:noWrap w:val="0"/>
            <w:vAlign w:val="center"/>
          </w:tcPr>
          <w:p w14:paraId="5018F1E1">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610" w:name="_Toc14449"/>
            <w:bookmarkStart w:id="2611" w:name="_Toc25119"/>
            <w:bookmarkStart w:id="2612" w:name="_Toc9628"/>
            <w:r>
              <w:rPr>
                <w:rFonts w:hint="eastAsia" w:cs="Times New Roman"/>
                <w:color w:val="auto"/>
                <w:sz w:val="21"/>
                <w:szCs w:val="21"/>
                <w:highlight w:val="none"/>
                <w:lang w:val="en-US" w:eastAsia="zh-CN"/>
              </w:rPr>
              <w:t>N,23</w:t>
            </w:r>
            <w:r>
              <w:rPr>
                <w:rFonts w:hint="default" w:ascii="Times New Roman" w:hAnsi="Times New Roman" w:cs="Times New Roman"/>
                <w:color w:val="auto"/>
                <w:sz w:val="21"/>
                <w:szCs w:val="21"/>
                <w:highlight w:val="none"/>
              </w:rPr>
              <w:t>m</w:t>
            </w:r>
            <w:bookmarkEnd w:id="2610"/>
            <w:bookmarkEnd w:id="2611"/>
            <w:bookmarkEnd w:id="2612"/>
          </w:p>
        </w:tc>
        <w:tc>
          <w:tcPr>
            <w:tcW w:w="495" w:type="pct"/>
            <w:tcBorders>
              <w:tl2br w:val="nil"/>
              <w:tr2bl w:val="nil"/>
            </w:tcBorders>
            <w:noWrap w:val="0"/>
            <w:vAlign w:val="center"/>
          </w:tcPr>
          <w:p w14:paraId="59AEA99C">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13" w:name="_Toc4737"/>
            <w:bookmarkStart w:id="2614" w:name="_Toc4067"/>
            <w:bookmarkStart w:id="2615" w:name="_Toc9559"/>
            <w:r>
              <w:rPr>
                <w:rFonts w:hint="eastAsia" w:cs="Times New Roman"/>
                <w:color w:val="auto"/>
                <w:sz w:val="21"/>
                <w:szCs w:val="21"/>
                <w:highlight w:val="none"/>
                <w:lang w:val="en-US" w:eastAsia="zh-CN"/>
              </w:rPr>
              <w:t>24户</w:t>
            </w:r>
            <w:bookmarkEnd w:id="2613"/>
            <w:bookmarkEnd w:id="2614"/>
            <w:bookmarkEnd w:id="2615"/>
          </w:p>
        </w:tc>
        <w:tc>
          <w:tcPr>
            <w:tcW w:w="1008" w:type="pct"/>
            <w:vMerge w:val="continue"/>
            <w:tcBorders>
              <w:tl2br w:val="nil"/>
              <w:tr2bl w:val="nil"/>
            </w:tcBorders>
            <w:noWrap w:val="0"/>
            <w:vAlign w:val="center"/>
          </w:tcPr>
          <w:p w14:paraId="2B3ECE5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10AE4B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3FB11CA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16" w:name="_Toc14945"/>
            <w:bookmarkStart w:id="2617" w:name="_Toc28384"/>
            <w:bookmarkStart w:id="2618" w:name="_Toc11735"/>
            <w:r>
              <w:rPr>
                <w:rFonts w:hint="default" w:ascii="Times New Roman" w:hAnsi="Times New Roman" w:eastAsia="宋体" w:cs="Times New Roman"/>
                <w:color w:val="auto"/>
                <w:sz w:val="21"/>
                <w:szCs w:val="21"/>
                <w:highlight w:val="none"/>
                <w:lang w:val="en-US" w:eastAsia="zh-CN"/>
              </w:rPr>
              <w:t>15</w:t>
            </w:r>
            <w:bookmarkEnd w:id="2616"/>
            <w:bookmarkEnd w:id="2617"/>
            <w:bookmarkEnd w:id="2618"/>
          </w:p>
        </w:tc>
        <w:tc>
          <w:tcPr>
            <w:tcW w:w="880" w:type="pct"/>
            <w:tcBorders>
              <w:tl2br w:val="nil"/>
              <w:tr2bl w:val="nil"/>
            </w:tcBorders>
            <w:noWrap w:val="0"/>
            <w:vAlign w:val="center"/>
          </w:tcPr>
          <w:p w14:paraId="7A0984C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19" w:name="_Toc24477"/>
            <w:bookmarkStart w:id="2620" w:name="_Toc16469"/>
            <w:bookmarkStart w:id="2621" w:name="_Toc28103"/>
            <w:r>
              <w:rPr>
                <w:rFonts w:hint="default" w:ascii="Times New Roman" w:hAnsi="Times New Roman" w:eastAsia="宋体" w:cs="Times New Roman"/>
                <w:color w:val="auto"/>
                <w:sz w:val="21"/>
                <w:szCs w:val="21"/>
                <w:highlight w:val="none"/>
                <w:lang w:val="en-US" w:eastAsia="zh-CN"/>
              </w:rPr>
              <w:t>古城镇田庄教学点</w:t>
            </w:r>
            <w:bookmarkEnd w:id="2619"/>
            <w:bookmarkEnd w:id="2620"/>
            <w:bookmarkEnd w:id="2621"/>
          </w:p>
        </w:tc>
        <w:tc>
          <w:tcPr>
            <w:tcW w:w="774" w:type="pct"/>
            <w:tcBorders>
              <w:tl2br w:val="nil"/>
              <w:tr2bl w:val="nil"/>
            </w:tcBorders>
            <w:noWrap w:val="0"/>
            <w:vAlign w:val="center"/>
          </w:tcPr>
          <w:p w14:paraId="40AF38A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22" w:name="_Toc27449"/>
            <w:bookmarkStart w:id="2623" w:name="_Toc11891"/>
            <w:bookmarkStart w:id="2624" w:name="_Toc23952"/>
            <w:r>
              <w:rPr>
                <w:rFonts w:hint="default" w:ascii="Times New Roman" w:hAnsi="Times New Roman" w:eastAsia="宋体" w:cs="Times New Roman"/>
                <w:color w:val="auto"/>
                <w:sz w:val="21"/>
                <w:szCs w:val="21"/>
                <w:highlight w:val="none"/>
                <w:lang w:val="en-US" w:eastAsia="zh-CN"/>
              </w:rPr>
              <w:t>106 510323</w:t>
            </w:r>
            <w:bookmarkEnd w:id="2622"/>
            <w:bookmarkEnd w:id="2623"/>
            <w:bookmarkEnd w:id="2624"/>
          </w:p>
        </w:tc>
        <w:tc>
          <w:tcPr>
            <w:tcW w:w="774" w:type="pct"/>
            <w:tcBorders>
              <w:tl2br w:val="nil"/>
              <w:tr2bl w:val="nil"/>
            </w:tcBorders>
            <w:noWrap w:val="0"/>
            <w:vAlign w:val="center"/>
          </w:tcPr>
          <w:p w14:paraId="3A132AA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25" w:name="_Toc2054"/>
            <w:bookmarkStart w:id="2626" w:name="_Toc23073"/>
            <w:bookmarkStart w:id="2627" w:name="_Toc15792"/>
            <w:r>
              <w:rPr>
                <w:rFonts w:hint="default" w:ascii="Times New Roman" w:hAnsi="Times New Roman" w:eastAsia="宋体" w:cs="Times New Roman"/>
                <w:color w:val="auto"/>
                <w:sz w:val="21"/>
                <w:szCs w:val="21"/>
                <w:highlight w:val="none"/>
                <w:lang w:val="en-US" w:eastAsia="zh-CN"/>
              </w:rPr>
              <w:t>35.920962</w:t>
            </w:r>
            <w:bookmarkEnd w:id="2625"/>
            <w:bookmarkEnd w:id="2626"/>
            <w:bookmarkEnd w:id="2627"/>
          </w:p>
        </w:tc>
        <w:tc>
          <w:tcPr>
            <w:tcW w:w="1110" w:type="dxa"/>
            <w:tcBorders>
              <w:tl2br w:val="nil"/>
              <w:tr2bl w:val="nil"/>
            </w:tcBorders>
            <w:noWrap w:val="0"/>
            <w:vAlign w:val="center"/>
          </w:tcPr>
          <w:p w14:paraId="6B7D322C">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628" w:name="_Toc5794"/>
            <w:bookmarkStart w:id="2629" w:name="_Toc4666"/>
            <w:bookmarkStart w:id="2630" w:name="_Toc25589"/>
            <w:r>
              <w:rPr>
                <w:rFonts w:hint="eastAsia" w:cs="Times New Roman"/>
                <w:color w:val="auto"/>
                <w:sz w:val="21"/>
                <w:szCs w:val="21"/>
                <w:highlight w:val="none"/>
                <w:lang w:val="en-US" w:eastAsia="zh-CN"/>
              </w:rPr>
              <w:t>N,58</w:t>
            </w:r>
            <w:r>
              <w:rPr>
                <w:rFonts w:hint="default" w:ascii="Times New Roman" w:hAnsi="Times New Roman" w:cs="Times New Roman"/>
                <w:color w:val="auto"/>
                <w:sz w:val="21"/>
                <w:szCs w:val="21"/>
                <w:highlight w:val="none"/>
              </w:rPr>
              <w:t>m</w:t>
            </w:r>
            <w:bookmarkEnd w:id="2628"/>
            <w:bookmarkEnd w:id="2629"/>
            <w:bookmarkEnd w:id="2630"/>
          </w:p>
        </w:tc>
        <w:tc>
          <w:tcPr>
            <w:tcW w:w="495" w:type="pct"/>
            <w:tcBorders>
              <w:tl2br w:val="nil"/>
              <w:tr2bl w:val="nil"/>
            </w:tcBorders>
            <w:noWrap w:val="0"/>
            <w:vAlign w:val="center"/>
          </w:tcPr>
          <w:p w14:paraId="358B5364">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31" w:name="_Toc32740"/>
            <w:bookmarkStart w:id="2632" w:name="_Toc9117"/>
            <w:bookmarkStart w:id="2633" w:name="_Toc18980"/>
            <w:r>
              <w:rPr>
                <w:rFonts w:hint="eastAsia" w:cs="Times New Roman"/>
                <w:color w:val="auto"/>
                <w:sz w:val="21"/>
                <w:szCs w:val="21"/>
                <w:highlight w:val="none"/>
                <w:lang w:val="en-US" w:eastAsia="zh-CN"/>
              </w:rPr>
              <w:t>80人</w:t>
            </w:r>
            <w:bookmarkEnd w:id="2631"/>
            <w:bookmarkEnd w:id="2632"/>
            <w:bookmarkEnd w:id="2633"/>
          </w:p>
        </w:tc>
        <w:tc>
          <w:tcPr>
            <w:tcW w:w="1008" w:type="pct"/>
            <w:vMerge w:val="continue"/>
            <w:tcBorders>
              <w:tl2br w:val="nil"/>
              <w:tr2bl w:val="nil"/>
            </w:tcBorders>
            <w:noWrap w:val="0"/>
            <w:vAlign w:val="center"/>
          </w:tcPr>
          <w:p w14:paraId="7D547DB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68F5DB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4" w:type="pct"/>
            <w:tcBorders>
              <w:tl2br w:val="nil"/>
              <w:tr2bl w:val="nil"/>
            </w:tcBorders>
            <w:noWrap w:val="0"/>
            <w:vAlign w:val="center"/>
          </w:tcPr>
          <w:p w14:paraId="6F5ED668">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34" w:name="_Toc5051"/>
            <w:bookmarkStart w:id="2635" w:name="_Toc23701"/>
            <w:bookmarkStart w:id="2636" w:name="_Toc9858"/>
            <w:r>
              <w:rPr>
                <w:rFonts w:hint="default" w:ascii="Times New Roman" w:hAnsi="Times New Roman" w:eastAsia="宋体" w:cs="Times New Roman"/>
                <w:color w:val="auto"/>
                <w:sz w:val="21"/>
                <w:szCs w:val="21"/>
                <w:highlight w:val="none"/>
                <w:lang w:val="en-US" w:eastAsia="zh-CN"/>
              </w:rPr>
              <w:t>16</w:t>
            </w:r>
            <w:bookmarkEnd w:id="2634"/>
            <w:bookmarkEnd w:id="2635"/>
            <w:bookmarkEnd w:id="2636"/>
          </w:p>
        </w:tc>
        <w:tc>
          <w:tcPr>
            <w:tcW w:w="880" w:type="pct"/>
            <w:tcBorders>
              <w:tl2br w:val="nil"/>
              <w:tr2bl w:val="nil"/>
            </w:tcBorders>
            <w:noWrap w:val="0"/>
            <w:vAlign w:val="center"/>
          </w:tcPr>
          <w:p w14:paraId="1E53B3CB">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37" w:name="_Toc12036"/>
            <w:bookmarkStart w:id="2638" w:name="_Toc30582"/>
            <w:bookmarkStart w:id="2639" w:name="_Toc22248"/>
            <w:r>
              <w:rPr>
                <w:rFonts w:hint="default" w:ascii="Times New Roman" w:hAnsi="Times New Roman" w:eastAsia="宋体" w:cs="Times New Roman"/>
                <w:color w:val="auto"/>
                <w:sz w:val="21"/>
                <w:szCs w:val="21"/>
                <w:highlight w:val="none"/>
                <w:lang w:val="en-US" w:eastAsia="zh-CN"/>
              </w:rPr>
              <w:t>古城镇川口教学点</w:t>
            </w:r>
            <w:bookmarkEnd w:id="2637"/>
            <w:bookmarkEnd w:id="2638"/>
            <w:bookmarkEnd w:id="2639"/>
          </w:p>
        </w:tc>
        <w:tc>
          <w:tcPr>
            <w:tcW w:w="774" w:type="pct"/>
            <w:tcBorders>
              <w:tl2br w:val="nil"/>
              <w:tr2bl w:val="nil"/>
            </w:tcBorders>
            <w:noWrap w:val="0"/>
            <w:vAlign w:val="center"/>
          </w:tcPr>
          <w:p w14:paraId="3D4D0BAF">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40" w:name="_Toc28130"/>
            <w:bookmarkStart w:id="2641" w:name="_Toc13988"/>
            <w:bookmarkStart w:id="2642" w:name="_Toc11631"/>
            <w:r>
              <w:rPr>
                <w:rFonts w:hint="default" w:ascii="Times New Roman" w:hAnsi="Times New Roman" w:eastAsia="宋体" w:cs="Times New Roman"/>
                <w:color w:val="auto"/>
                <w:sz w:val="21"/>
                <w:szCs w:val="21"/>
                <w:highlight w:val="none"/>
                <w:lang w:val="en-US" w:eastAsia="zh-CN"/>
              </w:rPr>
              <w:t>106.491837</w:t>
            </w:r>
            <w:bookmarkEnd w:id="2640"/>
            <w:bookmarkEnd w:id="2641"/>
            <w:bookmarkEnd w:id="2642"/>
          </w:p>
        </w:tc>
        <w:tc>
          <w:tcPr>
            <w:tcW w:w="774" w:type="pct"/>
            <w:tcBorders>
              <w:tl2br w:val="nil"/>
              <w:tr2bl w:val="nil"/>
            </w:tcBorders>
            <w:noWrap w:val="0"/>
            <w:vAlign w:val="center"/>
          </w:tcPr>
          <w:p w14:paraId="153761F1">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43" w:name="_Toc2213"/>
            <w:bookmarkStart w:id="2644" w:name="_Toc16478"/>
            <w:bookmarkStart w:id="2645" w:name="_Toc11301"/>
            <w:r>
              <w:rPr>
                <w:rFonts w:hint="default" w:ascii="Times New Roman" w:hAnsi="Times New Roman" w:eastAsia="宋体" w:cs="Times New Roman"/>
                <w:color w:val="auto"/>
                <w:sz w:val="21"/>
                <w:szCs w:val="21"/>
                <w:highlight w:val="none"/>
                <w:lang w:val="en-US" w:eastAsia="zh-CN"/>
              </w:rPr>
              <w:t>35.922367</w:t>
            </w:r>
            <w:bookmarkEnd w:id="2643"/>
            <w:bookmarkEnd w:id="2644"/>
            <w:bookmarkEnd w:id="2645"/>
          </w:p>
        </w:tc>
        <w:tc>
          <w:tcPr>
            <w:tcW w:w="1110" w:type="dxa"/>
            <w:tcBorders>
              <w:tl2br w:val="nil"/>
              <w:tr2bl w:val="nil"/>
            </w:tcBorders>
            <w:noWrap w:val="0"/>
            <w:vAlign w:val="center"/>
          </w:tcPr>
          <w:p w14:paraId="35E61F1F">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2646" w:name="_Toc13642"/>
            <w:bookmarkStart w:id="2647" w:name="_Toc26810"/>
            <w:bookmarkStart w:id="2648" w:name="_Toc30036"/>
            <w:r>
              <w:rPr>
                <w:rFonts w:hint="eastAsia" w:cs="Times New Roman"/>
                <w:color w:val="auto"/>
                <w:sz w:val="21"/>
                <w:szCs w:val="21"/>
                <w:highlight w:val="none"/>
                <w:lang w:val="en-US" w:eastAsia="zh-CN"/>
              </w:rPr>
              <w:t>N,52</w:t>
            </w:r>
            <w:r>
              <w:rPr>
                <w:rFonts w:hint="default" w:ascii="Times New Roman" w:hAnsi="Times New Roman" w:cs="Times New Roman"/>
                <w:color w:val="auto"/>
                <w:sz w:val="21"/>
                <w:szCs w:val="21"/>
                <w:highlight w:val="none"/>
              </w:rPr>
              <w:t>m</w:t>
            </w:r>
            <w:bookmarkEnd w:id="2646"/>
            <w:bookmarkEnd w:id="2647"/>
            <w:bookmarkEnd w:id="2648"/>
          </w:p>
        </w:tc>
        <w:tc>
          <w:tcPr>
            <w:tcW w:w="495" w:type="pct"/>
            <w:tcBorders>
              <w:tl2br w:val="nil"/>
              <w:tr2bl w:val="nil"/>
            </w:tcBorders>
            <w:noWrap w:val="0"/>
            <w:vAlign w:val="center"/>
          </w:tcPr>
          <w:p w14:paraId="76DEB612">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2649" w:name="_Toc14645"/>
            <w:bookmarkStart w:id="2650" w:name="_Toc17613"/>
            <w:bookmarkStart w:id="2651" w:name="_Toc30995"/>
            <w:r>
              <w:rPr>
                <w:rFonts w:hint="eastAsia" w:cs="Times New Roman"/>
                <w:color w:val="auto"/>
                <w:sz w:val="21"/>
                <w:szCs w:val="21"/>
                <w:highlight w:val="none"/>
                <w:lang w:val="en-US" w:eastAsia="zh-CN"/>
              </w:rPr>
              <w:t>120人</w:t>
            </w:r>
            <w:bookmarkEnd w:id="2649"/>
            <w:bookmarkEnd w:id="2650"/>
            <w:bookmarkEnd w:id="2651"/>
          </w:p>
        </w:tc>
        <w:tc>
          <w:tcPr>
            <w:tcW w:w="1008" w:type="pct"/>
            <w:vMerge w:val="continue"/>
            <w:tcBorders>
              <w:tl2br w:val="nil"/>
              <w:tr2bl w:val="nil"/>
            </w:tcBorders>
            <w:noWrap w:val="0"/>
            <w:vAlign w:val="center"/>
          </w:tcPr>
          <w:p w14:paraId="655B761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bl>
    <w:p w14:paraId="67F9138E">
      <w:pPr>
        <w:ind w:firstLine="480"/>
        <w:rPr>
          <w:rFonts w:hint="default" w:ascii="Times New Roman" w:hAnsi="Times New Roman" w:eastAsia="宋体" w:cs="Times New Roman"/>
          <w:snapToGrid w:val="0"/>
          <w:color w:val="auto"/>
          <w:highlight w:val="none"/>
          <w:lang w:val="en-US" w:eastAsia="zh-CN"/>
        </w:rPr>
        <w:sectPr>
          <w:head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snapToGrid w:val="0"/>
          <w:color w:val="auto"/>
          <w:highlight w:val="none"/>
          <w:lang w:val="en-US" w:eastAsia="zh-CN"/>
        </w:rPr>
        <w:t>项目与敏感目标关系图详见附图6。</w:t>
      </w:r>
    </w:p>
    <w:bookmarkEnd w:id="2319"/>
    <w:bookmarkEnd w:id="2320"/>
    <w:bookmarkEnd w:id="2321"/>
    <w:p w14:paraId="2AB20632">
      <w:pPr>
        <w:pStyle w:val="3"/>
        <w:rPr>
          <w:rFonts w:hint="default" w:ascii="Times New Roman" w:hAnsi="Times New Roman" w:cs="Times New Roman"/>
          <w:color w:val="auto"/>
          <w:sz w:val="28"/>
          <w:szCs w:val="28"/>
          <w:highlight w:val="none"/>
        </w:rPr>
      </w:pPr>
      <w:bookmarkStart w:id="2652" w:name="_Toc28140"/>
      <w:bookmarkStart w:id="2653" w:name="_Toc20358"/>
      <w:bookmarkStart w:id="2654" w:name="_Toc23314"/>
      <w:bookmarkStart w:id="2655" w:name="_Toc15376"/>
      <w:r>
        <w:rPr>
          <w:rFonts w:hint="default" w:ascii="Times New Roman" w:hAnsi="Times New Roman" w:cs="Times New Roman"/>
          <w:color w:val="auto"/>
          <w:sz w:val="28"/>
          <w:szCs w:val="28"/>
          <w:highlight w:val="none"/>
        </w:rPr>
        <w:t>2工程概况</w:t>
      </w:r>
      <w:bookmarkEnd w:id="2652"/>
      <w:bookmarkEnd w:id="2653"/>
      <w:bookmarkEnd w:id="2654"/>
      <w:bookmarkEnd w:id="2655"/>
    </w:p>
    <w:p w14:paraId="0DEA8A13">
      <w:pPr>
        <w:pStyle w:val="4"/>
        <w:rPr>
          <w:rFonts w:hint="eastAsia" w:cs="Times New Roman"/>
          <w:color w:val="auto"/>
          <w:sz w:val="28"/>
          <w:szCs w:val="28"/>
          <w:highlight w:val="none"/>
          <w:lang w:eastAsia="zh-CN"/>
        </w:rPr>
      </w:pPr>
      <w:bookmarkStart w:id="2656" w:name="_Toc27320"/>
      <w:bookmarkStart w:id="2657" w:name="_Toc12343"/>
      <w:bookmarkStart w:id="2658" w:name="_Toc29154"/>
      <w:bookmarkStart w:id="2659" w:name="_Toc13163"/>
      <w:r>
        <w:rPr>
          <w:rFonts w:hint="default" w:ascii="Times New Roman" w:hAnsi="Times New Roman" w:cs="Times New Roman"/>
          <w:color w:val="auto"/>
          <w:sz w:val="28"/>
          <w:szCs w:val="28"/>
          <w:highlight w:val="none"/>
        </w:rPr>
        <w:t>2.1</w:t>
      </w:r>
      <w:r>
        <w:rPr>
          <w:rFonts w:hint="eastAsia" w:cs="Times New Roman"/>
          <w:color w:val="auto"/>
          <w:sz w:val="28"/>
          <w:szCs w:val="28"/>
          <w:highlight w:val="none"/>
          <w:lang w:eastAsia="zh-CN"/>
        </w:rPr>
        <w:t>河道现状及存在问题</w:t>
      </w:r>
      <w:bookmarkEnd w:id="2656"/>
      <w:bookmarkEnd w:id="2657"/>
    </w:p>
    <w:p w14:paraId="570CF057">
      <w:pPr>
        <w:pStyle w:val="6"/>
        <w:bidi w:val="0"/>
        <w:rPr>
          <w:rFonts w:hint="eastAsia"/>
          <w:color w:val="auto"/>
          <w:highlight w:val="none"/>
          <w:lang w:val="en-US" w:eastAsia="zh-CN"/>
        </w:rPr>
      </w:pPr>
      <w:bookmarkStart w:id="2660" w:name="_Toc6128"/>
      <w:r>
        <w:rPr>
          <w:rFonts w:hint="eastAsia"/>
          <w:color w:val="auto"/>
          <w:highlight w:val="none"/>
          <w:lang w:val="en-US" w:eastAsia="zh-CN"/>
        </w:rPr>
        <w:t>2.1.1河道现状</w:t>
      </w:r>
      <w:bookmarkEnd w:id="2660"/>
    </w:p>
    <w:p w14:paraId="0282574B">
      <w:pPr>
        <w:jc w:val="both"/>
        <w:rPr>
          <w:rFonts w:hint="eastAsia"/>
          <w:color w:val="auto"/>
          <w:highlight w:val="none"/>
          <w:lang w:val="en-US" w:eastAsia="zh-CN"/>
        </w:rPr>
      </w:pPr>
      <w:r>
        <w:rPr>
          <w:rFonts w:hint="eastAsia"/>
          <w:color w:val="auto"/>
          <w:highlight w:val="none"/>
          <w:lang w:val="en-US" w:eastAsia="zh-CN"/>
        </w:rPr>
        <w:t>茹河是蒲河右岸一级支流，泾河的二级支流，流域由西到东经彭阳县城而过，介于东经</w:t>
      </w:r>
      <w:r>
        <w:rPr>
          <w:rFonts w:hint="default" w:ascii="Times New Roman" w:hAnsi="Times New Roman" w:cs="Times New Roman"/>
          <w:color w:val="auto"/>
          <w:highlight w:val="none"/>
          <w:lang w:val="en-US" w:eastAsia="zh-CN"/>
        </w:rPr>
        <w:t>106°12ˊ</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106°58ˊ</w:t>
      </w:r>
      <w:r>
        <w:rPr>
          <w:rFonts w:hint="eastAsia"/>
          <w:color w:val="auto"/>
          <w:highlight w:val="none"/>
          <w:lang w:val="en-US" w:eastAsia="zh-CN"/>
        </w:rPr>
        <w:t>，北纬</w:t>
      </w:r>
      <w:r>
        <w:rPr>
          <w:rFonts w:hint="default" w:ascii="Times New Roman" w:hAnsi="Times New Roman" w:cs="Times New Roman"/>
          <w:color w:val="auto"/>
          <w:highlight w:val="none"/>
          <w:lang w:val="en-US" w:eastAsia="zh-CN"/>
        </w:rPr>
        <w:t>35°46ˊ</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36°17ˊ</w:t>
      </w:r>
      <w:r>
        <w:rPr>
          <w:rFonts w:hint="eastAsia"/>
          <w:color w:val="auto"/>
          <w:highlight w:val="none"/>
          <w:lang w:val="en-US" w:eastAsia="zh-CN"/>
        </w:rPr>
        <w:t>之间，发源于甘肃省环县卢家湾乡庙儿掌，流经宁夏固原市彭阳县、甘肃庆阳市镇原县，于镇原县交口镇汇入蒲河。茹河流域面积3378km</w:t>
      </w:r>
      <w:r>
        <w:rPr>
          <w:rFonts w:hint="eastAsia"/>
          <w:color w:val="auto"/>
          <w:highlight w:val="none"/>
          <w:vertAlign w:val="superscript"/>
          <w:lang w:val="en-US" w:eastAsia="zh-CN"/>
        </w:rPr>
        <w:t>2</w:t>
      </w:r>
      <w:r>
        <w:rPr>
          <w:rFonts w:hint="eastAsia"/>
          <w:color w:val="auto"/>
          <w:highlight w:val="none"/>
          <w:lang w:val="en-US" w:eastAsia="zh-CN"/>
        </w:rPr>
        <w:t>，其中甘肃境内1305km</w:t>
      </w:r>
      <w:r>
        <w:rPr>
          <w:rFonts w:hint="eastAsia"/>
          <w:color w:val="auto"/>
          <w:highlight w:val="none"/>
          <w:vertAlign w:val="superscript"/>
          <w:lang w:val="en-US" w:eastAsia="zh-CN"/>
        </w:rPr>
        <w:t>2</w:t>
      </w:r>
      <w:r>
        <w:rPr>
          <w:rFonts w:hint="eastAsia"/>
          <w:color w:val="auto"/>
          <w:highlight w:val="none"/>
          <w:lang w:val="en-US" w:eastAsia="zh-CN"/>
        </w:rPr>
        <w:t>，宁夏境内流域面积2073km</w:t>
      </w:r>
      <w:r>
        <w:rPr>
          <w:rFonts w:hint="eastAsia"/>
          <w:color w:val="auto"/>
          <w:highlight w:val="none"/>
          <w:vertAlign w:val="superscript"/>
          <w:lang w:val="en-US" w:eastAsia="zh-CN"/>
        </w:rPr>
        <w:t>2</w:t>
      </w:r>
      <w:r>
        <w:rPr>
          <w:rFonts w:hint="eastAsia"/>
          <w:color w:val="auto"/>
          <w:highlight w:val="none"/>
          <w:lang w:val="en-US" w:eastAsia="zh-CN"/>
        </w:rPr>
        <w:t>；河长192km，其中甘肃境内86.6km，宁夏105.4km；茹河在境内原州区498.5km</w:t>
      </w:r>
      <w:r>
        <w:rPr>
          <w:rFonts w:hint="eastAsia"/>
          <w:color w:val="auto"/>
          <w:highlight w:val="none"/>
          <w:vertAlign w:val="superscript"/>
          <w:lang w:val="en-US" w:eastAsia="zh-CN"/>
        </w:rPr>
        <w:t>2</w:t>
      </w:r>
      <w:r>
        <w:rPr>
          <w:rFonts w:hint="eastAsia"/>
          <w:color w:val="auto"/>
          <w:highlight w:val="none"/>
          <w:lang w:val="en-US" w:eastAsia="zh-CN"/>
        </w:rPr>
        <w:t>，泾源县41.5km</w:t>
      </w:r>
      <w:r>
        <w:rPr>
          <w:rFonts w:hint="eastAsia"/>
          <w:color w:val="auto"/>
          <w:highlight w:val="none"/>
          <w:vertAlign w:val="superscript"/>
          <w:lang w:val="en-US" w:eastAsia="zh-CN"/>
        </w:rPr>
        <w:t>2</w:t>
      </w:r>
      <w:r>
        <w:rPr>
          <w:rFonts w:hint="eastAsia"/>
          <w:color w:val="auto"/>
          <w:highlight w:val="none"/>
          <w:lang w:val="en-US" w:eastAsia="zh-CN"/>
        </w:rPr>
        <w:t>，彭阳县境内流域面积1533km</w:t>
      </w:r>
      <w:r>
        <w:rPr>
          <w:rFonts w:hint="eastAsia"/>
          <w:color w:val="auto"/>
          <w:highlight w:val="none"/>
          <w:vertAlign w:val="superscript"/>
          <w:lang w:val="en-US" w:eastAsia="zh-CN"/>
        </w:rPr>
        <w:t>2</w:t>
      </w:r>
      <w:r>
        <w:rPr>
          <w:rFonts w:hint="eastAsia"/>
          <w:color w:val="auto"/>
          <w:highlight w:val="none"/>
          <w:lang w:val="en-US" w:eastAsia="zh-CN"/>
        </w:rPr>
        <w:t>，河道平均比降6.59</w:t>
      </w:r>
      <w:r>
        <w:rPr>
          <w:rFonts w:hint="default" w:ascii="Times New Roman" w:hAnsi="Times New Roman" w:cs="Times New Roman"/>
          <w:color w:val="auto"/>
          <w:highlight w:val="none"/>
          <w:lang w:val="en-US" w:eastAsia="zh-CN"/>
        </w:rPr>
        <w:t>‰</w:t>
      </w:r>
      <w:r>
        <w:rPr>
          <w:rFonts w:hint="eastAsia"/>
          <w:color w:val="auto"/>
          <w:highlight w:val="none"/>
          <w:lang w:val="en-US" w:eastAsia="zh-CN"/>
        </w:rPr>
        <w:t>，在彭阳县境内河长76.2km。上游有王洼沟、母家沟、干沟河、川口河较大支沟加入。</w:t>
      </w:r>
    </w:p>
    <w:p w14:paraId="26A9673F">
      <w:pPr>
        <w:snapToGrid w:val="0"/>
        <w:spacing w:line="360" w:lineRule="auto"/>
        <w:ind w:firstLine="480" w:firstLineChars="200"/>
        <w:rPr>
          <w:rFonts w:hint="eastAsia"/>
          <w:color w:val="auto"/>
          <w:highlight w:val="none"/>
          <w:lang w:val="en-US" w:eastAsia="zh-CN"/>
        </w:rPr>
      </w:pPr>
      <w:r>
        <w:rPr>
          <w:rFonts w:hint="eastAsia"/>
          <w:color w:val="auto"/>
          <w:highlight w:val="none"/>
          <w:lang w:val="en-US" w:eastAsia="zh-CN"/>
        </w:rPr>
        <w:t>川口河上游建有2座小Ⅱ型水库、7座淤地坝，水利工程面积31.17km</w:t>
      </w:r>
      <w:r>
        <w:rPr>
          <w:rFonts w:hint="eastAsia"/>
          <w:color w:val="auto"/>
          <w:highlight w:val="none"/>
          <w:vertAlign w:val="superscript"/>
          <w:lang w:val="en-US" w:eastAsia="zh-CN"/>
        </w:rPr>
        <w:t>2</w:t>
      </w:r>
      <w:r>
        <w:rPr>
          <w:rFonts w:hint="eastAsia"/>
          <w:color w:val="auto"/>
          <w:highlight w:val="none"/>
          <w:lang w:val="en-US" w:eastAsia="zh-CN"/>
        </w:rPr>
        <w:t>，总库容472.2万m</w:t>
      </w:r>
      <w:r>
        <w:rPr>
          <w:rFonts w:hint="eastAsia"/>
          <w:color w:val="auto"/>
          <w:highlight w:val="none"/>
          <w:vertAlign w:val="superscript"/>
          <w:lang w:val="en-US" w:eastAsia="zh-CN"/>
        </w:rPr>
        <w:t>3</w:t>
      </w:r>
      <w:r>
        <w:rPr>
          <w:rFonts w:hint="eastAsia"/>
          <w:color w:val="auto"/>
          <w:highlight w:val="none"/>
          <w:lang w:val="en-US" w:eastAsia="zh-CN"/>
        </w:rPr>
        <w:t>；石家峡水库至石头崾岘水库区间建有2座中型水库、3座淤地坝，水利工程面积1072.91km</w:t>
      </w:r>
      <w:r>
        <w:rPr>
          <w:rFonts w:hint="eastAsia"/>
          <w:color w:val="auto"/>
          <w:highlight w:val="none"/>
          <w:vertAlign w:val="superscript"/>
          <w:lang w:val="en-US" w:eastAsia="zh-CN"/>
        </w:rPr>
        <w:t>2</w:t>
      </w:r>
      <w:r>
        <w:rPr>
          <w:rFonts w:hint="eastAsia"/>
          <w:color w:val="auto"/>
          <w:highlight w:val="none"/>
          <w:lang w:val="en-US" w:eastAsia="zh-CN"/>
        </w:rPr>
        <w:t>，总库容4295.96万m</w:t>
      </w:r>
      <w:r>
        <w:rPr>
          <w:rFonts w:hint="eastAsia"/>
          <w:color w:val="auto"/>
          <w:highlight w:val="none"/>
          <w:vertAlign w:val="superscript"/>
          <w:lang w:val="en-US" w:eastAsia="zh-CN"/>
        </w:rPr>
        <w:t>3</w:t>
      </w:r>
      <w:r>
        <w:rPr>
          <w:rFonts w:hint="eastAsia"/>
          <w:color w:val="auto"/>
          <w:highlight w:val="none"/>
          <w:lang w:val="en-US" w:eastAsia="zh-CN"/>
        </w:rPr>
        <w:t>。</w:t>
      </w:r>
    </w:p>
    <w:p w14:paraId="287D5945">
      <w:pPr>
        <w:snapToGrid w:val="0"/>
        <w:spacing w:line="360" w:lineRule="auto"/>
        <w:ind w:firstLine="480" w:firstLineChars="200"/>
        <w:rPr>
          <w:color w:val="auto"/>
          <w:sz w:val="24"/>
          <w:highlight w:val="none"/>
        </w:rPr>
      </w:pPr>
      <w:r>
        <w:rPr>
          <w:color w:val="auto"/>
          <w:sz w:val="24"/>
          <w:highlight w:val="none"/>
        </w:rPr>
        <w:t>石头崾岘水库修建在茹河一级支流小河河口，坝址以上流域面积1100km</w:t>
      </w:r>
      <w:r>
        <w:rPr>
          <w:color w:val="auto"/>
          <w:sz w:val="24"/>
          <w:highlight w:val="none"/>
          <w:vertAlign w:val="superscript"/>
        </w:rPr>
        <w:t>2</w:t>
      </w:r>
      <w:r>
        <w:rPr>
          <w:color w:val="auto"/>
          <w:sz w:val="24"/>
          <w:highlight w:val="none"/>
        </w:rPr>
        <w:t>，水库设计总库容1400万m</w:t>
      </w:r>
      <w:r>
        <w:rPr>
          <w:color w:val="auto"/>
          <w:sz w:val="24"/>
          <w:highlight w:val="none"/>
          <w:vertAlign w:val="superscript"/>
        </w:rPr>
        <w:t>3</w:t>
      </w:r>
      <w:r>
        <w:rPr>
          <w:color w:val="auto"/>
          <w:sz w:val="24"/>
          <w:highlight w:val="none"/>
        </w:rPr>
        <w:t>，属中型水库，设计洪水标准50年，校核洪水标准500年。水库于1998年11月18日开工建设，2000年10月30日竣工，2018年对水库进行了除险加固，水库现状总库容1400万m</w:t>
      </w:r>
      <w:r>
        <w:rPr>
          <w:color w:val="auto"/>
          <w:sz w:val="24"/>
          <w:highlight w:val="none"/>
          <w:vertAlign w:val="superscript"/>
        </w:rPr>
        <w:t>3</w:t>
      </w:r>
      <w:r>
        <w:rPr>
          <w:color w:val="auto"/>
          <w:sz w:val="24"/>
          <w:highlight w:val="none"/>
        </w:rPr>
        <w:t>，其中设计淤泥库容913.80万m</w:t>
      </w:r>
      <w:r>
        <w:rPr>
          <w:color w:val="auto"/>
          <w:sz w:val="24"/>
          <w:highlight w:val="none"/>
          <w:vertAlign w:val="superscript"/>
        </w:rPr>
        <w:t>3</w:t>
      </w:r>
      <w:r>
        <w:rPr>
          <w:color w:val="auto"/>
          <w:sz w:val="24"/>
          <w:highlight w:val="none"/>
        </w:rPr>
        <w:t>，设计泥面高程1469.0m；汛限水位1470.00m，兴利库容为137.40万m3，正常蓄水位1470.0m；防洪库容170.30万m</w:t>
      </w:r>
      <w:r>
        <w:rPr>
          <w:color w:val="auto"/>
          <w:sz w:val="24"/>
          <w:highlight w:val="none"/>
          <w:vertAlign w:val="superscript"/>
        </w:rPr>
        <w:t>3</w:t>
      </w:r>
      <w:r>
        <w:rPr>
          <w:color w:val="auto"/>
          <w:sz w:val="24"/>
          <w:highlight w:val="none"/>
        </w:rPr>
        <w:t>，设计洪水位1470.16m；调洪库容549.60万m</w:t>
      </w:r>
      <w:r>
        <w:rPr>
          <w:color w:val="auto"/>
          <w:sz w:val="24"/>
          <w:highlight w:val="none"/>
          <w:vertAlign w:val="superscript"/>
        </w:rPr>
        <w:t>3</w:t>
      </w:r>
      <w:r>
        <w:rPr>
          <w:color w:val="auto"/>
          <w:sz w:val="24"/>
          <w:highlight w:val="none"/>
        </w:rPr>
        <w:t>，校核洪水位1472.45m，水库由黄土均质土坝、浆砌石重力溢流坝及灌溉取水塔三大件组成。2024年4月实测淤积库容913.80万m³，已淤积库容占总库容的65.27%。</w:t>
      </w:r>
    </w:p>
    <w:p w14:paraId="6FF80D3B">
      <w:pPr>
        <w:jc w:val="both"/>
        <w:rPr>
          <w:rFonts w:hint="eastAsia"/>
          <w:color w:val="auto"/>
          <w:highlight w:val="none"/>
          <w:lang w:val="en-US" w:eastAsia="zh-CN"/>
        </w:rPr>
      </w:pPr>
    </w:p>
    <w:tbl>
      <w:tblPr>
        <w:tblStyle w:val="32"/>
        <w:tblW w:w="5847" w:type="pct"/>
        <w:tblInd w:w="-75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5032"/>
      </w:tblGrid>
      <w:tr w14:paraId="64889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5" w:type="pct"/>
            <w:tcBorders>
              <w:tl2br w:val="nil"/>
              <w:tr2bl w:val="nil"/>
            </w:tcBorders>
            <w:noWrap w:val="0"/>
            <w:vAlign w:val="center"/>
          </w:tcPr>
          <w:p w14:paraId="2132B0F3">
            <w:pPr>
              <w:keepNext w:val="0"/>
              <w:keepLines w:val="0"/>
              <w:suppressLineNumbers w:val="0"/>
              <w:bidi w:val="0"/>
              <w:spacing w:before="0" w:beforeAutospacing="0" w:after="0" w:afterAutospacing="0"/>
              <w:ind w:left="0" w:leftChars="0" w:right="0" w:firstLine="0" w:firstLineChars="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2914650" cy="1990725"/>
                  <wp:effectExtent l="0" t="0" r="0" b="9525"/>
                  <wp:docPr id="60" name="图片 60" descr="K7+650~K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K7+650~K7+950"/>
                          <pic:cNvPicPr>
                            <a:picLocks noChangeAspect="1"/>
                          </pic:cNvPicPr>
                        </pic:nvPicPr>
                        <pic:blipFill>
                          <a:blip r:embed="rId28"/>
                          <a:stretch>
                            <a:fillRect/>
                          </a:stretch>
                        </pic:blipFill>
                        <pic:spPr>
                          <a:xfrm>
                            <a:off x="0" y="0"/>
                            <a:ext cx="2914650" cy="1990725"/>
                          </a:xfrm>
                          <a:prstGeom prst="rect">
                            <a:avLst/>
                          </a:prstGeom>
                        </pic:spPr>
                      </pic:pic>
                    </a:graphicData>
                  </a:graphic>
                </wp:inline>
              </w:drawing>
            </w:r>
          </w:p>
        </w:tc>
        <w:tc>
          <w:tcPr>
            <w:tcW w:w="2524" w:type="pct"/>
            <w:tcBorders>
              <w:tl2br w:val="nil"/>
              <w:tr2bl w:val="nil"/>
            </w:tcBorders>
            <w:noWrap w:val="0"/>
            <w:vAlign w:val="center"/>
          </w:tcPr>
          <w:p w14:paraId="619D073D">
            <w:pPr>
              <w:keepNext w:val="0"/>
              <w:keepLines w:val="0"/>
              <w:suppressLineNumbers w:val="0"/>
              <w:bidi w:val="0"/>
              <w:spacing w:before="0" w:beforeAutospacing="0" w:after="0" w:afterAutospacing="0"/>
              <w:ind w:left="0" w:leftChars="0" w:right="0" w:firstLine="0" w:firstLineChars="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2940050" cy="1904365"/>
                  <wp:effectExtent l="0" t="0" r="12700" b="635"/>
                  <wp:docPr id="42" name="图片 42" descr="K8+550~K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K8+550~K8+850"/>
                          <pic:cNvPicPr>
                            <a:picLocks noChangeAspect="1"/>
                          </pic:cNvPicPr>
                        </pic:nvPicPr>
                        <pic:blipFill>
                          <a:blip r:embed="rId29"/>
                          <a:stretch>
                            <a:fillRect/>
                          </a:stretch>
                        </pic:blipFill>
                        <pic:spPr>
                          <a:xfrm>
                            <a:off x="0" y="0"/>
                            <a:ext cx="2940050" cy="1904365"/>
                          </a:xfrm>
                          <a:prstGeom prst="rect">
                            <a:avLst/>
                          </a:prstGeom>
                        </pic:spPr>
                      </pic:pic>
                    </a:graphicData>
                  </a:graphic>
                </wp:inline>
              </w:drawing>
            </w:r>
          </w:p>
        </w:tc>
      </w:tr>
      <w:tr w14:paraId="2CF13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9" w:hRule="atLeast"/>
        </w:trPr>
        <w:tc>
          <w:tcPr>
            <w:tcW w:w="2475" w:type="pct"/>
            <w:tcBorders>
              <w:tl2br w:val="nil"/>
              <w:tr2bl w:val="nil"/>
            </w:tcBorders>
            <w:noWrap w:val="0"/>
            <w:vAlign w:val="center"/>
          </w:tcPr>
          <w:p w14:paraId="4B27D5B8">
            <w:pPr>
              <w:keepNext w:val="0"/>
              <w:keepLines w:val="0"/>
              <w:suppressLineNumbers w:val="0"/>
              <w:bidi w:val="0"/>
              <w:spacing w:before="0" w:beforeAutospacing="0" w:after="0" w:afterAutospacing="0"/>
              <w:ind w:left="0" w:leftChars="0" w:right="0"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drawing>
                <wp:inline distT="0" distB="0" distL="114300" distR="114300">
                  <wp:extent cx="2920365" cy="2007235"/>
                  <wp:effectExtent l="0" t="0" r="13335" b="12065"/>
                  <wp:docPr id="63" name="图片 63" descr="K10+200~K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K10+200~K10+450"/>
                          <pic:cNvPicPr>
                            <a:picLocks noChangeAspect="1"/>
                          </pic:cNvPicPr>
                        </pic:nvPicPr>
                        <pic:blipFill>
                          <a:blip r:embed="rId30"/>
                          <a:stretch>
                            <a:fillRect/>
                          </a:stretch>
                        </pic:blipFill>
                        <pic:spPr>
                          <a:xfrm>
                            <a:off x="0" y="0"/>
                            <a:ext cx="2920365" cy="2007235"/>
                          </a:xfrm>
                          <a:prstGeom prst="rect">
                            <a:avLst/>
                          </a:prstGeom>
                        </pic:spPr>
                      </pic:pic>
                    </a:graphicData>
                  </a:graphic>
                </wp:inline>
              </w:drawing>
            </w:r>
          </w:p>
        </w:tc>
        <w:tc>
          <w:tcPr>
            <w:tcW w:w="2524" w:type="pct"/>
            <w:tcBorders>
              <w:tl2br w:val="nil"/>
              <w:tr2bl w:val="nil"/>
            </w:tcBorders>
            <w:noWrap w:val="0"/>
            <w:vAlign w:val="center"/>
          </w:tcPr>
          <w:p w14:paraId="6E2E93CF">
            <w:pPr>
              <w:keepNext w:val="0"/>
              <w:keepLines w:val="0"/>
              <w:suppressLineNumbers w:val="0"/>
              <w:bidi w:val="0"/>
              <w:spacing w:before="0" w:beforeAutospacing="0" w:after="0" w:afterAutospacing="0"/>
              <w:ind w:left="0" w:leftChars="0" w:right="0"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drawing>
                <wp:inline distT="0" distB="0" distL="114300" distR="114300">
                  <wp:extent cx="2975610" cy="2021840"/>
                  <wp:effectExtent l="0" t="0" r="15240" b="16510"/>
                  <wp:docPr id="64" name="图片 64" descr="K11+800~K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K11+800~K12+000"/>
                          <pic:cNvPicPr>
                            <a:picLocks noChangeAspect="1"/>
                          </pic:cNvPicPr>
                        </pic:nvPicPr>
                        <pic:blipFill>
                          <a:blip r:embed="rId31"/>
                          <a:stretch>
                            <a:fillRect/>
                          </a:stretch>
                        </pic:blipFill>
                        <pic:spPr>
                          <a:xfrm>
                            <a:off x="0" y="0"/>
                            <a:ext cx="2975610" cy="2021840"/>
                          </a:xfrm>
                          <a:prstGeom prst="rect">
                            <a:avLst/>
                          </a:prstGeom>
                        </pic:spPr>
                      </pic:pic>
                    </a:graphicData>
                  </a:graphic>
                </wp:inline>
              </w:drawing>
            </w:r>
          </w:p>
        </w:tc>
      </w:tr>
      <w:tr w14:paraId="49DD9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000" w:type="pct"/>
            <w:gridSpan w:val="2"/>
            <w:tcBorders>
              <w:tl2br w:val="nil"/>
              <w:tr2bl w:val="nil"/>
            </w:tcBorders>
            <w:noWrap w:val="0"/>
            <w:vAlign w:val="center"/>
          </w:tcPr>
          <w:p w14:paraId="482CB195">
            <w:pPr>
              <w:keepNext w:val="0"/>
              <w:keepLines w:val="0"/>
              <w:suppressLineNumbers w:val="0"/>
              <w:bidi w:val="0"/>
              <w:spacing w:before="0" w:beforeAutospacing="0" w:after="0" w:afterAutospacing="0"/>
              <w:ind w:left="0" w:leftChars="0" w:right="0"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t>川口河段原始</w:t>
            </w:r>
            <w:r>
              <w:rPr>
                <w:rFonts w:hint="default" w:ascii="Times New Roman" w:hAnsi="Times New Roman" w:cs="Times New Roman"/>
                <w:b/>
                <w:bCs/>
                <w:color w:val="auto"/>
                <w:highlight w:val="none"/>
                <w:lang w:val="en-US" w:eastAsia="zh-CN"/>
              </w:rPr>
              <w:t>地貌航拍图</w:t>
            </w:r>
            <w:r>
              <w:rPr>
                <w:rFonts w:hint="eastAsia" w:cs="Times New Roman"/>
                <w:b/>
                <w:bCs/>
                <w:color w:val="auto"/>
                <w:highlight w:val="none"/>
                <w:lang w:val="en-US" w:eastAsia="zh-CN"/>
              </w:rPr>
              <w:t>（2025.10.22）</w:t>
            </w:r>
          </w:p>
        </w:tc>
      </w:tr>
      <w:tr w14:paraId="02AE8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4" w:hRule="atLeast"/>
        </w:trPr>
        <w:tc>
          <w:tcPr>
            <w:tcW w:w="2475" w:type="pct"/>
            <w:tcBorders>
              <w:tl2br w:val="nil"/>
              <w:tr2bl w:val="nil"/>
            </w:tcBorders>
            <w:noWrap w:val="0"/>
            <w:vAlign w:val="center"/>
          </w:tcPr>
          <w:p w14:paraId="34CEBC89">
            <w:pPr>
              <w:keepNext w:val="0"/>
              <w:keepLines w:val="0"/>
              <w:suppressLineNumbers w:val="0"/>
              <w:bidi w:val="0"/>
              <w:spacing w:before="0" w:beforeAutospacing="0" w:after="0" w:afterAutospacing="0"/>
              <w:ind w:left="0" w:leftChars="0" w:right="0"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drawing>
                <wp:inline distT="0" distB="0" distL="114300" distR="114300">
                  <wp:extent cx="3183255" cy="2494915"/>
                  <wp:effectExtent l="0" t="0" r="17145" b="635"/>
                  <wp:docPr id="56" name="图片 56" descr="小河砌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小河砌护1"/>
                          <pic:cNvPicPr>
                            <a:picLocks noChangeAspect="1"/>
                          </pic:cNvPicPr>
                        </pic:nvPicPr>
                        <pic:blipFill>
                          <a:blip r:embed="rId32"/>
                          <a:stretch>
                            <a:fillRect/>
                          </a:stretch>
                        </pic:blipFill>
                        <pic:spPr>
                          <a:xfrm>
                            <a:off x="0" y="0"/>
                            <a:ext cx="3183255" cy="2494915"/>
                          </a:xfrm>
                          <a:prstGeom prst="rect">
                            <a:avLst/>
                          </a:prstGeom>
                        </pic:spPr>
                      </pic:pic>
                    </a:graphicData>
                  </a:graphic>
                </wp:inline>
              </w:drawing>
            </w:r>
          </w:p>
        </w:tc>
        <w:tc>
          <w:tcPr>
            <w:tcW w:w="2524" w:type="pct"/>
            <w:tcBorders>
              <w:tl2br w:val="nil"/>
              <w:tr2bl w:val="nil"/>
            </w:tcBorders>
            <w:noWrap w:val="0"/>
            <w:vAlign w:val="center"/>
          </w:tcPr>
          <w:p w14:paraId="6822AC4D">
            <w:pPr>
              <w:keepNext w:val="0"/>
              <w:keepLines w:val="0"/>
              <w:suppressLineNumbers w:val="0"/>
              <w:bidi w:val="0"/>
              <w:spacing w:before="0" w:beforeAutospacing="0" w:after="0" w:afterAutospacing="0"/>
              <w:ind w:left="0" w:leftChars="0" w:right="0" w:firstLine="0" w:firstLineChars="0"/>
              <w:jc w:val="center"/>
              <w:rPr>
                <w:rFonts w:hint="eastAsia" w:cs="Times New Roman"/>
                <w:b/>
                <w:bCs/>
                <w:color w:val="auto"/>
                <w:highlight w:val="none"/>
                <w:lang w:val="en-US" w:eastAsia="zh-CN"/>
              </w:rPr>
            </w:pPr>
            <w:r>
              <w:rPr>
                <w:rFonts w:hint="default" w:ascii="Times New Roman" w:hAnsi="Times New Roman" w:cs="Times New Roman"/>
                <w:b/>
                <w:bCs/>
                <w:color w:val="auto"/>
                <w:highlight w:val="none"/>
                <w:lang w:val="en-US" w:eastAsia="zh-CN"/>
              </w:rPr>
              <w:drawing>
                <wp:inline distT="0" distB="0" distL="114300" distR="114300">
                  <wp:extent cx="3259455" cy="2447290"/>
                  <wp:effectExtent l="0" t="0" r="17145" b="10160"/>
                  <wp:docPr id="59" name="图片 59" descr="小河砌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小河砌护2"/>
                          <pic:cNvPicPr>
                            <a:picLocks noChangeAspect="1"/>
                          </pic:cNvPicPr>
                        </pic:nvPicPr>
                        <pic:blipFill>
                          <a:blip r:embed="rId33"/>
                          <a:stretch>
                            <a:fillRect/>
                          </a:stretch>
                        </pic:blipFill>
                        <pic:spPr>
                          <a:xfrm>
                            <a:off x="0" y="0"/>
                            <a:ext cx="3259455" cy="2447290"/>
                          </a:xfrm>
                          <a:prstGeom prst="rect">
                            <a:avLst/>
                          </a:prstGeom>
                        </pic:spPr>
                      </pic:pic>
                    </a:graphicData>
                  </a:graphic>
                </wp:inline>
              </w:drawing>
            </w:r>
          </w:p>
        </w:tc>
      </w:tr>
      <w:tr w14:paraId="6522C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tcBorders>
              <w:tl2br w:val="nil"/>
              <w:tr2bl w:val="nil"/>
            </w:tcBorders>
            <w:noWrap w:val="0"/>
            <w:vAlign w:val="center"/>
          </w:tcPr>
          <w:p w14:paraId="2C11FEC4">
            <w:pPr>
              <w:keepNext w:val="0"/>
              <w:keepLines w:val="0"/>
              <w:suppressLineNumbers w:val="0"/>
              <w:bidi w:val="0"/>
              <w:spacing w:before="0" w:beforeAutospacing="0" w:after="0" w:afterAutospacing="0"/>
              <w:ind w:left="0" w:leftChars="0" w:right="0" w:firstLine="0" w:firstLineChars="0"/>
              <w:jc w:val="center"/>
              <w:rPr>
                <w:rFonts w:hint="eastAsia" w:cs="Times New Roman"/>
                <w:b/>
                <w:bCs/>
                <w:color w:val="auto"/>
                <w:highlight w:val="none"/>
                <w:lang w:val="en-US" w:eastAsia="zh-CN"/>
              </w:rPr>
            </w:pPr>
            <w:r>
              <w:rPr>
                <w:rFonts w:hint="default" w:ascii="Times New Roman" w:hAnsi="Times New Roman" w:cs="Times New Roman"/>
                <w:b/>
                <w:bCs/>
                <w:color w:val="auto"/>
                <w:highlight w:val="none"/>
                <w:lang w:val="en-US" w:eastAsia="zh-CN"/>
              </w:rPr>
              <w:drawing>
                <wp:inline distT="0" distB="0" distL="114300" distR="114300">
                  <wp:extent cx="5578475" cy="2661920"/>
                  <wp:effectExtent l="0" t="0" r="3175" b="5080"/>
                  <wp:docPr id="70" name="图片 70" descr="小河检修道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小河检修道路2"/>
                          <pic:cNvPicPr>
                            <a:picLocks noChangeAspect="1"/>
                          </pic:cNvPicPr>
                        </pic:nvPicPr>
                        <pic:blipFill>
                          <a:blip r:embed="rId34"/>
                          <a:stretch>
                            <a:fillRect/>
                          </a:stretch>
                        </pic:blipFill>
                        <pic:spPr>
                          <a:xfrm>
                            <a:off x="0" y="0"/>
                            <a:ext cx="5578475" cy="2661920"/>
                          </a:xfrm>
                          <a:prstGeom prst="rect">
                            <a:avLst/>
                          </a:prstGeom>
                        </pic:spPr>
                      </pic:pic>
                    </a:graphicData>
                  </a:graphic>
                </wp:inline>
              </w:drawing>
            </w:r>
          </w:p>
        </w:tc>
      </w:tr>
      <w:tr w14:paraId="4BA7E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tcBorders>
              <w:tl2br w:val="nil"/>
              <w:tr2bl w:val="nil"/>
            </w:tcBorders>
            <w:noWrap w:val="0"/>
            <w:vAlign w:val="center"/>
          </w:tcPr>
          <w:p w14:paraId="19034FC5">
            <w:pPr>
              <w:keepNext w:val="0"/>
              <w:keepLines w:val="0"/>
              <w:suppressLineNumbers w:val="0"/>
              <w:bidi w:val="0"/>
              <w:spacing w:before="0" w:beforeAutospacing="0" w:after="0" w:afterAutospacing="0"/>
              <w:ind w:left="0" w:leftChars="0" w:right="0"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t>小河段原始</w:t>
            </w:r>
            <w:r>
              <w:rPr>
                <w:rFonts w:hint="default" w:ascii="Times New Roman" w:hAnsi="Times New Roman" w:cs="Times New Roman"/>
                <w:b/>
                <w:bCs/>
                <w:color w:val="auto"/>
                <w:highlight w:val="none"/>
                <w:lang w:val="en-US" w:eastAsia="zh-CN"/>
              </w:rPr>
              <w:t>地貌航拍图</w:t>
            </w:r>
            <w:r>
              <w:rPr>
                <w:rFonts w:hint="eastAsia" w:cs="Times New Roman"/>
                <w:b/>
                <w:bCs/>
                <w:color w:val="auto"/>
                <w:highlight w:val="none"/>
                <w:lang w:val="en-US" w:eastAsia="zh-CN"/>
              </w:rPr>
              <w:t>（2025.10.22）</w:t>
            </w:r>
          </w:p>
        </w:tc>
      </w:tr>
      <w:tr w14:paraId="41593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5" w:type="pct"/>
            <w:tcBorders>
              <w:tl2br w:val="nil"/>
              <w:tr2bl w:val="nil"/>
            </w:tcBorders>
            <w:noWrap w:val="0"/>
            <w:vAlign w:val="center"/>
          </w:tcPr>
          <w:p w14:paraId="44358462">
            <w:pPr>
              <w:keepNext w:val="0"/>
              <w:keepLines w:val="0"/>
              <w:suppressLineNumbers w:val="0"/>
              <w:bidi w:val="0"/>
              <w:spacing w:before="0" w:beforeAutospacing="0" w:after="0" w:afterAutospacing="0"/>
              <w:ind w:left="0" w:leftChars="0" w:right="0" w:firstLine="0" w:firstLineChars="0"/>
              <w:jc w:val="center"/>
              <w:rPr>
                <w:rFonts w:hint="eastAsia"/>
                <w:color w:val="auto"/>
                <w:highlight w:val="none"/>
                <w:lang w:val="en-US" w:eastAsia="zh-CN"/>
              </w:rPr>
            </w:pPr>
            <w:r>
              <w:rPr>
                <w:rFonts w:hint="default"/>
                <w:color w:val="auto"/>
                <w:highlight w:val="none"/>
              </w:rPr>
              <w:drawing>
                <wp:inline distT="0" distB="0" distL="114300" distR="114300">
                  <wp:extent cx="3108960" cy="2381885"/>
                  <wp:effectExtent l="0" t="0" r="15240" b="18415"/>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35"/>
                          <a:stretch>
                            <a:fillRect/>
                          </a:stretch>
                        </pic:blipFill>
                        <pic:spPr>
                          <a:xfrm>
                            <a:off x="0" y="0"/>
                            <a:ext cx="3108960" cy="2381885"/>
                          </a:xfrm>
                          <a:prstGeom prst="rect">
                            <a:avLst/>
                          </a:prstGeom>
                          <a:noFill/>
                          <a:ln>
                            <a:noFill/>
                          </a:ln>
                        </pic:spPr>
                      </pic:pic>
                    </a:graphicData>
                  </a:graphic>
                </wp:inline>
              </w:drawing>
            </w:r>
          </w:p>
        </w:tc>
        <w:tc>
          <w:tcPr>
            <w:tcW w:w="2524" w:type="pct"/>
            <w:tcBorders>
              <w:tl2br w:val="nil"/>
              <w:tr2bl w:val="nil"/>
            </w:tcBorders>
            <w:noWrap w:val="0"/>
            <w:vAlign w:val="center"/>
          </w:tcPr>
          <w:p w14:paraId="3757FAB3">
            <w:pPr>
              <w:keepNext w:val="0"/>
              <w:keepLines w:val="0"/>
              <w:suppressLineNumbers w:val="0"/>
              <w:bidi w:val="0"/>
              <w:spacing w:before="0" w:beforeAutospacing="0" w:after="0" w:afterAutospacing="0"/>
              <w:ind w:left="0" w:leftChars="0" w:right="0" w:firstLine="0" w:firstLineChars="0"/>
              <w:jc w:val="center"/>
              <w:rPr>
                <w:rFonts w:hint="default"/>
                <w:color w:val="auto"/>
                <w:highlight w:val="none"/>
              </w:rPr>
            </w:pPr>
            <w:r>
              <w:rPr>
                <w:rFonts w:hint="default"/>
                <w:color w:val="auto"/>
                <w:highlight w:val="none"/>
              </w:rPr>
              <w:drawing>
                <wp:inline distT="0" distB="0" distL="114300" distR="114300">
                  <wp:extent cx="3185795" cy="2296795"/>
                  <wp:effectExtent l="0" t="0" r="14605" b="8255"/>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36"/>
                          <a:stretch>
                            <a:fillRect/>
                          </a:stretch>
                        </pic:blipFill>
                        <pic:spPr>
                          <a:xfrm>
                            <a:off x="0" y="0"/>
                            <a:ext cx="3185795" cy="2296795"/>
                          </a:xfrm>
                          <a:prstGeom prst="rect">
                            <a:avLst/>
                          </a:prstGeom>
                          <a:noFill/>
                          <a:ln>
                            <a:noFill/>
                          </a:ln>
                        </pic:spPr>
                      </pic:pic>
                    </a:graphicData>
                  </a:graphic>
                </wp:inline>
              </w:drawing>
            </w:r>
          </w:p>
        </w:tc>
      </w:tr>
      <w:tr w14:paraId="5698E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tcBorders>
              <w:tl2br w:val="nil"/>
              <w:tr2bl w:val="nil"/>
            </w:tcBorders>
            <w:noWrap w:val="0"/>
            <w:vAlign w:val="center"/>
          </w:tcPr>
          <w:p w14:paraId="3F2CBEC9">
            <w:pPr>
              <w:keepNext w:val="0"/>
              <w:keepLines w:val="0"/>
              <w:suppressLineNumbers w:val="0"/>
              <w:bidi w:val="0"/>
              <w:spacing w:before="0" w:beforeAutospacing="0" w:after="0" w:afterAutospacing="0"/>
              <w:ind w:left="0" w:right="0"/>
              <w:jc w:val="center"/>
              <w:rPr>
                <w:rFonts w:hint="eastAsia" w:cs="Times New Roman"/>
                <w:b/>
                <w:bCs/>
                <w:color w:val="auto"/>
                <w:highlight w:val="none"/>
                <w:lang w:val="en-US" w:eastAsia="zh-CN"/>
              </w:rPr>
            </w:pPr>
            <w:r>
              <w:rPr>
                <w:rFonts w:hint="eastAsia" w:cs="Times New Roman"/>
                <w:b/>
                <w:bCs/>
                <w:color w:val="auto"/>
                <w:highlight w:val="none"/>
                <w:lang w:val="en-US" w:eastAsia="zh-CN"/>
              </w:rPr>
              <w:t>清淤区原始</w:t>
            </w:r>
            <w:r>
              <w:rPr>
                <w:rFonts w:hint="default" w:ascii="Times New Roman" w:hAnsi="Times New Roman" w:cs="Times New Roman"/>
                <w:b/>
                <w:bCs/>
                <w:color w:val="auto"/>
                <w:highlight w:val="none"/>
                <w:lang w:val="en-US" w:eastAsia="zh-CN"/>
              </w:rPr>
              <w:t>地貌航拍图</w:t>
            </w:r>
            <w:r>
              <w:rPr>
                <w:rFonts w:hint="eastAsia" w:cs="Times New Roman"/>
                <w:b/>
                <w:bCs/>
                <w:color w:val="auto"/>
                <w:highlight w:val="none"/>
                <w:lang w:val="en-US" w:eastAsia="zh-CN"/>
              </w:rPr>
              <w:t>（2025.10.22）</w:t>
            </w:r>
          </w:p>
        </w:tc>
      </w:tr>
    </w:tbl>
    <w:p w14:paraId="31F8AE63">
      <w:pPr>
        <w:pStyle w:val="6"/>
        <w:bidi w:val="0"/>
        <w:rPr>
          <w:rFonts w:hint="default"/>
          <w:color w:val="auto"/>
          <w:highlight w:val="none"/>
          <w:lang w:val="en-US" w:eastAsia="zh-CN"/>
        </w:rPr>
      </w:pPr>
      <w:bookmarkStart w:id="2661" w:name="_Toc14220"/>
      <w:r>
        <w:rPr>
          <w:rFonts w:hint="eastAsia"/>
          <w:color w:val="auto"/>
          <w:highlight w:val="none"/>
          <w:lang w:val="en-US" w:eastAsia="zh-CN"/>
        </w:rPr>
        <w:t>2.1.2存在的问题</w:t>
      </w:r>
      <w:bookmarkEnd w:id="2661"/>
    </w:p>
    <w:p w14:paraId="4B397A1D">
      <w:pPr>
        <w:spacing w:line="360" w:lineRule="auto"/>
        <w:ind w:firstLine="482" w:firstLineChars="200"/>
        <w:outlineLvl w:val="9"/>
        <w:rPr>
          <w:b/>
          <w:color w:val="auto"/>
          <w:sz w:val="24"/>
          <w:highlight w:val="none"/>
        </w:rPr>
      </w:pPr>
      <w:bookmarkStart w:id="2662" w:name="_Toc205565931"/>
      <w:r>
        <w:rPr>
          <w:rFonts w:hint="eastAsia"/>
          <w:b/>
          <w:color w:val="auto"/>
          <w:sz w:val="24"/>
          <w:highlight w:val="none"/>
          <w:lang w:val="en-US" w:eastAsia="zh-CN"/>
        </w:rPr>
        <w:t>1.</w:t>
      </w:r>
      <w:r>
        <w:rPr>
          <w:b/>
          <w:color w:val="auto"/>
          <w:sz w:val="24"/>
          <w:highlight w:val="none"/>
        </w:rPr>
        <w:t>小河及川口河</w:t>
      </w:r>
      <w:bookmarkEnd w:id="2662"/>
    </w:p>
    <w:p w14:paraId="536E93E6">
      <w:pPr>
        <w:spacing w:line="360" w:lineRule="auto"/>
        <w:ind w:firstLine="480" w:firstLineChars="200"/>
        <w:outlineLvl w:val="9"/>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洪水冲刷造成岸坡坍塌。主要发生在岸坡陡峭，河道紧邻岸坡地段。由于岸坡坍塌，一方面造成严重的水土流失，致使下游河道泥沙淤积严重，河道淤塞，行洪能力减弱，易泛滥成灾；另一方面造成耕地减少。</w:t>
      </w:r>
    </w:p>
    <w:p w14:paraId="049887B0">
      <w:pPr>
        <w:spacing w:line="360" w:lineRule="auto"/>
        <w:ind w:firstLine="480" w:firstLineChars="200"/>
        <w:outlineLvl w:val="9"/>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部分河段顶冲部位存在冲刷现象。</w:t>
      </w:r>
    </w:p>
    <w:p w14:paraId="01569D8B">
      <w:pPr>
        <w:spacing w:line="360" w:lineRule="auto"/>
        <w:ind w:firstLine="480" w:firstLineChars="200"/>
        <w:outlineLvl w:val="9"/>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（3）部分河道已建过水路面简易，损坏严重，已无法正常使用。</w:t>
      </w:r>
    </w:p>
    <w:p w14:paraId="721237D1">
      <w:pPr>
        <w:spacing w:line="360" w:lineRule="auto"/>
        <w:ind w:firstLine="480" w:firstLineChars="200"/>
        <w:outlineLvl w:val="9"/>
        <w:rPr>
          <w:rFonts w:ascii="Times New Roman" w:hAnsi="Times New Roman" w:eastAsia="宋体" w:cs="Times New Roman"/>
          <w:color w:val="auto"/>
          <w:sz w:val="24"/>
          <w:highlight w:val="none"/>
        </w:rPr>
      </w:pPr>
    </w:p>
    <w:p w14:paraId="7B662970">
      <w:pPr>
        <w:pStyle w:val="30"/>
        <w:spacing w:after="0" w:line="360" w:lineRule="auto"/>
        <w:ind w:left="630" w:firstLine="0" w:firstLineChars="0"/>
        <w:outlineLvl w:val="9"/>
        <w:rPr>
          <w:color w:val="auto"/>
          <w:sz w:val="24"/>
          <w:highlight w:val="none"/>
        </w:rPr>
      </w:pPr>
      <w:r>
        <w:rPr>
          <w:color w:val="auto"/>
          <w:sz w:val="24"/>
          <w:highlight w:val="none"/>
        </w:rPr>
        <w:t>（4）部分河道淤积严重。</w:t>
      </w:r>
    </w:p>
    <w:p w14:paraId="6BAD4D65">
      <w:pPr>
        <w:spacing w:line="360" w:lineRule="auto"/>
        <w:ind w:firstLine="482" w:firstLineChars="200"/>
        <w:outlineLvl w:val="9"/>
        <w:rPr>
          <w:b/>
          <w:bCs/>
          <w:color w:val="auto"/>
          <w:sz w:val="24"/>
          <w:highlight w:val="none"/>
        </w:rPr>
      </w:pPr>
      <w:bookmarkStart w:id="2663" w:name="_Toc205565932"/>
      <w:r>
        <w:rPr>
          <w:rFonts w:hint="eastAsia"/>
          <w:b/>
          <w:bCs/>
          <w:color w:val="auto"/>
          <w:sz w:val="24"/>
          <w:highlight w:val="none"/>
          <w:lang w:val="en-US" w:eastAsia="zh-CN"/>
        </w:rPr>
        <w:t>2.</w:t>
      </w:r>
      <w:r>
        <w:rPr>
          <w:b/>
          <w:bCs/>
          <w:color w:val="auto"/>
          <w:sz w:val="24"/>
          <w:highlight w:val="none"/>
        </w:rPr>
        <w:t>石头崾岘水库</w:t>
      </w:r>
      <w:bookmarkEnd w:id="2663"/>
    </w:p>
    <w:p w14:paraId="0835D96F">
      <w:pPr>
        <w:spacing w:line="360" w:lineRule="auto"/>
        <w:ind w:firstLine="480" w:firstLineChars="200"/>
        <w:outlineLvl w:val="9"/>
        <w:rPr>
          <w:color w:val="auto"/>
          <w:sz w:val="24"/>
          <w:highlight w:val="none"/>
        </w:rPr>
      </w:pPr>
      <w:r>
        <w:rPr>
          <w:color w:val="auto"/>
          <w:sz w:val="24"/>
          <w:highlight w:val="none"/>
        </w:rPr>
        <w:t>（</w:t>
      </w:r>
      <w:r>
        <w:rPr>
          <w:rFonts w:hint="eastAsia"/>
          <w:color w:val="auto"/>
          <w:sz w:val="24"/>
          <w:highlight w:val="none"/>
          <w:lang w:val="en-US" w:eastAsia="zh-CN"/>
        </w:rPr>
        <w:t>1</w:t>
      </w:r>
      <w:r>
        <w:rPr>
          <w:color w:val="auto"/>
          <w:sz w:val="24"/>
          <w:highlight w:val="none"/>
        </w:rPr>
        <w:t>）石头崾岘水库为中型水库，设计标准为50年一遇，校核洪水标准为1000年一遇，水库承担着下游县城的防洪安全，经过多年运行，水库泥沙淤积严重，水库已淤积913.80万m</w:t>
      </w:r>
      <w:r>
        <w:rPr>
          <w:color w:val="auto"/>
          <w:sz w:val="24"/>
          <w:highlight w:val="none"/>
          <w:vertAlign w:val="superscript"/>
        </w:rPr>
        <w:t>3</w:t>
      </w:r>
      <w:r>
        <w:rPr>
          <w:color w:val="auto"/>
          <w:sz w:val="24"/>
          <w:highlight w:val="none"/>
        </w:rPr>
        <w:t>，占水库总库容1400万m</w:t>
      </w:r>
      <w:r>
        <w:rPr>
          <w:color w:val="auto"/>
          <w:sz w:val="24"/>
          <w:highlight w:val="none"/>
          <w:vertAlign w:val="superscript"/>
        </w:rPr>
        <w:t>3</w:t>
      </w:r>
      <w:r>
        <w:rPr>
          <w:color w:val="auto"/>
          <w:sz w:val="24"/>
          <w:highlight w:val="none"/>
        </w:rPr>
        <w:t>的65.27%，淤泥面抬升导致水库兴利库容、防洪库容减少，进而影响下游两岸群众、耕地及交通等设施防洪安全，受地形条件限制，水库目前已无加坝条件。</w:t>
      </w:r>
    </w:p>
    <w:p w14:paraId="3B8CE59D">
      <w:pPr>
        <w:spacing w:line="360" w:lineRule="auto"/>
        <w:ind w:firstLine="480" w:firstLineChars="200"/>
        <w:outlineLvl w:val="9"/>
        <w:rPr>
          <w:color w:val="auto"/>
          <w:sz w:val="24"/>
          <w:highlight w:val="none"/>
        </w:rPr>
      </w:pPr>
      <w:r>
        <w:rPr>
          <w:color w:val="auto"/>
          <w:sz w:val="24"/>
          <w:highlight w:val="none"/>
        </w:rPr>
        <w:t>（</w:t>
      </w:r>
      <w:r>
        <w:rPr>
          <w:rFonts w:hint="eastAsia"/>
          <w:color w:val="auto"/>
          <w:sz w:val="24"/>
          <w:highlight w:val="none"/>
          <w:lang w:val="en-US" w:eastAsia="zh-CN"/>
        </w:rPr>
        <w:t>2</w:t>
      </w:r>
      <w:r>
        <w:rPr>
          <w:color w:val="auto"/>
          <w:sz w:val="24"/>
          <w:highlight w:val="none"/>
        </w:rPr>
        <w:t>）水库淤积导致兴利库容的减少，下游灌溉面积已由原设计的4.46万亩锐减到2.5万亩，减少了45%，导致水库灌溉面积大范围缩减，部分区域已由昔日的水浇地变成了如今的旱地，灌溉效益明显降低，粮食减产，从而影响当地群众的收入水平。</w:t>
      </w:r>
    </w:p>
    <w:p w14:paraId="6043AA64">
      <w:pPr>
        <w:pStyle w:val="30"/>
        <w:spacing w:after="0" w:line="360" w:lineRule="auto"/>
        <w:ind w:firstLine="357" w:firstLineChars="149"/>
        <w:outlineLvl w:val="9"/>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由于水库淤积严重，有效库容减少，大部分当地地表水汛期不敢蓄，白白流走，近年来随着彭阳县经济社会的快速发展，工业用水需求激增，而外调水价高量少，不能满足日益增长的工业用水需求，用水矛盾日益凸显。</w:t>
      </w:r>
    </w:p>
    <w:p w14:paraId="731215FA">
      <w:pPr>
        <w:pStyle w:val="4"/>
        <w:rPr>
          <w:rFonts w:hint="default" w:ascii="Times New Roman" w:hAnsi="Times New Roman" w:cs="Times New Roman"/>
          <w:color w:val="auto"/>
          <w:sz w:val="28"/>
          <w:szCs w:val="28"/>
          <w:highlight w:val="none"/>
        </w:rPr>
      </w:pPr>
      <w:bookmarkStart w:id="2664" w:name="_Toc5712"/>
      <w:bookmarkStart w:id="2665" w:name="_Toc29369"/>
      <w:r>
        <w:rPr>
          <w:rFonts w:hint="eastAsia" w:cs="Times New Roman"/>
          <w:color w:val="auto"/>
          <w:sz w:val="28"/>
          <w:szCs w:val="28"/>
          <w:highlight w:val="none"/>
          <w:lang w:val="en-US" w:eastAsia="zh-CN"/>
        </w:rPr>
        <w:t>2.2</w:t>
      </w:r>
      <w:r>
        <w:rPr>
          <w:rFonts w:hint="default" w:ascii="Times New Roman" w:hAnsi="Times New Roman" w:cs="Times New Roman"/>
          <w:color w:val="auto"/>
          <w:sz w:val="28"/>
          <w:szCs w:val="28"/>
          <w:highlight w:val="none"/>
        </w:rPr>
        <w:t>工程基本情况</w:t>
      </w:r>
      <w:bookmarkEnd w:id="2664"/>
      <w:bookmarkEnd w:id="2665"/>
    </w:p>
    <w:p w14:paraId="30108065">
      <w:pPr>
        <w:jc w:val="both"/>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cs="Times New Roman"/>
          <w:snapToGrid w:val="0"/>
          <w:color w:val="auto"/>
          <w:sz w:val="24"/>
          <w:szCs w:val="24"/>
          <w:highlight w:val="none"/>
        </w:rPr>
        <w:t>项目名称：</w:t>
      </w:r>
      <w:r>
        <w:rPr>
          <w:rFonts w:hint="default" w:ascii="Times New Roman" w:hAnsi="Times New Roman" w:cs="Times New Roman"/>
          <w:snapToGrid w:val="0"/>
          <w:color w:val="auto"/>
          <w:sz w:val="24"/>
          <w:szCs w:val="24"/>
          <w:highlight w:val="none"/>
          <w:lang w:eastAsia="zh-CN"/>
        </w:rPr>
        <w:t>茹河支流河道生态综合治理项目（红茹河土地综合整治单元）—彭阳县茹河（小河段）河道治理工程</w:t>
      </w:r>
    </w:p>
    <w:p w14:paraId="4AA9CCF9">
      <w:pPr>
        <w:jc w:val="both"/>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建设单位：彭阳县水务局</w:t>
      </w:r>
    </w:p>
    <w:p w14:paraId="074578E2">
      <w:pPr>
        <w:jc w:val="both"/>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建设性质：新建</w:t>
      </w:r>
    </w:p>
    <w:p w14:paraId="5EE02F45">
      <w:pPr>
        <w:jc w:val="both"/>
        <w:rPr>
          <w:rFonts w:hint="default" w:ascii="Times New Roman" w:hAnsi="Times New Roman" w:eastAsia="宋体" w:cs="Times New Roman"/>
          <w:snapToGrid w:val="0"/>
          <w:color w:val="auto"/>
          <w:sz w:val="24"/>
          <w:szCs w:val="24"/>
          <w:highlight w:val="none"/>
          <w:lang w:eastAsia="zh-CN"/>
        </w:rPr>
      </w:pPr>
      <w:r>
        <w:rPr>
          <w:rFonts w:hint="default" w:ascii="Times New Roman" w:hAnsi="Times New Roman" w:cs="Times New Roman"/>
          <w:snapToGrid w:val="0"/>
          <w:color w:val="auto"/>
          <w:sz w:val="24"/>
          <w:szCs w:val="24"/>
          <w:highlight w:val="none"/>
        </w:rPr>
        <w:t>建设地点：</w:t>
      </w:r>
      <w:r>
        <w:rPr>
          <w:rFonts w:hint="eastAsia" w:cs="Times New Roman"/>
          <w:color w:val="auto"/>
          <w:highlight w:val="none"/>
          <w:lang w:eastAsia="zh-CN"/>
        </w:rPr>
        <w:t>工程区域</w:t>
      </w:r>
      <w:r>
        <w:rPr>
          <w:rFonts w:hint="default" w:ascii="Times New Roman" w:hAnsi="Times New Roman" w:cs="Times New Roman"/>
          <w:color w:val="auto"/>
          <w:highlight w:val="none"/>
        </w:rPr>
        <w:t>位于彭阳县古城镇和白阳镇</w:t>
      </w:r>
      <w:r>
        <w:rPr>
          <w:rFonts w:hint="default" w:ascii="Times New Roman" w:hAnsi="Times New Roman" w:cs="Times New Roman"/>
          <w:snapToGrid w:val="0"/>
          <w:color w:val="auto"/>
          <w:sz w:val="24"/>
          <w:szCs w:val="24"/>
          <w:highlight w:val="none"/>
          <w:lang w:eastAsia="zh-CN"/>
        </w:rPr>
        <w:t>。</w:t>
      </w:r>
    </w:p>
    <w:p w14:paraId="2F54D34C">
      <w:pPr>
        <w:jc w:val="both"/>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项目总投资：投资估算总额为</w:t>
      </w:r>
      <w:r>
        <w:rPr>
          <w:rFonts w:hint="default" w:ascii="Times New Roman" w:hAnsi="Times New Roman" w:cs="Times New Roman"/>
          <w:snapToGrid w:val="0"/>
          <w:color w:val="auto"/>
          <w:sz w:val="24"/>
          <w:szCs w:val="24"/>
          <w:highlight w:val="none"/>
          <w:lang w:val="en-US" w:eastAsia="zh-CN"/>
        </w:rPr>
        <w:t>6500</w:t>
      </w:r>
      <w:r>
        <w:rPr>
          <w:rFonts w:hint="default" w:ascii="Times New Roman" w:hAnsi="Times New Roman" w:cs="Times New Roman"/>
          <w:snapToGrid w:val="0"/>
          <w:color w:val="auto"/>
          <w:sz w:val="24"/>
          <w:szCs w:val="24"/>
          <w:highlight w:val="none"/>
        </w:rPr>
        <w:t>万元</w:t>
      </w:r>
      <w:r>
        <w:rPr>
          <w:rFonts w:hint="eastAsia" w:ascii="Times New Roman" w:hAnsi="Times New Roman"/>
          <w:color w:val="auto"/>
          <w:highlight w:val="none"/>
          <w:lang w:eastAsia="zh-CN"/>
        </w:rPr>
        <w:t>，其中</w:t>
      </w:r>
      <w:r>
        <w:rPr>
          <w:rFonts w:hint="eastAsia" w:ascii="Times New Roman" w:hAnsi="Times New Roman"/>
          <w:color w:val="auto"/>
          <w:highlight w:val="none"/>
        </w:rPr>
        <w:t>一期</w:t>
      </w:r>
      <w:r>
        <w:rPr>
          <w:rFonts w:hint="eastAsia" w:ascii="Times New Roman" w:hAnsi="Times New Roman"/>
          <w:color w:val="auto"/>
          <w:highlight w:val="none"/>
          <w:lang w:eastAsia="zh-CN"/>
        </w:rPr>
        <w:t>投资</w:t>
      </w:r>
      <w:r>
        <w:rPr>
          <w:rFonts w:hint="eastAsia" w:ascii="Times New Roman" w:hAnsi="Times New Roman"/>
          <w:color w:val="auto"/>
          <w:highlight w:val="none"/>
        </w:rPr>
        <w:t>22</w:t>
      </w:r>
      <w:r>
        <w:rPr>
          <w:rFonts w:hint="eastAsia" w:ascii="Times New Roman" w:hAnsi="Times New Roman"/>
          <w:color w:val="auto"/>
          <w:highlight w:val="none"/>
          <w:lang w:val="en-US" w:eastAsia="zh-CN"/>
        </w:rPr>
        <w:t>58.35</w:t>
      </w:r>
      <w:r>
        <w:rPr>
          <w:rFonts w:hint="eastAsia" w:ascii="Times New Roman" w:hAnsi="Times New Roman"/>
          <w:color w:val="auto"/>
          <w:highlight w:val="none"/>
        </w:rPr>
        <w:t>万元，二期</w:t>
      </w:r>
      <w:r>
        <w:rPr>
          <w:rFonts w:hint="eastAsia" w:ascii="Times New Roman" w:hAnsi="Times New Roman"/>
          <w:color w:val="auto"/>
          <w:highlight w:val="none"/>
          <w:lang w:eastAsia="zh-CN"/>
        </w:rPr>
        <w:t>投资</w:t>
      </w:r>
      <w:r>
        <w:rPr>
          <w:rFonts w:hint="eastAsia" w:ascii="Times New Roman" w:hAnsi="Times New Roman"/>
          <w:color w:val="auto"/>
          <w:highlight w:val="none"/>
        </w:rPr>
        <w:t>42</w:t>
      </w:r>
      <w:r>
        <w:rPr>
          <w:rFonts w:hint="eastAsia" w:ascii="Times New Roman" w:hAnsi="Times New Roman"/>
          <w:color w:val="auto"/>
          <w:highlight w:val="none"/>
          <w:lang w:val="en-US" w:eastAsia="zh-CN"/>
        </w:rPr>
        <w:t>41.65</w:t>
      </w:r>
      <w:r>
        <w:rPr>
          <w:rFonts w:hint="eastAsia" w:ascii="Times New Roman" w:hAnsi="Times New Roman"/>
          <w:color w:val="auto"/>
          <w:highlight w:val="none"/>
        </w:rPr>
        <w:t>万元</w:t>
      </w:r>
      <w:r>
        <w:rPr>
          <w:rFonts w:hint="default" w:ascii="Times New Roman" w:hAnsi="Times New Roman" w:cs="Times New Roman"/>
          <w:snapToGrid w:val="0"/>
          <w:color w:val="auto"/>
          <w:sz w:val="24"/>
          <w:szCs w:val="24"/>
          <w:highlight w:val="none"/>
        </w:rPr>
        <w:t>。</w:t>
      </w:r>
    </w:p>
    <w:p w14:paraId="5D0662BC">
      <w:pPr>
        <w:pStyle w:val="4"/>
        <w:rPr>
          <w:rFonts w:hint="default" w:ascii="Times New Roman" w:hAnsi="Times New Roman" w:cs="Times New Roman"/>
          <w:color w:val="auto"/>
          <w:sz w:val="28"/>
          <w:szCs w:val="28"/>
          <w:highlight w:val="none"/>
        </w:rPr>
      </w:pPr>
      <w:bookmarkStart w:id="2666" w:name="_Toc15209"/>
      <w:bookmarkStart w:id="2667" w:name="_Toc1721"/>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工程任务与规模</w:t>
      </w:r>
      <w:bookmarkEnd w:id="2658"/>
      <w:bookmarkEnd w:id="2659"/>
      <w:bookmarkEnd w:id="2666"/>
      <w:bookmarkEnd w:id="2667"/>
    </w:p>
    <w:p w14:paraId="4D3A2AF5">
      <w:pPr>
        <w:pStyle w:val="6"/>
        <w:rPr>
          <w:rFonts w:hint="default" w:ascii="Times New Roman" w:hAnsi="Times New Roman" w:cs="Times New Roman"/>
          <w:color w:val="auto"/>
          <w:sz w:val="28"/>
          <w:szCs w:val="28"/>
          <w:highlight w:val="none"/>
        </w:rPr>
      </w:pPr>
      <w:bookmarkStart w:id="2668" w:name="_Toc4445"/>
      <w:bookmarkStart w:id="2669" w:name="_Toc22880"/>
      <w:bookmarkStart w:id="2670" w:name="_Toc29513"/>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.1工程任务</w:t>
      </w:r>
      <w:bookmarkEnd w:id="2668"/>
      <w:bookmarkEnd w:id="2669"/>
      <w:bookmarkEnd w:id="2670"/>
    </w:p>
    <w:p w14:paraId="7D94FF2F">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.1.1主要任务</w:t>
      </w:r>
    </w:p>
    <w:p w14:paraId="50E29339">
      <w:pPr>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w:t>
      </w:r>
      <w:r>
        <w:rPr>
          <w:rFonts w:hint="eastAsia" w:cs="Times New Roman"/>
          <w:color w:val="auto"/>
          <w:sz w:val="24"/>
          <w:highlight w:val="none"/>
          <w:lang w:eastAsia="zh-CN"/>
        </w:rPr>
        <w:t>次</w:t>
      </w:r>
      <w:r>
        <w:rPr>
          <w:rFonts w:hint="default" w:ascii="Times New Roman" w:hAnsi="Times New Roman" w:cs="Times New Roman"/>
          <w:color w:val="auto"/>
          <w:sz w:val="24"/>
          <w:highlight w:val="none"/>
        </w:rPr>
        <w:t>工程的任务是通过对茹河（小河段）综合治理，提高河道防洪减灾能力，改善河道水生态，保护河道岸线，提高河道防洪能力，为建设美丽茹河、生态宜居乡村，改善区域生态环境创造条件。</w:t>
      </w:r>
    </w:p>
    <w:p w14:paraId="5324E0F5">
      <w:pPr>
        <w:pStyle w:val="7"/>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.1.2工程范围</w:t>
      </w:r>
    </w:p>
    <w:p w14:paraId="07BEF70A">
      <w:pPr>
        <w:spacing w:line="336"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kern w:val="0"/>
          <w:sz w:val="24"/>
          <w:szCs w:val="20"/>
          <w:highlight w:val="none"/>
        </w:rPr>
        <w:t>本次工程包括河道治理部分及石头崾岘水库清淤部分。</w:t>
      </w:r>
      <w:r>
        <w:rPr>
          <w:rFonts w:hint="eastAsia" w:cs="Times New Roman"/>
          <w:color w:val="auto"/>
          <w:highlight w:val="none"/>
          <w:lang w:val="en-US" w:eastAsia="zh-CN"/>
        </w:rPr>
        <w:t>治理茹河（小河段）总长25.5km，其中小河河道治理长度12.6km，川口河河道治理长度12.9km。川口河段起点坐标：东经</w:t>
      </w:r>
      <w:r>
        <w:rPr>
          <w:color w:val="auto"/>
          <w:highlight w:val="none"/>
        </w:rPr>
        <w:t>106.423954</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，北纬</w:t>
      </w:r>
      <w:r>
        <w:rPr>
          <w:color w:val="auto"/>
          <w:highlight w:val="none"/>
        </w:rPr>
        <w:t>35.907322</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，终点坐标：东经</w:t>
      </w:r>
      <w:r>
        <w:rPr>
          <w:color w:val="auto"/>
          <w:highlight w:val="none"/>
        </w:rPr>
        <w:t>106.523458</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，北纬</w:t>
      </w:r>
      <w:r>
        <w:rPr>
          <w:color w:val="auto"/>
          <w:highlight w:val="none"/>
        </w:rPr>
        <w:t>35.922246</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；小河段起点坐标：东经</w:t>
      </w:r>
      <w:r>
        <w:rPr>
          <w:color w:val="auto"/>
          <w:highlight w:val="none"/>
        </w:rPr>
        <w:t>106.535657</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，北纬</w:t>
      </w:r>
      <w:r>
        <w:rPr>
          <w:color w:val="auto"/>
          <w:highlight w:val="none"/>
        </w:rPr>
        <w:t>35.911089</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，终点坐标：东经</w:t>
      </w:r>
      <w:r>
        <w:rPr>
          <w:color w:val="auto"/>
          <w:highlight w:val="none"/>
        </w:rPr>
        <w:t>106.641830</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，北纬</w:t>
      </w:r>
      <w:r>
        <w:rPr>
          <w:color w:val="auto"/>
          <w:highlight w:val="none"/>
        </w:rPr>
        <w:t>35.865299</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w:t>
      </w:r>
    </w:p>
    <w:p w14:paraId="22897056">
      <w:pPr>
        <w:pStyle w:val="7"/>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.1.3</w:t>
      </w:r>
      <w:bookmarkStart w:id="2671" w:name="_Toc205565949"/>
      <w:bookmarkStart w:id="2672" w:name="_Toc30162"/>
      <w:bookmarkStart w:id="2673" w:name="_Toc8289"/>
      <w:bookmarkStart w:id="2674" w:name="_Toc27472"/>
      <w:bookmarkStart w:id="2675" w:name="_Toc28487"/>
      <w:r>
        <w:rPr>
          <w:rFonts w:hint="default" w:ascii="Times New Roman" w:hAnsi="Times New Roman" w:eastAsia="宋体" w:cs="Times New Roman"/>
          <w:color w:val="auto"/>
          <w:sz w:val="28"/>
          <w:szCs w:val="28"/>
          <w:highlight w:val="none"/>
        </w:rPr>
        <w:t>工程等别及建筑物级别</w:t>
      </w:r>
      <w:bookmarkEnd w:id="2671"/>
      <w:bookmarkEnd w:id="2672"/>
      <w:bookmarkEnd w:id="2673"/>
    </w:p>
    <w:p w14:paraId="1CAC3705">
      <w:pPr>
        <w:jc w:val="both"/>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依据《防洪标准》（GB50201－2014），本工程防护区为乡村防护区，防护等级为Ⅳ级，防洪标准为20</w:t>
      </w:r>
      <w:r>
        <w:rPr>
          <w:rFonts w:hint="eastAsia"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10年一遇，等别为Ⅴ等，建筑物级别为5级。</w:t>
      </w:r>
    </w:p>
    <w:p w14:paraId="2E5A2DA5">
      <w:pPr>
        <w:jc w:val="both"/>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根据《水利水电工程合理使用年限及耐久性设计规范》（SL 654-2014），本工程永久建筑物合理使用年限为30年。</w:t>
      </w:r>
    </w:p>
    <w:p w14:paraId="7252ABA0">
      <w:pPr>
        <w:pStyle w:val="6"/>
        <w:rPr>
          <w:rFonts w:hint="default" w:ascii="Times New Roman" w:hAnsi="Times New Roman" w:cs="Times New Roman"/>
          <w:color w:val="auto"/>
          <w:sz w:val="28"/>
          <w:szCs w:val="28"/>
          <w:highlight w:val="none"/>
        </w:rPr>
      </w:pPr>
      <w:bookmarkStart w:id="2676" w:name="_Toc9069"/>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.2工程规模</w:t>
      </w:r>
      <w:bookmarkEnd w:id="2674"/>
      <w:bookmarkEnd w:id="2675"/>
      <w:bookmarkEnd w:id="2676"/>
    </w:p>
    <w:p w14:paraId="4EEDBD62">
      <w:pPr>
        <w:pStyle w:val="7"/>
        <w:rPr>
          <w:rFonts w:hint="default" w:ascii="Times New Roman" w:hAnsi="Times New Roman" w:cs="Times New Roman"/>
          <w:color w:val="auto"/>
          <w:highlight w:val="none"/>
        </w:rPr>
      </w:pPr>
      <w:bookmarkStart w:id="2677" w:name="1.4.3设计灌溉面积"/>
      <w:bookmarkEnd w:id="2677"/>
      <w:bookmarkStart w:id="2678" w:name="1.4.4需水量分析及取水指标解决方案"/>
      <w:bookmarkEnd w:id="2678"/>
      <w:bookmarkStart w:id="2679" w:name="1.4.2工程任务"/>
      <w:bookmarkEnd w:id="2679"/>
      <w:bookmarkStart w:id="2680" w:name="_Toc205565939"/>
      <w:bookmarkStart w:id="2681" w:name="_Toc67478384"/>
      <w:r>
        <w:rPr>
          <w:rFonts w:hint="default" w:ascii="Times New Roman" w:hAnsi="Times New Roman" w:cs="Times New Roman"/>
          <w:color w:val="auto"/>
          <w:kern w:val="2"/>
          <w:highlight w:val="none"/>
          <w:lang w:val="en-US" w:eastAsia="zh-CN"/>
        </w:rPr>
        <w:t>2.</w:t>
      </w:r>
      <w:r>
        <w:rPr>
          <w:rFonts w:hint="eastAsia" w:cs="Times New Roman"/>
          <w:color w:val="auto"/>
          <w:kern w:val="2"/>
          <w:highlight w:val="none"/>
          <w:lang w:val="en-US" w:eastAsia="zh-CN"/>
        </w:rPr>
        <w:t>3</w:t>
      </w:r>
      <w:r>
        <w:rPr>
          <w:rFonts w:hint="default" w:ascii="Times New Roman" w:hAnsi="Times New Roman" w:cs="Times New Roman"/>
          <w:color w:val="auto"/>
          <w:kern w:val="2"/>
          <w:highlight w:val="none"/>
          <w:lang w:val="en-US" w:eastAsia="zh-CN"/>
        </w:rPr>
        <w:t>.2.1</w:t>
      </w:r>
      <w:bookmarkEnd w:id="2680"/>
      <w:bookmarkEnd w:id="2681"/>
      <w:bookmarkStart w:id="2682" w:name="OLE_LINK18"/>
      <w:r>
        <w:rPr>
          <w:rFonts w:hint="default" w:ascii="Times New Roman" w:hAnsi="Times New Roman" w:cs="Times New Roman"/>
          <w:color w:val="auto"/>
          <w:highlight w:val="none"/>
        </w:rPr>
        <w:t>一期建设规模</w:t>
      </w:r>
    </w:p>
    <w:p w14:paraId="4EF998D6">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一期工程涉及小河及其支流川口河河道治理，具体规模如下：</w:t>
      </w:r>
    </w:p>
    <w:p w14:paraId="2E8A6CF6">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1.</w:t>
      </w:r>
      <w:r>
        <w:rPr>
          <w:rFonts w:hint="default" w:ascii="Times New Roman" w:hAnsi="Times New Roman" w:cs="Times New Roman"/>
          <w:color w:val="auto"/>
          <w:sz w:val="24"/>
          <w:highlight w:val="none"/>
        </w:rPr>
        <w:t>本次茹河（小河段）治理河道总长25.5km，其中小河河道治理12.6km，川口河河道治理12.9km。</w:t>
      </w:r>
    </w:p>
    <w:p w14:paraId="0E3EA03D">
      <w:pPr>
        <w:spacing w:line="360" w:lineRule="auto"/>
        <w:ind w:firstLine="480" w:firstLineChars="200"/>
        <w:jc w:val="both"/>
        <w:rPr>
          <w:rFonts w:hint="default" w:ascii="Times New Roman" w:hAnsi="Times New Roman" w:cs="Times New Roman"/>
          <w:color w:val="auto"/>
          <w:sz w:val="24"/>
          <w:highlight w:val="none"/>
        </w:rPr>
      </w:pPr>
      <w:r>
        <w:rPr>
          <w:rFonts w:hint="eastAsia" w:cs="Times New Roman"/>
          <w:color w:val="auto"/>
          <w:sz w:val="24"/>
          <w:highlight w:val="none"/>
          <w:lang w:eastAsia="zh-CN"/>
        </w:rPr>
        <w:t>2.</w:t>
      </w:r>
      <w:r>
        <w:rPr>
          <w:rFonts w:hint="default" w:ascii="Times New Roman" w:hAnsi="Times New Roman" w:cs="Times New Roman"/>
          <w:color w:val="auto"/>
          <w:sz w:val="24"/>
          <w:highlight w:val="none"/>
        </w:rPr>
        <w:t>本次茹河（小河段）河道砌护总长12.76km，其中小河河道砌护长1.00km，川口河河道砌护长11.76km。</w:t>
      </w:r>
    </w:p>
    <w:p w14:paraId="5F8931C2">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河道设计流量：</w:t>
      </w:r>
    </w:p>
    <w:p w14:paraId="7436780B">
      <w:pPr>
        <w:pStyle w:val="15"/>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河道10年一遇洪峰流量详</w:t>
      </w:r>
      <w:r>
        <w:rPr>
          <w:rFonts w:hint="default" w:ascii="Times New Roman" w:hAnsi="Times New Roman" w:cs="Times New Roman"/>
          <w:color w:val="auto"/>
          <w:sz w:val="24"/>
          <w:szCs w:val="24"/>
          <w:highlight w:val="none"/>
          <w:lang w:val="en-US" w:eastAsia="zh-CN"/>
        </w:rPr>
        <w:t>表2.2-1</w:t>
      </w:r>
      <w:r>
        <w:rPr>
          <w:rFonts w:hint="default" w:ascii="Times New Roman" w:hAnsi="Times New Roman" w:cs="Times New Roman"/>
          <w:color w:val="auto"/>
          <w:sz w:val="24"/>
          <w:szCs w:val="24"/>
          <w:highlight w:val="none"/>
        </w:rPr>
        <w:t>。</w:t>
      </w:r>
    </w:p>
    <w:p w14:paraId="6777CCE0">
      <w:pPr>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2.2-1</w:t>
      </w:r>
      <w:r>
        <w:rPr>
          <w:rFonts w:hint="default" w:ascii="Times New Roman" w:hAnsi="Times New Roman" w:cs="Times New Roman"/>
          <w:b/>
          <w:bCs/>
          <w:color w:val="auto"/>
          <w:sz w:val="24"/>
          <w:szCs w:val="24"/>
          <w:highlight w:val="none"/>
        </w:rPr>
        <w:t>项目河道设计流量一览表</w:t>
      </w:r>
    </w:p>
    <w:tbl>
      <w:tblPr>
        <w:tblStyle w:val="31"/>
        <w:tblW w:w="5000" w:type="pct"/>
        <w:tblInd w:w="0" w:type="dxa"/>
        <w:tblLayout w:type="autofit"/>
        <w:tblCellMar>
          <w:top w:w="0" w:type="dxa"/>
          <w:left w:w="108" w:type="dxa"/>
          <w:bottom w:w="0" w:type="dxa"/>
          <w:right w:w="108" w:type="dxa"/>
        </w:tblCellMar>
      </w:tblPr>
      <w:tblGrid>
        <w:gridCol w:w="3202"/>
        <w:gridCol w:w="2392"/>
        <w:gridCol w:w="1464"/>
        <w:gridCol w:w="1464"/>
      </w:tblGrid>
      <w:tr w14:paraId="5AAC7BB5">
        <w:tblPrEx>
          <w:tblCellMar>
            <w:top w:w="0" w:type="dxa"/>
            <w:left w:w="108" w:type="dxa"/>
            <w:bottom w:w="0" w:type="dxa"/>
            <w:right w:w="108" w:type="dxa"/>
          </w:tblCellMar>
        </w:tblPrEx>
        <w:trPr>
          <w:trHeight w:val="340" w:hRule="atLeast"/>
        </w:trPr>
        <w:tc>
          <w:tcPr>
            <w:tcW w:w="1878" w:type="pct"/>
            <w:tcBorders>
              <w:top w:val="single" w:color="000000" w:sz="12" w:space="0"/>
              <w:left w:val="single" w:color="000000" w:sz="12" w:space="0"/>
              <w:bottom w:val="single" w:color="000000" w:sz="4" w:space="0"/>
              <w:right w:val="single" w:color="000000" w:sz="4" w:space="0"/>
            </w:tcBorders>
            <w:noWrap w:val="0"/>
            <w:vAlign w:val="center"/>
          </w:tcPr>
          <w:p w14:paraId="50E73003">
            <w:pPr>
              <w:pStyle w:val="29"/>
              <w:suppressLineNumbers w:val="0"/>
              <w:bidi w:val="0"/>
              <w:spacing w:beforeAutospacing="0" w:afterAutospacing="0"/>
              <w:ind w:left="0" w:right="0"/>
              <w:rPr>
                <w:rFonts w:hint="default" w:ascii="Times New Roman" w:hAnsi="Times New Roman" w:eastAsia="宋体" w:cs="Times New Roman"/>
                <w:b/>
                <w:bCs w:val="0"/>
                <w:color w:val="auto"/>
                <w:kern w:val="0"/>
                <w:sz w:val="21"/>
                <w:szCs w:val="21"/>
                <w:highlight w:val="none"/>
                <w:lang w:val="en-US" w:eastAsia="zh-CN"/>
              </w:rPr>
            </w:pPr>
            <w:bookmarkStart w:id="2683" w:name="_Toc13917"/>
            <w:bookmarkStart w:id="2684" w:name="_Toc20190"/>
            <w:bookmarkStart w:id="2685" w:name="_Toc2016"/>
            <w:r>
              <w:rPr>
                <w:rFonts w:hint="default" w:ascii="Times New Roman" w:hAnsi="Times New Roman" w:eastAsia="宋体" w:cs="Times New Roman"/>
                <w:b/>
                <w:bCs w:val="0"/>
                <w:color w:val="auto"/>
                <w:kern w:val="0"/>
                <w:sz w:val="21"/>
                <w:szCs w:val="21"/>
                <w:highlight w:val="none"/>
                <w:lang w:val="en-US" w:eastAsia="zh-CN"/>
              </w:rPr>
              <w:t>断面名称</w:t>
            </w:r>
            <w:bookmarkEnd w:id="2683"/>
            <w:bookmarkEnd w:id="2684"/>
            <w:bookmarkEnd w:id="2685"/>
          </w:p>
        </w:tc>
        <w:tc>
          <w:tcPr>
            <w:tcW w:w="1403" w:type="pct"/>
            <w:tcBorders>
              <w:top w:val="single" w:color="000000" w:sz="12" w:space="0"/>
              <w:left w:val="single" w:color="000000" w:sz="4" w:space="0"/>
              <w:bottom w:val="single" w:color="000000" w:sz="4" w:space="0"/>
              <w:right w:val="single" w:color="000000" w:sz="4" w:space="0"/>
            </w:tcBorders>
            <w:noWrap w:val="0"/>
            <w:vAlign w:val="center"/>
          </w:tcPr>
          <w:p w14:paraId="39FDD278">
            <w:pPr>
              <w:pStyle w:val="29"/>
              <w:suppressLineNumbers w:val="0"/>
              <w:bidi w:val="0"/>
              <w:spacing w:beforeAutospacing="0" w:afterAutospacing="0"/>
              <w:ind w:left="0" w:right="0"/>
              <w:rPr>
                <w:rFonts w:hint="default" w:ascii="Times New Roman" w:hAnsi="Times New Roman" w:eastAsia="宋体" w:cs="Times New Roman"/>
                <w:b/>
                <w:bCs w:val="0"/>
                <w:color w:val="auto"/>
                <w:kern w:val="0"/>
                <w:sz w:val="21"/>
                <w:szCs w:val="21"/>
                <w:highlight w:val="none"/>
                <w:lang w:val="en-US" w:eastAsia="zh-CN"/>
              </w:rPr>
            </w:pPr>
            <w:bookmarkStart w:id="2686" w:name="_Toc21363"/>
            <w:bookmarkStart w:id="2687" w:name="_Toc16432"/>
            <w:bookmarkStart w:id="2688" w:name="_Toc4468"/>
            <w:r>
              <w:rPr>
                <w:rFonts w:hint="default" w:ascii="Times New Roman" w:hAnsi="Times New Roman" w:eastAsia="宋体" w:cs="Times New Roman"/>
                <w:b/>
                <w:bCs w:val="0"/>
                <w:color w:val="auto"/>
                <w:kern w:val="0"/>
                <w:sz w:val="21"/>
                <w:szCs w:val="21"/>
                <w:highlight w:val="none"/>
                <w:lang w:val="en-US" w:eastAsia="zh-CN"/>
              </w:rPr>
              <w:t>10%频率采用流量（m</w:t>
            </w:r>
            <w:r>
              <w:rPr>
                <w:rFonts w:hint="default" w:ascii="Times New Roman" w:hAnsi="Times New Roman" w:eastAsia="宋体" w:cs="Times New Roman"/>
                <w:b/>
                <w:bCs w:val="0"/>
                <w:color w:val="auto"/>
                <w:kern w:val="0"/>
                <w:sz w:val="21"/>
                <w:szCs w:val="21"/>
                <w:highlight w:val="none"/>
                <w:vertAlign w:val="superscript"/>
                <w:lang w:val="en-US" w:eastAsia="zh-CN"/>
              </w:rPr>
              <w:t>3</w:t>
            </w:r>
            <w:r>
              <w:rPr>
                <w:rFonts w:hint="default" w:ascii="Times New Roman" w:hAnsi="Times New Roman" w:eastAsia="宋体" w:cs="Times New Roman"/>
                <w:b/>
                <w:bCs w:val="0"/>
                <w:color w:val="auto"/>
                <w:kern w:val="0"/>
                <w:sz w:val="21"/>
                <w:szCs w:val="21"/>
                <w:highlight w:val="none"/>
                <w:lang w:val="en-US" w:eastAsia="zh-CN"/>
              </w:rPr>
              <w:t>/s）</w:t>
            </w:r>
            <w:bookmarkEnd w:id="2686"/>
            <w:bookmarkEnd w:id="2687"/>
            <w:bookmarkEnd w:id="2688"/>
          </w:p>
        </w:tc>
        <w:tc>
          <w:tcPr>
            <w:tcW w:w="859" w:type="pct"/>
            <w:tcBorders>
              <w:top w:val="single" w:color="000000" w:sz="12" w:space="0"/>
              <w:left w:val="single" w:color="000000" w:sz="4" w:space="0"/>
              <w:bottom w:val="single" w:color="000000" w:sz="4" w:space="0"/>
              <w:right w:val="single" w:color="000000" w:sz="4" w:space="0"/>
            </w:tcBorders>
            <w:noWrap w:val="0"/>
            <w:vAlign w:val="center"/>
          </w:tcPr>
          <w:p w14:paraId="3BC80548">
            <w:pPr>
              <w:pStyle w:val="29"/>
              <w:suppressLineNumbers w:val="0"/>
              <w:bidi w:val="0"/>
              <w:spacing w:beforeAutospacing="0" w:afterAutospacing="0"/>
              <w:ind w:left="0" w:right="0"/>
              <w:rPr>
                <w:rFonts w:hint="default" w:ascii="Times New Roman" w:hAnsi="Times New Roman" w:eastAsia="宋体" w:cs="Times New Roman"/>
                <w:b/>
                <w:bCs w:val="0"/>
                <w:color w:val="auto"/>
                <w:kern w:val="0"/>
                <w:sz w:val="21"/>
                <w:szCs w:val="21"/>
                <w:highlight w:val="none"/>
                <w:lang w:val="en-US" w:eastAsia="zh-CN"/>
              </w:rPr>
            </w:pPr>
            <w:bookmarkStart w:id="2689" w:name="_Toc27864"/>
            <w:bookmarkStart w:id="2690" w:name="_Toc16110"/>
            <w:bookmarkStart w:id="2691" w:name="_Toc10454"/>
            <w:r>
              <w:rPr>
                <w:rFonts w:hint="default" w:ascii="Times New Roman" w:hAnsi="Times New Roman" w:eastAsia="宋体" w:cs="Times New Roman"/>
                <w:b/>
                <w:bCs w:val="0"/>
                <w:color w:val="auto"/>
                <w:kern w:val="0"/>
                <w:sz w:val="21"/>
                <w:szCs w:val="21"/>
                <w:highlight w:val="none"/>
                <w:lang w:val="en-US" w:eastAsia="zh-CN"/>
              </w:rPr>
              <w:t>区间面积（km</w:t>
            </w:r>
            <w:r>
              <w:rPr>
                <w:rFonts w:hint="default" w:ascii="Times New Roman" w:hAnsi="Times New Roman" w:eastAsia="宋体" w:cs="Times New Roman"/>
                <w:b/>
                <w:bCs w:val="0"/>
                <w:color w:val="auto"/>
                <w:kern w:val="0"/>
                <w:sz w:val="21"/>
                <w:szCs w:val="21"/>
                <w:highlight w:val="none"/>
                <w:vertAlign w:val="superscript"/>
                <w:lang w:val="en-US" w:eastAsia="zh-CN"/>
              </w:rPr>
              <w:t>2</w:t>
            </w:r>
            <w:r>
              <w:rPr>
                <w:rFonts w:hint="default" w:ascii="Times New Roman" w:hAnsi="Times New Roman" w:eastAsia="宋体" w:cs="Times New Roman"/>
                <w:b/>
                <w:bCs w:val="0"/>
                <w:color w:val="auto"/>
                <w:kern w:val="0"/>
                <w:sz w:val="21"/>
                <w:szCs w:val="21"/>
                <w:highlight w:val="none"/>
                <w:lang w:val="en-US" w:eastAsia="zh-CN"/>
              </w:rPr>
              <w:t>）</w:t>
            </w:r>
            <w:bookmarkEnd w:id="2689"/>
            <w:bookmarkEnd w:id="2690"/>
            <w:bookmarkEnd w:id="2691"/>
          </w:p>
        </w:tc>
        <w:tc>
          <w:tcPr>
            <w:tcW w:w="859" w:type="pct"/>
            <w:tcBorders>
              <w:top w:val="single" w:color="000000" w:sz="12" w:space="0"/>
              <w:left w:val="single" w:color="000000" w:sz="4" w:space="0"/>
              <w:bottom w:val="single" w:color="000000" w:sz="4" w:space="0"/>
              <w:right w:val="single" w:color="000000" w:sz="12" w:space="0"/>
            </w:tcBorders>
            <w:noWrap w:val="0"/>
            <w:vAlign w:val="center"/>
          </w:tcPr>
          <w:p w14:paraId="36CE74D3">
            <w:pPr>
              <w:pStyle w:val="29"/>
              <w:suppressLineNumbers w:val="0"/>
              <w:bidi w:val="0"/>
              <w:spacing w:beforeAutospacing="0" w:afterAutospacing="0"/>
              <w:ind w:left="0" w:right="0"/>
              <w:rPr>
                <w:rFonts w:hint="default" w:ascii="Times New Roman" w:hAnsi="Times New Roman" w:eastAsia="宋体" w:cs="Times New Roman"/>
                <w:b/>
                <w:bCs w:val="0"/>
                <w:color w:val="auto"/>
                <w:kern w:val="0"/>
                <w:sz w:val="21"/>
                <w:szCs w:val="21"/>
                <w:highlight w:val="none"/>
                <w:lang w:val="en-US" w:eastAsia="zh-CN"/>
              </w:rPr>
            </w:pPr>
            <w:bookmarkStart w:id="2692" w:name="_Toc14601"/>
            <w:bookmarkStart w:id="2693" w:name="_Toc9973"/>
            <w:bookmarkStart w:id="2694" w:name="_Toc8480"/>
            <w:r>
              <w:rPr>
                <w:rFonts w:hint="default" w:ascii="Times New Roman" w:hAnsi="Times New Roman" w:eastAsia="宋体" w:cs="Times New Roman"/>
                <w:b/>
                <w:bCs w:val="0"/>
                <w:color w:val="auto"/>
                <w:kern w:val="0"/>
                <w:sz w:val="21"/>
                <w:szCs w:val="21"/>
                <w:highlight w:val="none"/>
                <w:lang w:val="en-US" w:eastAsia="zh-CN"/>
              </w:rPr>
              <w:t>累计面积（km</w:t>
            </w:r>
            <w:r>
              <w:rPr>
                <w:rFonts w:hint="default" w:ascii="Times New Roman" w:hAnsi="Times New Roman" w:eastAsia="宋体" w:cs="Times New Roman"/>
                <w:b/>
                <w:bCs w:val="0"/>
                <w:color w:val="auto"/>
                <w:kern w:val="0"/>
                <w:sz w:val="21"/>
                <w:szCs w:val="21"/>
                <w:highlight w:val="none"/>
                <w:vertAlign w:val="superscript"/>
                <w:lang w:val="en-US" w:eastAsia="zh-CN"/>
              </w:rPr>
              <w:t>2</w:t>
            </w:r>
            <w:r>
              <w:rPr>
                <w:rFonts w:hint="default" w:ascii="Times New Roman" w:hAnsi="Times New Roman" w:eastAsia="宋体" w:cs="Times New Roman"/>
                <w:b/>
                <w:bCs w:val="0"/>
                <w:color w:val="auto"/>
                <w:kern w:val="0"/>
                <w:sz w:val="21"/>
                <w:szCs w:val="21"/>
                <w:highlight w:val="none"/>
                <w:lang w:val="en-US" w:eastAsia="zh-CN"/>
              </w:rPr>
              <w:t>）</w:t>
            </w:r>
            <w:bookmarkEnd w:id="2692"/>
            <w:bookmarkEnd w:id="2693"/>
            <w:bookmarkEnd w:id="2694"/>
          </w:p>
        </w:tc>
      </w:tr>
      <w:tr w14:paraId="5F7749DD">
        <w:tblPrEx>
          <w:tblCellMar>
            <w:top w:w="0" w:type="dxa"/>
            <w:left w:w="108" w:type="dxa"/>
            <w:bottom w:w="0" w:type="dxa"/>
            <w:right w:w="108" w:type="dxa"/>
          </w:tblCellMar>
        </w:tblPrEx>
        <w:trPr>
          <w:trHeight w:val="340" w:hRule="atLeast"/>
        </w:trPr>
        <w:tc>
          <w:tcPr>
            <w:tcW w:w="1878" w:type="pct"/>
            <w:tcBorders>
              <w:top w:val="single" w:color="000000" w:sz="4" w:space="0"/>
              <w:left w:val="single" w:color="000000" w:sz="12" w:space="0"/>
              <w:bottom w:val="single" w:color="000000" w:sz="4" w:space="0"/>
              <w:right w:val="single" w:color="000000" w:sz="4" w:space="0"/>
            </w:tcBorders>
            <w:noWrap/>
            <w:vAlign w:val="center"/>
          </w:tcPr>
          <w:p w14:paraId="7156E0CD">
            <w:pPr>
              <w:pStyle w:val="29"/>
              <w:suppressLineNumbers w:val="0"/>
              <w:bidi w:val="0"/>
              <w:spacing w:beforeAutospacing="0" w:afterAutospacing="0"/>
              <w:ind w:left="0" w:right="0"/>
              <w:jc w:val="left"/>
              <w:rPr>
                <w:rFonts w:hint="default" w:ascii="Times New Roman" w:hAnsi="Times New Roman" w:eastAsia="宋体" w:cs="Times New Roman"/>
                <w:bCs/>
                <w:color w:val="auto"/>
                <w:kern w:val="0"/>
                <w:sz w:val="21"/>
                <w:szCs w:val="21"/>
                <w:highlight w:val="none"/>
                <w:lang w:val="en-US" w:eastAsia="zh-CN"/>
              </w:rPr>
            </w:pPr>
            <w:bookmarkStart w:id="2695" w:name="_Toc9516"/>
            <w:bookmarkStart w:id="2696" w:name="_Toc12064"/>
            <w:bookmarkStart w:id="2697" w:name="_Toc22373"/>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vertAlign w:val="superscript"/>
                <w:lang w:val="en-US" w:eastAsia="zh-CN"/>
              </w:rPr>
              <w:t>#</w:t>
            </w:r>
            <w:r>
              <w:rPr>
                <w:rFonts w:hint="default" w:ascii="Times New Roman" w:hAnsi="Times New Roman" w:eastAsia="宋体" w:cs="Times New Roman"/>
                <w:bCs/>
                <w:color w:val="auto"/>
                <w:kern w:val="0"/>
                <w:sz w:val="21"/>
                <w:szCs w:val="21"/>
                <w:highlight w:val="none"/>
                <w:lang w:val="en-US" w:eastAsia="zh-CN"/>
              </w:rPr>
              <w:t>（杨庄-7+950）</w:t>
            </w:r>
            <w:bookmarkEnd w:id="2695"/>
            <w:bookmarkEnd w:id="2696"/>
            <w:bookmarkEnd w:id="2697"/>
          </w:p>
        </w:tc>
        <w:tc>
          <w:tcPr>
            <w:tcW w:w="1403" w:type="pct"/>
            <w:tcBorders>
              <w:top w:val="single" w:color="000000" w:sz="4" w:space="0"/>
              <w:left w:val="single" w:color="000000" w:sz="4" w:space="0"/>
              <w:bottom w:val="single" w:color="000000" w:sz="4" w:space="0"/>
              <w:right w:val="single" w:color="000000" w:sz="4" w:space="0"/>
            </w:tcBorders>
            <w:noWrap/>
            <w:vAlign w:val="center"/>
          </w:tcPr>
          <w:p w14:paraId="0FCDC080">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698" w:name="_Toc28986"/>
            <w:bookmarkStart w:id="2699" w:name="_Toc5305"/>
            <w:bookmarkStart w:id="2700" w:name="_Toc22796"/>
            <w:r>
              <w:rPr>
                <w:rFonts w:hint="default" w:ascii="Times New Roman" w:hAnsi="Times New Roman" w:eastAsia="宋体" w:cs="Times New Roman"/>
                <w:bCs/>
                <w:color w:val="auto"/>
                <w:kern w:val="0"/>
                <w:sz w:val="21"/>
                <w:szCs w:val="21"/>
                <w:highlight w:val="none"/>
                <w:lang w:val="en-US" w:eastAsia="zh-CN"/>
              </w:rPr>
              <w:t>37.3</w:t>
            </w:r>
            <w:bookmarkEnd w:id="2698"/>
            <w:bookmarkEnd w:id="2699"/>
            <w:bookmarkEnd w:id="2700"/>
          </w:p>
        </w:tc>
        <w:tc>
          <w:tcPr>
            <w:tcW w:w="859" w:type="pct"/>
            <w:tcBorders>
              <w:top w:val="single" w:color="000000" w:sz="4" w:space="0"/>
              <w:left w:val="single" w:color="000000" w:sz="4" w:space="0"/>
              <w:bottom w:val="single" w:color="000000" w:sz="4" w:space="0"/>
              <w:right w:val="single" w:color="000000" w:sz="4" w:space="0"/>
            </w:tcBorders>
            <w:noWrap/>
            <w:vAlign w:val="center"/>
          </w:tcPr>
          <w:p w14:paraId="3AE32413">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01" w:name="_Toc9408"/>
            <w:bookmarkStart w:id="2702" w:name="_Toc13453"/>
            <w:bookmarkStart w:id="2703" w:name="_Toc21826"/>
            <w:r>
              <w:rPr>
                <w:rFonts w:hint="default" w:ascii="Times New Roman" w:hAnsi="Times New Roman" w:eastAsia="宋体" w:cs="Times New Roman"/>
                <w:bCs/>
                <w:color w:val="auto"/>
                <w:kern w:val="0"/>
                <w:sz w:val="21"/>
                <w:szCs w:val="21"/>
                <w:highlight w:val="none"/>
                <w:lang w:val="en-US" w:eastAsia="zh-CN"/>
              </w:rPr>
              <w:t>18.4</w:t>
            </w:r>
            <w:bookmarkEnd w:id="2701"/>
            <w:bookmarkEnd w:id="2702"/>
            <w:bookmarkEnd w:id="2703"/>
          </w:p>
        </w:tc>
        <w:tc>
          <w:tcPr>
            <w:tcW w:w="859" w:type="pct"/>
            <w:tcBorders>
              <w:top w:val="single" w:color="000000" w:sz="4" w:space="0"/>
              <w:left w:val="single" w:color="000000" w:sz="4" w:space="0"/>
              <w:bottom w:val="single" w:color="000000" w:sz="4" w:space="0"/>
              <w:right w:val="single" w:color="000000" w:sz="12" w:space="0"/>
            </w:tcBorders>
            <w:noWrap/>
            <w:vAlign w:val="center"/>
          </w:tcPr>
          <w:p w14:paraId="5DE07681">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04" w:name="_Toc22284"/>
            <w:bookmarkStart w:id="2705" w:name="_Toc7400"/>
            <w:bookmarkStart w:id="2706" w:name="_Toc26463"/>
            <w:r>
              <w:rPr>
                <w:rFonts w:hint="default" w:ascii="Times New Roman" w:hAnsi="Times New Roman" w:eastAsia="宋体" w:cs="Times New Roman"/>
                <w:bCs/>
                <w:color w:val="auto"/>
                <w:kern w:val="0"/>
                <w:sz w:val="21"/>
                <w:szCs w:val="21"/>
                <w:highlight w:val="none"/>
                <w:lang w:val="en-US" w:eastAsia="zh-CN"/>
              </w:rPr>
              <w:t>18.4</w:t>
            </w:r>
            <w:bookmarkEnd w:id="2704"/>
            <w:bookmarkEnd w:id="2705"/>
            <w:bookmarkEnd w:id="2706"/>
          </w:p>
        </w:tc>
      </w:tr>
      <w:tr w14:paraId="7D4558FD">
        <w:tblPrEx>
          <w:tblCellMar>
            <w:top w:w="0" w:type="dxa"/>
            <w:left w:w="108" w:type="dxa"/>
            <w:bottom w:w="0" w:type="dxa"/>
            <w:right w:w="108" w:type="dxa"/>
          </w:tblCellMar>
        </w:tblPrEx>
        <w:trPr>
          <w:trHeight w:val="340" w:hRule="atLeast"/>
        </w:trPr>
        <w:tc>
          <w:tcPr>
            <w:tcW w:w="1878" w:type="pct"/>
            <w:tcBorders>
              <w:top w:val="single" w:color="000000" w:sz="4" w:space="0"/>
              <w:left w:val="single" w:color="000000" w:sz="12" w:space="0"/>
              <w:bottom w:val="single" w:color="000000" w:sz="4" w:space="0"/>
              <w:right w:val="single" w:color="000000" w:sz="4" w:space="0"/>
            </w:tcBorders>
            <w:noWrap/>
            <w:vAlign w:val="center"/>
          </w:tcPr>
          <w:p w14:paraId="4FB47DFE">
            <w:pPr>
              <w:pStyle w:val="29"/>
              <w:suppressLineNumbers w:val="0"/>
              <w:bidi w:val="0"/>
              <w:spacing w:beforeAutospacing="0" w:afterAutospacing="0"/>
              <w:ind w:left="0" w:right="0"/>
              <w:jc w:val="left"/>
              <w:rPr>
                <w:rFonts w:hint="default" w:ascii="Times New Roman" w:hAnsi="Times New Roman" w:eastAsia="宋体" w:cs="Times New Roman"/>
                <w:bCs/>
                <w:color w:val="auto"/>
                <w:kern w:val="0"/>
                <w:sz w:val="21"/>
                <w:szCs w:val="21"/>
                <w:highlight w:val="none"/>
                <w:lang w:val="en-US" w:eastAsia="zh-CN"/>
              </w:rPr>
            </w:pPr>
            <w:bookmarkStart w:id="2707" w:name="_Toc29853"/>
            <w:bookmarkStart w:id="2708" w:name="_Toc12418"/>
            <w:bookmarkStart w:id="2709" w:name="_Toc28705"/>
            <w:r>
              <w:rPr>
                <w:rFonts w:hint="default" w:ascii="Times New Roman" w:hAnsi="Times New Roman" w:eastAsia="宋体" w:cs="Times New Roman"/>
                <w:bCs/>
                <w:color w:val="auto"/>
                <w:kern w:val="0"/>
                <w:sz w:val="21"/>
                <w:szCs w:val="21"/>
                <w:highlight w:val="none"/>
                <w:lang w:val="en-US" w:eastAsia="zh-CN"/>
              </w:rPr>
              <w:t>2</w:t>
            </w:r>
            <w:r>
              <w:rPr>
                <w:rFonts w:hint="eastAsia" w:cs="Times New Roman"/>
                <w:bCs/>
                <w:color w:val="auto"/>
                <w:kern w:val="0"/>
                <w:sz w:val="21"/>
                <w:szCs w:val="21"/>
                <w:highlight w:val="none"/>
                <w:vertAlign w:val="superscript"/>
                <w:lang w:val="en-US" w:eastAsia="zh-CN"/>
              </w:rPr>
              <w:t>#</w:t>
            </w:r>
            <w:r>
              <w:rPr>
                <w:rFonts w:hint="default" w:ascii="Times New Roman" w:hAnsi="Times New Roman" w:eastAsia="宋体" w:cs="Times New Roman"/>
                <w:bCs/>
                <w:color w:val="auto"/>
                <w:kern w:val="0"/>
                <w:sz w:val="21"/>
                <w:szCs w:val="21"/>
                <w:highlight w:val="none"/>
                <w:lang w:val="en-US" w:eastAsia="zh-CN"/>
              </w:rPr>
              <w:t>（白杨庄-10+650）</w:t>
            </w:r>
            <w:bookmarkEnd w:id="2707"/>
            <w:bookmarkEnd w:id="2708"/>
            <w:bookmarkEnd w:id="2709"/>
          </w:p>
        </w:tc>
        <w:tc>
          <w:tcPr>
            <w:tcW w:w="1403" w:type="pct"/>
            <w:tcBorders>
              <w:top w:val="single" w:color="000000" w:sz="4" w:space="0"/>
              <w:left w:val="single" w:color="000000" w:sz="4" w:space="0"/>
              <w:bottom w:val="single" w:color="000000" w:sz="4" w:space="0"/>
              <w:right w:val="single" w:color="000000" w:sz="4" w:space="0"/>
            </w:tcBorders>
            <w:noWrap/>
            <w:vAlign w:val="center"/>
          </w:tcPr>
          <w:p w14:paraId="64A8023F">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10" w:name="_Toc24724"/>
            <w:bookmarkStart w:id="2711" w:name="_Toc1323"/>
            <w:bookmarkStart w:id="2712" w:name="_Toc2548"/>
            <w:r>
              <w:rPr>
                <w:rFonts w:hint="default" w:ascii="Times New Roman" w:hAnsi="Times New Roman" w:eastAsia="宋体" w:cs="Times New Roman"/>
                <w:bCs/>
                <w:color w:val="auto"/>
                <w:kern w:val="0"/>
                <w:sz w:val="21"/>
                <w:szCs w:val="21"/>
                <w:highlight w:val="none"/>
                <w:lang w:val="en-US" w:eastAsia="zh-CN"/>
              </w:rPr>
              <w:t>46.3</w:t>
            </w:r>
            <w:bookmarkEnd w:id="2710"/>
            <w:bookmarkEnd w:id="2711"/>
            <w:bookmarkEnd w:id="2712"/>
          </w:p>
        </w:tc>
        <w:tc>
          <w:tcPr>
            <w:tcW w:w="859" w:type="pct"/>
            <w:tcBorders>
              <w:top w:val="single" w:color="000000" w:sz="4" w:space="0"/>
              <w:left w:val="single" w:color="000000" w:sz="4" w:space="0"/>
              <w:bottom w:val="single" w:color="000000" w:sz="4" w:space="0"/>
              <w:right w:val="single" w:color="000000" w:sz="4" w:space="0"/>
            </w:tcBorders>
            <w:noWrap/>
            <w:vAlign w:val="center"/>
          </w:tcPr>
          <w:p w14:paraId="62CF1967">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13" w:name="_Toc32076"/>
            <w:bookmarkStart w:id="2714" w:name="_Toc5053"/>
            <w:bookmarkStart w:id="2715" w:name="_Toc1631"/>
            <w:r>
              <w:rPr>
                <w:rFonts w:hint="default" w:ascii="Times New Roman" w:hAnsi="Times New Roman" w:eastAsia="宋体" w:cs="Times New Roman"/>
                <w:bCs/>
                <w:color w:val="auto"/>
                <w:kern w:val="0"/>
                <w:sz w:val="21"/>
                <w:szCs w:val="21"/>
                <w:highlight w:val="none"/>
                <w:lang w:val="en-US" w:eastAsia="zh-CN"/>
              </w:rPr>
              <w:t>4.7</w:t>
            </w:r>
            <w:bookmarkEnd w:id="2713"/>
            <w:bookmarkEnd w:id="2714"/>
            <w:bookmarkEnd w:id="2715"/>
          </w:p>
        </w:tc>
        <w:tc>
          <w:tcPr>
            <w:tcW w:w="859" w:type="pct"/>
            <w:tcBorders>
              <w:top w:val="single" w:color="000000" w:sz="4" w:space="0"/>
              <w:left w:val="single" w:color="000000" w:sz="4" w:space="0"/>
              <w:bottom w:val="single" w:color="000000" w:sz="4" w:space="0"/>
              <w:right w:val="single" w:color="000000" w:sz="12" w:space="0"/>
            </w:tcBorders>
            <w:noWrap/>
            <w:vAlign w:val="center"/>
          </w:tcPr>
          <w:p w14:paraId="3DF1E95C">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16" w:name="_Toc28889"/>
            <w:bookmarkStart w:id="2717" w:name="_Toc2613"/>
            <w:bookmarkStart w:id="2718" w:name="_Toc24469"/>
            <w:r>
              <w:rPr>
                <w:rFonts w:hint="default" w:ascii="Times New Roman" w:hAnsi="Times New Roman" w:eastAsia="宋体" w:cs="Times New Roman"/>
                <w:bCs/>
                <w:color w:val="auto"/>
                <w:kern w:val="0"/>
                <w:sz w:val="21"/>
                <w:szCs w:val="21"/>
                <w:highlight w:val="none"/>
                <w:lang w:val="en-US" w:eastAsia="zh-CN"/>
              </w:rPr>
              <w:t>23.1</w:t>
            </w:r>
            <w:bookmarkEnd w:id="2716"/>
            <w:bookmarkEnd w:id="2717"/>
            <w:bookmarkEnd w:id="2718"/>
          </w:p>
        </w:tc>
      </w:tr>
      <w:tr w14:paraId="482718D9">
        <w:tblPrEx>
          <w:tblCellMar>
            <w:top w:w="0" w:type="dxa"/>
            <w:left w:w="108" w:type="dxa"/>
            <w:bottom w:w="0" w:type="dxa"/>
            <w:right w:w="108" w:type="dxa"/>
          </w:tblCellMar>
        </w:tblPrEx>
        <w:trPr>
          <w:trHeight w:val="340" w:hRule="atLeast"/>
        </w:trPr>
        <w:tc>
          <w:tcPr>
            <w:tcW w:w="1878" w:type="pct"/>
            <w:tcBorders>
              <w:top w:val="single" w:color="000000" w:sz="4" w:space="0"/>
              <w:left w:val="single" w:color="000000" w:sz="12" w:space="0"/>
              <w:bottom w:val="single" w:color="000000" w:sz="4" w:space="0"/>
              <w:right w:val="single" w:color="000000" w:sz="4" w:space="0"/>
            </w:tcBorders>
            <w:noWrap/>
            <w:vAlign w:val="center"/>
          </w:tcPr>
          <w:p w14:paraId="0214800E">
            <w:pPr>
              <w:pStyle w:val="29"/>
              <w:suppressLineNumbers w:val="0"/>
              <w:bidi w:val="0"/>
              <w:spacing w:beforeAutospacing="0" w:afterAutospacing="0"/>
              <w:ind w:left="0" w:right="0"/>
              <w:jc w:val="left"/>
              <w:rPr>
                <w:rFonts w:hint="default" w:ascii="Times New Roman" w:hAnsi="Times New Roman" w:eastAsia="宋体" w:cs="Times New Roman"/>
                <w:bCs/>
                <w:color w:val="auto"/>
                <w:kern w:val="0"/>
                <w:sz w:val="21"/>
                <w:szCs w:val="21"/>
                <w:highlight w:val="none"/>
                <w:lang w:val="en-US" w:eastAsia="zh-CN"/>
              </w:rPr>
            </w:pPr>
            <w:bookmarkStart w:id="2719" w:name="_Toc18279"/>
            <w:bookmarkStart w:id="2720" w:name="_Toc4873"/>
            <w:bookmarkStart w:id="2721" w:name="_Toc10442"/>
            <w:r>
              <w:rPr>
                <w:rFonts w:hint="default" w:ascii="Times New Roman" w:hAnsi="Times New Roman" w:eastAsia="宋体" w:cs="Times New Roman"/>
                <w:bCs/>
                <w:color w:val="auto"/>
                <w:kern w:val="0"/>
                <w:sz w:val="21"/>
                <w:szCs w:val="21"/>
                <w:highlight w:val="none"/>
                <w:lang w:val="en-US" w:eastAsia="zh-CN"/>
              </w:rPr>
              <w:t>3</w:t>
            </w:r>
            <w:r>
              <w:rPr>
                <w:rFonts w:hint="eastAsia" w:cs="Times New Roman"/>
                <w:bCs/>
                <w:color w:val="auto"/>
                <w:kern w:val="0"/>
                <w:sz w:val="21"/>
                <w:szCs w:val="21"/>
                <w:highlight w:val="none"/>
                <w:vertAlign w:val="superscript"/>
                <w:lang w:val="en-US" w:eastAsia="zh-CN"/>
              </w:rPr>
              <w:t>#</w:t>
            </w:r>
            <w:r>
              <w:rPr>
                <w:rFonts w:hint="default" w:ascii="Times New Roman" w:hAnsi="Times New Roman" w:eastAsia="宋体" w:cs="Times New Roman"/>
                <w:bCs/>
                <w:color w:val="auto"/>
                <w:kern w:val="0"/>
                <w:sz w:val="21"/>
                <w:szCs w:val="21"/>
                <w:highlight w:val="none"/>
                <w:lang w:val="en-US" w:eastAsia="zh-CN"/>
              </w:rPr>
              <w:t>川口-16+650）</w:t>
            </w:r>
            <w:bookmarkEnd w:id="2719"/>
            <w:bookmarkEnd w:id="2720"/>
            <w:bookmarkEnd w:id="2721"/>
          </w:p>
        </w:tc>
        <w:tc>
          <w:tcPr>
            <w:tcW w:w="1403" w:type="pct"/>
            <w:tcBorders>
              <w:top w:val="single" w:color="000000" w:sz="4" w:space="0"/>
              <w:left w:val="single" w:color="000000" w:sz="4" w:space="0"/>
              <w:bottom w:val="single" w:color="000000" w:sz="4" w:space="0"/>
              <w:right w:val="single" w:color="000000" w:sz="4" w:space="0"/>
            </w:tcBorders>
            <w:noWrap/>
            <w:vAlign w:val="center"/>
          </w:tcPr>
          <w:p w14:paraId="2964E9F7">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22" w:name="_Toc26640"/>
            <w:bookmarkStart w:id="2723" w:name="_Toc22494"/>
            <w:bookmarkStart w:id="2724" w:name="_Toc20159"/>
            <w:r>
              <w:rPr>
                <w:rFonts w:hint="default" w:ascii="Times New Roman" w:hAnsi="Times New Roman" w:eastAsia="宋体" w:cs="Times New Roman"/>
                <w:bCs/>
                <w:color w:val="auto"/>
                <w:kern w:val="0"/>
                <w:sz w:val="21"/>
                <w:szCs w:val="21"/>
                <w:highlight w:val="none"/>
                <w:lang w:val="en-US" w:eastAsia="zh-CN"/>
              </w:rPr>
              <w:t>59.8</w:t>
            </w:r>
            <w:bookmarkEnd w:id="2722"/>
            <w:bookmarkEnd w:id="2723"/>
            <w:bookmarkEnd w:id="2724"/>
          </w:p>
        </w:tc>
        <w:tc>
          <w:tcPr>
            <w:tcW w:w="859" w:type="pct"/>
            <w:tcBorders>
              <w:top w:val="single" w:color="000000" w:sz="4" w:space="0"/>
              <w:left w:val="single" w:color="000000" w:sz="4" w:space="0"/>
              <w:bottom w:val="single" w:color="000000" w:sz="4" w:space="0"/>
              <w:right w:val="single" w:color="000000" w:sz="4" w:space="0"/>
            </w:tcBorders>
            <w:noWrap/>
            <w:vAlign w:val="center"/>
          </w:tcPr>
          <w:p w14:paraId="53F56712">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25" w:name="_Toc176"/>
            <w:bookmarkStart w:id="2726" w:name="_Toc21731"/>
            <w:bookmarkStart w:id="2727" w:name="_Toc4079"/>
            <w:r>
              <w:rPr>
                <w:rFonts w:hint="default" w:ascii="Times New Roman" w:hAnsi="Times New Roman" w:eastAsia="宋体" w:cs="Times New Roman"/>
                <w:bCs/>
                <w:color w:val="auto"/>
                <w:kern w:val="0"/>
                <w:sz w:val="21"/>
                <w:szCs w:val="21"/>
                <w:highlight w:val="none"/>
                <w:lang w:val="en-US" w:eastAsia="zh-CN"/>
              </w:rPr>
              <w:t>13</w:t>
            </w:r>
            <w:bookmarkEnd w:id="2725"/>
            <w:bookmarkEnd w:id="2726"/>
            <w:bookmarkEnd w:id="2727"/>
          </w:p>
        </w:tc>
        <w:tc>
          <w:tcPr>
            <w:tcW w:w="859" w:type="pct"/>
            <w:tcBorders>
              <w:top w:val="single" w:color="000000" w:sz="4" w:space="0"/>
              <w:left w:val="single" w:color="000000" w:sz="4" w:space="0"/>
              <w:bottom w:val="single" w:color="000000" w:sz="4" w:space="0"/>
              <w:right w:val="single" w:color="000000" w:sz="12" w:space="0"/>
            </w:tcBorders>
            <w:noWrap/>
            <w:vAlign w:val="center"/>
          </w:tcPr>
          <w:p w14:paraId="10487D7A">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28" w:name="_Toc11937"/>
            <w:bookmarkStart w:id="2729" w:name="_Toc17617"/>
            <w:bookmarkStart w:id="2730" w:name="_Toc17566"/>
            <w:r>
              <w:rPr>
                <w:rFonts w:hint="default" w:ascii="Times New Roman" w:hAnsi="Times New Roman" w:eastAsia="宋体" w:cs="Times New Roman"/>
                <w:bCs/>
                <w:color w:val="auto"/>
                <w:kern w:val="0"/>
                <w:sz w:val="21"/>
                <w:szCs w:val="21"/>
                <w:highlight w:val="none"/>
                <w:lang w:val="en-US" w:eastAsia="zh-CN"/>
              </w:rPr>
              <w:t>36.1</w:t>
            </w:r>
            <w:bookmarkEnd w:id="2728"/>
            <w:bookmarkEnd w:id="2729"/>
            <w:bookmarkEnd w:id="2730"/>
          </w:p>
        </w:tc>
      </w:tr>
      <w:tr w14:paraId="15AA1278">
        <w:tblPrEx>
          <w:tblCellMar>
            <w:top w:w="0" w:type="dxa"/>
            <w:left w:w="108" w:type="dxa"/>
            <w:bottom w:w="0" w:type="dxa"/>
            <w:right w:w="108" w:type="dxa"/>
          </w:tblCellMar>
        </w:tblPrEx>
        <w:trPr>
          <w:trHeight w:val="340" w:hRule="atLeast"/>
        </w:trPr>
        <w:tc>
          <w:tcPr>
            <w:tcW w:w="1878" w:type="pct"/>
            <w:tcBorders>
              <w:top w:val="single" w:color="000000" w:sz="4" w:space="0"/>
              <w:left w:val="single" w:color="000000" w:sz="12" w:space="0"/>
              <w:bottom w:val="single" w:color="000000" w:sz="4" w:space="0"/>
              <w:right w:val="single" w:color="000000" w:sz="4" w:space="0"/>
            </w:tcBorders>
            <w:noWrap/>
            <w:vAlign w:val="center"/>
          </w:tcPr>
          <w:p w14:paraId="3C274B3B">
            <w:pPr>
              <w:pStyle w:val="29"/>
              <w:suppressLineNumbers w:val="0"/>
              <w:bidi w:val="0"/>
              <w:spacing w:beforeAutospacing="0" w:afterAutospacing="0"/>
              <w:ind w:left="0" w:right="0"/>
              <w:jc w:val="left"/>
              <w:rPr>
                <w:rFonts w:hint="default" w:ascii="Times New Roman" w:hAnsi="Times New Roman" w:eastAsia="宋体" w:cs="Times New Roman"/>
                <w:bCs/>
                <w:color w:val="auto"/>
                <w:kern w:val="0"/>
                <w:sz w:val="21"/>
                <w:szCs w:val="21"/>
                <w:highlight w:val="none"/>
                <w:lang w:val="en-US" w:eastAsia="zh-CN"/>
              </w:rPr>
            </w:pPr>
            <w:bookmarkStart w:id="2731" w:name="_Toc21746"/>
            <w:bookmarkStart w:id="2732" w:name="_Toc9636"/>
            <w:bookmarkStart w:id="2733" w:name="_Toc23554"/>
            <w:r>
              <w:rPr>
                <w:rFonts w:hint="default" w:ascii="Times New Roman" w:hAnsi="Times New Roman" w:eastAsia="宋体" w:cs="Times New Roman"/>
                <w:bCs/>
                <w:color w:val="auto"/>
                <w:kern w:val="0"/>
                <w:sz w:val="21"/>
                <w:szCs w:val="21"/>
                <w:highlight w:val="none"/>
                <w:lang w:val="en-US" w:eastAsia="zh-CN"/>
              </w:rPr>
              <w:t>4</w:t>
            </w:r>
            <w:r>
              <w:rPr>
                <w:rFonts w:hint="eastAsia" w:cs="Times New Roman"/>
                <w:bCs/>
                <w:color w:val="auto"/>
                <w:kern w:val="0"/>
                <w:sz w:val="21"/>
                <w:szCs w:val="21"/>
                <w:highlight w:val="none"/>
                <w:vertAlign w:val="superscript"/>
                <w:lang w:val="en-US" w:eastAsia="zh-CN"/>
              </w:rPr>
              <w:t>#</w:t>
            </w:r>
            <w:r>
              <w:rPr>
                <w:rFonts w:hint="default" w:ascii="Times New Roman" w:hAnsi="Times New Roman" w:eastAsia="宋体" w:cs="Times New Roman"/>
                <w:bCs/>
                <w:color w:val="auto"/>
                <w:kern w:val="0"/>
                <w:sz w:val="21"/>
                <w:szCs w:val="21"/>
                <w:highlight w:val="none"/>
                <w:lang w:val="en-US" w:eastAsia="zh-CN"/>
              </w:rPr>
              <w:t>（田庄-19+450）</w:t>
            </w:r>
            <w:bookmarkEnd w:id="2731"/>
            <w:bookmarkEnd w:id="2732"/>
            <w:bookmarkEnd w:id="2733"/>
          </w:p>
        </w:tc>
        <w:tc>
          <w:tcPr>
            <w:tcW w:w="1403" w:type="pct"/>
            <w:tcBorders>
              <w:top w:val="single" w:color="000000" w:sz="4" w:space="0"/>
              <w:left w:val="single" w:color="000000" w:sz="4" w:space="0"/>
              <w:bottom w:val="single" w:color="000000" w:sz="4" w:space="0"/>
              <w:right w:val="single" w:color="000000" w:sz="4" w:space="0"/>
            </w:tcBorders>
            <w:noWrap/>
            <w:vAlign w:val="center"/>
          </w:tcPr>
          <w:p w14:paraId="54F9D72F">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34" w:name="_Toc23297"/>
            <w:bookmarkStart w:id="2735" w:name="_Toc21399"/>
            <w:bookmarkStart w:id="2736" w:name="_Toc19153"/>
            <w:r>
              <w:rPr>
                <w:rFonts w:hint="default" w:ascii="Times New Roman" w:hAnsi="Times New Roman" w:eastAsia="宋体" w:cs="Times New Roman"/>
                <w:bCs/>
                <w:color w:val="auto"/>
                <w:kern w:val="0"/>
                <w:sz w:val="21"/>
                <w:szCs w:val="21"/>
                <w:highlight w:val="none"/>
                <w:lang w:val="en-US" w:eastAsia="zh-CN"/>
              </w:rPr>
              <w:t>101</w:t>
            </w:r>
            <w:bookmarkEnd w:id="2734"/>
            <w:bookmarkEnd w:id="2735"/>
            <w:bookmarkEnd w:id="2736"/>
          </w:p>
        </w:tc>
        <w:tc>
          <w:tcPr>
            <w:tcW w:w="859" w:type="pct"/>
            <w:tcBorders>
              <w:top w:val="single" w:color="000000" w:sz="4" w:space="0"/>
              <w:left w:val="single" w:color="000000" w:sz="4" w:space="0"/>
              <w:bottom w:val="single" w:color="000000" w:sz="4" w:space="0"/>
              <w:right w:val="single" w:color="000000" w:sz="4" w:space="0"/>
            </w:tcBorders>
            <w:noWrap/>
            <w:vAlign w:val="center"/>
          </w:tcPr>
          <w:p w14:paraId="3B1EB3DF">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37" w:name="_Toc25710"/>
            <w:bookmarkStart w:id="2738" w:name="_Toc12197"/>
            <w:bookmarkStart w:id="2739" w:name="_Toc624"/>
            <w:r>
              <w:rPr>
                <w:rFonts w:hint="default" w:ascii="Times New Roman" w:hAnsi="Times New Roman" w:eastAsia="宋体" w:cs="Times New Roman"/>
                <w:bCs/>
                <w:color w:val="auto"/>
                <w:kern w:val="0"/>
                <w:sz w:val="21"/>
                <w:szCs w:val="21"/>
                <w:highlight w:val="none"/>
                <w:lang w:val="en-US" w:eastAsia="zh-CN"/>
              </w:rPr>
              <w:t>33.5</w:t>
            </w:r>
            <w:bookmarkEnd w:id="2737"/>
            <w:bookmarkEnd w:id="2738"/>
            <w:bookmarkEnd w:id="2739"/>
          </w:p>
        </w:tc>
        <w:tc>
          <w:tcPr>
            <w:tcW w:w="859" w:type="pct"/>
            <w:tcBorders>
              <w:top w:val="single" w:color="000000" w:sz="4" w:space="0"/>
              <w:left w:val="single" w:color="000000" w:sz="4" w:space="0"/>
              <w:bottom w:val="single" w:color="000000" w:sz="4" w:space="0"/>
              <w:right w:val="single" w:color="000000" w:sz="12" w:space="0"/>
            </w:tcBorders>
            <w:noWrap/>
            <w:vAlign w:val="center"/>
          </w:tcPr>
          <w:p w14:paraId="6EF61CBF">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40" w:name="_Toc17622"/>
            <w:bookmarkStart w:id="2741" w:name="_Toc784"/>
            <w:bookmarkStart w:id="2742" w:name="_Toc23162"/>
            <w:r>
              <w:rPr>
                <w:rFonts w:hint="default" w:ascii="Times New Roman" w:hAnsi="Times New Roman" w:eastAsia="宋体" w:cs="Times New Roman"/>
                <w:bCs/>
                <w:color w:val="auto"/>
                <w:kern w:val="0"/>
                <w:sz w:val="21"/>
                <w:szCs w:val="21"/>
                <w:highlight w:val="none"/>
                <w:lang w:val="en-US" w:eastAsia="zh-CN"/>
              </w:rPr>
              <w:t>69.6</w:t>
            </w:r>
            <w:bookmarkEnd w:id="2740"/>
            <w:bookmarkEnd w:id="2741"/>
            <w:bookmarkEnd w:id="2742"/>
          </w:p>
        </w:tc>
      </w:tr>
      <w:tr w14:paraId="4924419F">
        <w:tblPrEx>
          <w:tblCellMar>
            <w:top w:w="0" w:type="dxa"/>
            <w:left w:w="108" w:type="dxa"/>
            <w:bottom w:w="0" w:type="dxa"/>
            <w:right w:w="108" w:type="dxa"/>
          </w:tblCellMar>
        </w:tblPrEx>
        <w:trPr>
          <w:trHeight w:val="340" w:hRule="atLeast"/>
        </w:trPr>
        <w:tc>
          <w:tcPr>
            <w:tcW w:w="1878" w:type="pct"/>
            <w:tcBorders>
              <w:top w:val="single" w:color="000000" w:sz="4" w:space="0"/>
              <w:left w:val="single" w:color="000000" w:sz="12" w:space="0"/>
              <w:bottom w:val="single" w:color="000000" w:sz="4" w:space="0"/>
              <w:right w:val="single" w:color="000000" w:sz="4" w:space="0"/>
            </w:tcBorders>
            <w:noWrap/>
            <w:vAlign w:val="center"/>
          </w:tcPr>
          <w:p w14:paraId="5EBCEBFC">
            <w:pPr>
              <w:pStyle w:val="29"/>
              <w:suppressLineNumbers w:val="0"/>
              <w:bidi w:val="0"/>
              <w:spacing w:beforeAutospacing="0" w:afterAutospacing="0"/>
              <w:ind w:left="0" w:right="0"/>
              <w:jc w:val="left"/>
              <w:rPr>
                <w:rFonts w:hint="default" w:ascii="Times New Roman" w:hAnsi="Times New Roman" w:eastAsia="宋体" w:cs="Times New Roman"/>
                <w:bCs/>
                <w:color w:val="auto"/>
                <w:kern w:val="0"/>
                <w:sz w:val="21"/>
                <w:szCs w:val="21"/>
                <w:highlight w:val="none"/>
                <w:lang w:val="en-US" w:eastAsia="zh-CN"/>
              </w:rPr>
            </w:pPr>
            <w:bookmarkStart w:id="2743" w:name="_Toc12245"/>
            <w:bookmarkStart w:id="2744" w:name="_Toc32531"/>
            <w:bookmarkStart w:id="2745" w:name="_Toc24755"/>
            <w:r>
              <w:rPr>
                <w:rFonts w:hint="default" w:ascii="Times New Roman" w:hAnsi="Times New Roman" w:eastAsia="宋体" w:cs="Times New Roman"/>
                <w:bCs/>
                <w:color w:val="auto"/>
                <w:kern w:val="0"/>
                <w:sz w:val="21"/>
                <w:szCs w:val="21"/>
                <w:highlight w:val="none"/>
                <w:lang w:val="en-US" w:eastAsia="zh-CN"/>
              </w:rPr>
              <w:t>5</w:t>
            </w:r>
            <w:r>
              <w:rPr>
                <w:rFonts w:hint="eastAsia" w:cs="Times New Roman"/>
                <w:bCs/>
                <w:color w:val="auto"/>
                <w:kern w:val="0"/>
                <w:sz w:val="21"/>
                <w:szCs w:val="21"/>
                <w:highlight w:val="none"/>
                <w:vertAlign w:val="superscript"/>
                <w:lang w:val="en-US" w:eastAsia="zh-CN"/>
              </w:rPr>
              <w:t>#</w:t>
            </w:r>
            <w:r>
              <w:rPr>
                <w:rFonts w:hint="default" w:ascii="Times New Roman" w:hAnsi="Times New Roman" w:eastAsia="宋体" w:cs="Times New Roman"/>
                <w:bCs/>
                <w:color w:val="auto"/>
                <w:kern w:val="0"/>
                <w:sz w:val="21"/>
                <w:szCs w:val="21"/>
                <w:highlight w:val="none"/>
                <w:lang w:val="en-US" w:eastAsia="zh-CN"/>
              </w:rPr>
              <w:t>（下台子</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支沟）</w:t>
            </w:r>
            <w:bookmarkEnd w:id="2743"/>
            <w:bookmarkEnd w:id="2744"/>
            <w:bookmarkEnd w:id="2745"/>
          </w:p>
        </w:tc>
        <w:tc>
          <w:tcPr>
            <w:tcW w:w="1403" w:type="pct"/>
            <w:tcBorders>
              <w:top w:val="single" w:color="000000" w:sz="4" w:space="0"/>
              <w:left w:val="single" w:color="000000" w:sz="4" w:space="0"/>
              <w:bottom w:val="single" w:color="000000" w:sz="4" w:space="0"/>
              <w:right w:val="single" w:color="000000" w:sz="4" w:space="0"/>
            </w:tcBorders>
            <w:noWrap/>
            <w:vAlign w:val="center"/>
          </w:tcPr>
          <w:p w14:paraId="3EA30CC6">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46" w:name="_Toc9029"/>
            <w:bookmarkStart w:id="2747" w:name="_Toc21618"/>
            <w:bookmarkStart w:id="2748" w:name="_Toc860"/>
            <w:r>
              <w:rPr>
                <w:rFonts w:hint="default" w:ascii="Times New Roman" w:hAnsi="Times New Roman" w:eastAsia="宋体" w:cs="Times New Roman"/>
                <w:bCs/>
                <w:color w:val="auto"/>
                <w:kern w:val="0"/>
                <w:sz w:val="21"/>
                <w:szCs w:val="21"/>
                <w:highlight w:val="none"/>
                <w:lang w:val="en-US" w:eastAsia="zh-CN"/>
              </w:rPr>
              <w:t>22</w:t>
            </w:r>
            <w:bookmarkEnd w:id="2746"/>
            <w:bookmarkEnd w:id="2747"/>
            <w:bookmarkEnd w:id="2748"/>
          </w:p>
        </w:tc>
        <w:tc>
          <w:tcPr>
            <w:tcW w:w="859" w:type="pct"/>
            <w:tcBorders>
              <w:top w:val="single" w:color="000000" w:sz="4" w:space="0"/>
              <w:left w:val="single" w:color="000000" w:sz="4" w:space="0"/>
              <w:bottom w:val="single" w:color="000000" w:sz="4" w:space="0"/>
              <w:right w:val="single" w:color="000000" w:sz="4" w:space="0"/>
            </w:tcBorders>
            <w:noWrap/>
            <w:vAlign w:val="center"/>
          </w:tcPr>
          <w:p w14:paraId="6940EAB2">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49" w:name="_Toc25995"/>
            <w:bookmarkStart w:id="2750" w:name="_Toc17598"/>
            <w:bookmarkStart w:id="2751" w:name="_Toc2729"/>
            <w:r>
              <w:rPr>
                <w:rFonts w:hint="default" w:ascii="Times New Roman" w:hAnsi="Times New Roman" w:eastAsia="宋体" w:cs="Times New Roman"/>
                <w:bCs/>
                <w:color w:val="auto"/>
                <w:kern w:val="0"/>
                <w:sz w:val="21"/>
                <w:szCs w:val="21"/>
                <w:highlight w:val="none"/>
                <w:lang w:val="en-US" w:eastAsia="zh-CN"/>
              </w:rPr>
              <w:t>9.2</w:t>
            </w:r>
            <w:bookmarkEnd w:id="2749"/>
            <w:bookmarkEnd w:id="2750"/>
            <w:bookmarkEnd w:id="2751"/>
          </w:p>
        </w:tc>
        <w:tc>
          <w:tcPr>
            <w:tcW w:w="859" w:type="pct"/>
            <w:tcBorders>
              <w:top w:val="single" w:color="000000" w:sz="4" w:space="0"/>
              <w:left w:val="single" w:color="000000" w:sz="4" w:space="0"/>
              <w:bottom w:val="single" w:color="000000" w:sz="4" w:space="0"/>
              <w:right w:val="single" w:color="000000" w:sz="12" w:space="0"/>
            </w:tcBorders>
            <w:noWrap/>
            <w:vAlign w:val="center"/>
          </w:tcPr>
          <w:p w14:paraId="42355536">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52" w:name="_Toc27789"/>
            <w:bookmarkStart w:id="2753" w:name="_Toc2588"/>
            <w:bookmarkStart w:id="2754" w:name="_Toc17045"/>
            <w:r>
              <w:rPr>
                <w:rFonts w:hint="default" w:ascii="Times New Roman" w:hAnsi="Times New Roman" w:eastAsia="宋体" w:cs="Times New Roman"/>
                <w:bCs/>
                <w:color w:val="auto"/>
                <w:kern w:val="0"/>
                <w:sz w:val="21"/>
                <w:szCs w:val="21"/>
                <w:highlight w:val="none"/>
                <w:lang w:val="en-US" w:eastAsia="zh-CN"/>
              </w:rPr>
              <w:t>9.2</w:t>
            </w:r>
            <w:bookmarkEnd w:id="2752"/>
            <w:bookmarkEnd w:id="2753"/>
            <w:bookmarkEnd w:id="2754"/>
          </w:p>
        </w:tc>
      </w:tr>
      <w:tr w14:paraId="52A6D068">
        <w:tblPrEx>
          <w:tblCellMar>
            <w:top w:w="0" w:type="dxa"/>
            <w:left w:w="108" w:type="dxa"/>
            <w:bottom w:w="0" w:type="dxa"/>
            <w:right w:w="108" w:type="dxa"/>
          </w:tblCellMar>
        </w:tblPrEx>
        <w:trPr>
          <w:trHeight w:val="340" w:hRule="atLeast"/>
        </w:trPr>
        <w:tc>
          <w:tcPr>
            <w:tcW w:w="1878" w:type="pct"/>
            <w:tcBorders>
              <w:top w:val="single" w:color="000000" w:sz="4" w:space="0"/>
              <w:left w:val="single" w:color="000000" w:sz="12" w:space="0"/>
              <w:bottom w:val="single" w:color="000000" w:sz="4" w:space="0"/>
              <w:right w:val="single" w:color="000000" w:sz="4" w:space="0"/>
            </w:tcBorders>
            <w:noWrap/>
            <w:vAlign w:val="center"/>
          </w:tcPr>
          <w:p w14:paraId="5B317638">
            <w:pPr>
              <w:pStyle w:val="29"/>
              <w:suppressLineNumbers w:val="0"/>
              <w:bidi w:val="0"/>
              <w:spacing w:beforeAutospacing="0" w:afterAutospacing="0"/>
              <w:ind w:left="0" w:right="0"/>
              <w:jc w:val="left"/>
              <w:rPr>
                <w:rFonts w:hint="default" w:ascii="Times New Roman" w:hAnsi="Times New Roman" w:eastAsia="宋体" w:cs="Times New Roman"/>
                <w:bCs/>
                <w:color w:val="auto"/>
                <w:kern w:val="0"/>
                <w:sz w:val="21"/>
                <w:szCs w:val="21"/>
                <w:highlight w:val="none"/>
                <w:lang w:val="en-US" w:eastAsia="zh-CN"/>
              </w:rPr>
            </w:pPr>
            <w:bookmarkStart w:id="2755" w:name="_Toc15099"/>
            <w:bookmarkStart w:id="2756" w:name="_Toc29293"/>
            <w:bookmarkStart w:id="2757" w:name="_Toc27961"/>
            <w:r>
              <w:rPr>
                <w:rFonts w:hint="default" w:ascii="Times New Roman" w:hAnsi="Times New Roman" w:eastAsia="宋体" w:cs="Times New Roman"/>
                <w:bCs/>
                <w:color w:val="auto"/>
                <w:kern w:val="0"/>
                <w:sz w:val="21"/>
                <w:szCs w:val="21"/>
                <w:highlight w:val="none"/>
                <w:lang w:val="en-US" w:eastAsia="zh-CN"/>
              </w:rPr>
              <w:t>6</w:t>
            </w:r>
            <w:r>
              <w:rPr>
                <w:rFonts w:hint="eastAsia" w:cs="Times New Roman"/>
                <w:bCs/>
                <w:color w:val="auto"/>
                <w:kern w:val="0"/>
                <w:sz w:val="21"/>
                <w:szCs w:val="21"/>
                <w:highlight w:val="none"/>
                <w:vertAlign w:val="superscript"/>
                <w:lang w:val="en-US" w:eastAsia="zh-CN"/>
              </w:rPr>
              <w:t>#</w:t>
            </w:r>
            <w:r>
              <w:rPr>
                <w:rFonts w:hint="default" w:ascii="Times New Roman" w:hAnsi="Times New Roman" w:eastAsia="宋体" w:cs="Times New Roman"/>
                <w:bCs/>
                <w:color w:val="auto"/>
                <w:kern w:val="0"/>
                <w:sz w:val="21"/>
                <w:szCs w:val="21"/>
                <w:highlight w:val="none"/>
                <w:lang w:val="en-US" w:eastAsia="zh-CN"/>
              </w:rPr>
              <w:t>（丁岗堡</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支沟）</w:t>
            </w:r>
            <w:bookmarkEnd w:id="2755"/>
            <w:bookmarkEnd w:id="2756"/>
            <w:bookmarkEnd w:id="2757"/>
          </w:p>
        </w:tc>
        <w:tc>
          <w:tcPr>
            <w:tcW w:w="1403" w:type="pct"/>
            <w:tcBorders>
              <w:top w:val="single" w:color="000000" w:sz="4" w:space="0"/>
              <w:left w:val="single" w:color="000000" w:sz="4" w:space="0"/>
              <w:bottom w:val="single" w:color="000000" w:sz="4" w:space="0"/>
              <w:right w:val="single" w:color="000000" w:sz="4" w:space="0"/>
            </w:tcBorders>
            <w:noWrap/>
            <w:vAlign w:val="center"/>
          </w:tcPr>
          <w:p w14:paraId="1093E64B">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58" w:name="_Toc7262"/>
            <w:bookmarkStart w:id="2759" w:name="_Toc28420"/>
            <w:bookmarkStart w:id="2760" w:name="_Toc3287"/>
            <w:r>
              <w:rPr>
                <w:rFonts w:hint="default" w:ascii="Times New Roman" w:hAnsi="Times New Roman" w:eastAsia="宋体" w:cs="Times New Roman"/>
                <w:bCs/>
                <w:color w:val="auto"/>
                <w:kern w:val="0"/>
                <w:sz w:val="21"/>
                <w:szCs w:val="21"/>
                <w:highlight w:val="none"/>
                <w:lang w:val="en-US" w:eastAsia="zh-CN"/>
              </w:rPr>
              <w:t>46.1</w:t>
            </w:r>
            <w:bookmarkEnd w:id="2758"/>
            <w:bookmarkEnd w:id="2759"/>
            <w:bookmarkEnd w:id="2760"/>
          </w:p>
        </w:tc>
        <w:tc>
          <w:tcPr>
            <w:tcW w:w="859" w:type="pct"/>
            <w:tcBorders>
              <w:top w:val="single" w:color="000000" w:sz="4" w:space="0"/>
              <w:left w:val="single" w:color="000000" w:sz="4" w:space="0"/>
              <w:bottom w:val="single" w:color="000000" w:sz="4" w:space="0"/>
              <w:right w:val="single" w:color="000000" w:sz="4" w:space="0"/>
            </w:tcBorders>
            <w:noWrap/>
            <w:vAlign w:val="center"/>
          </w:tcPr>
          <w:p w14:paraId="16814C59">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61" w:name="_Toc26953"/>
            <w:bookmarkStart w:id="2762" w:name="_Toc28451"/>
            <w:bookmarkStart w:id="2763" w:name="_Toc4304"/>
            <w:r>
              <w:rPr>
                <w:rFonts w:hint="default" w:ascii="Times New Roman" w:hAnsi="Times New Roman" w:eastAsia="宋体" w:cs="Times New Roman"/>
                <w:bCs/>
                <w:color w:val="auto"/>
                <w:kern w:val="0"/>
                <w:sz w:val="21"/>
                <w:szCs w:val="21"/>
                <w:highlight w:val="none"/>
                <w:lang w:val="en-US" w:eastAsia="zh-CN"/>
              </w:rPr>
              <w:t>13.3</w:t>
            </w:r>
            <w:bookmarkEnd w:id="2761"/>
            <w:bookmarkEnd w:id="2762"/>
            <w:bookmarkEnd w:id="2763"/>
          </w:p>
        </w:tc>
        <w:tc>
          <w:tcPr>
            <w:tcW w:w="859" w:type="pct"/>
            <w:tcBorders>
              <w:top w:val="single" w:color="000000" w:sz="4" w:space="0"/>
              <w:left w:val="single" w:color="000000" w:sz="4" w:space="0"/>
              <w:bottom w:val="single" w:color="000000" w:sz="4" w:space="0"/>
              <w:right w:val="single" w:color="000000" w:sz="12" w:space="0"/>
            </w:tcBorders>
            <w:noWrap/>
            <w:vAlign w:val="center"/>
          </w:tcPr>
          <w:p w14:paraId="277B471B">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64" w:name="_Toc8084"/>
            <w:bookmarkStart w:id="2765" w:name="_Toc11736"/>
            <w:bookmarkStart w:id="2766" w:name="_Toc15143"/>
            <w:r>
              <w:rPr>
                <w:rFonts w:hint="default" w:ascii="Times New Roman" w:hAnsi="Times New Roman" w:eastAsia="宋体" w:cs="Times New Roman"/>
                <w:bCs/>
                <w:color w:val="auto"/>
                <w:kern w:val="0"/>
                <w:sz w:val="21"/>
                <w:szCs w:val="21"/>
                <w:highlight w:val="none"/>
                <w:lang w:val="en-US" w:eastAsia="zh-CN"/>
              </w:rPr>
              <w:t>22.5</w:t>
            </w:r>
            <w:bookmarkEnd w:id="2764"/>
            <w:bookmarkEnd w:id="2765"/>
            <w:bookmarkEnd w:id="2766"/>
          </w:p>
        </w:tc>
      </w:tr>
      <w:tr w14:paraId="58C56774">
        <w:tblPrEx>
          <w:tblCellMar>
            <w:top w:w="0" w:type="dxa"/>
            <w:left w:w="108" w:type="dxa"/>
            <w:bottom w:w="0" w:type="dxa"/>
            <w:right w:w="108" w:type="dxa"/>
          </w:tblCellMar>
        </w:tblPrEx>
        <w:trPr>
          <w:trHeight w:val="340" w:hRule="atLeast"/>
        </w:trPr>
        <w:tc>
          <w:tcPr>
            <w:tcW w:w="1878" w:type="pct"/>
            <w:tcBorders>
              <w:top w:val="single" w:color="000000" w:sz="4" w:space="0"/>
              <w:left w:val="single" w:color="000000" w:sz="12" w:space="0"/>
              <w:bottom w:val="single" w:color="000000" w:sz="12" w:space="0"/>
              <w:right w:val="single" w:color="000000" w:sz="4" w:space="0"/>
            </w:tcBorders>
            <w:noWrap/>
            <w:vAlign w:val="center"/>
          </w:tcPr>
          <w:p w14:paraId="58A11713">
            <w:pPr>
              <w:pStyle w:val="29"/>
              <w:suppressLineNumbers w:val="0"/>
              <w:bidi w:val="0"/>
              <w:spacing w:beforeAutospacing="0" w:afterAutospacing="0"/>
              <w:ind w:left="0" w:right="0"/>
              <w:jc w:val="left"/>
              <w:rPr>
                <w:rFonts w:hint="default" w:ascii="Times New Roman" w:hAnsi="Times New Roman" w:eastAsia="宋体" w:cs="Times New Roman"/>
                <w:bCs/>
                <w:color w:val="auto"/>
                <w:kern w:val="0"/>
                <w:sz w:val="21"/>
                <w:szCs w:val="21"/>
                <w:highlight w:val="none"/>
                <w:lang w:val="en-US" w:eastAsia="zh-CN"/>
              </w:rPr>
            </w:pPr>
            <w:bookmarkStart w:id="2767" w:name="_Toc5308"/>
            <w:bookmarkStart w:id="2768" w:name="_Toc22555"/>
            <w:bookmarkStart w:id="2769" w:name="_Toc6996"/>
            <w:r>
              <w:rPr>
                <w:rFonts w:hint="default" w:ascii="Times New Roman" w:hAnsi="Times New Roman" w:eastAsia="宋体" w:cs="Times New Roman"/>
                <w:bCs/>
                <w:color w:val="auto"/>
                <w:kern w:val="0"/>
                <w:sz w:val="21"/>
                <w:szCs w:val="21"/>
                <w:highlight w:val="none"/>
                <w:lang w:val="en-US" w:eastAsia="zh-CN"/>
              </w:rPr>
              <w:t>7</w:t>
            </w:r>
            <w:r>
              <w:rPr>
                <w:rFonts w:hint="eastAsia" w:cs="Times New Roman"/>
                <w:bCs/>
                <w:color w:val="auto"/>
                <w:kern w:val="0"/>
                <w:sz w:val="21"/>
                <w:szCs w:val="21"/>
                <w:highlight w:val="none"/>
                <w:vertAlign w:val="superscript"/>
                <w:lang w:val="en-US" w:eastAsia="zh-CN"/>
              </w:rPr>
              <w:t>#</w:t>
            </w:r>
            <w:r>
              <w:rPr>
                <w:rFonts w:hint="default" w:ascii="Times New Roman" w:hAnsi="Times New Roman" w:eastAsia="宋体" w:cs="Times New Roman"/>
                <w:bCs/>
                <w:color w:val="auto"/>
                <w:kern w:val="0"/>
                <w:sz w:val="21"/>
                <w:szCs w:val="21"/>
                <w:highlight w:val="none"/>
                <w:lang w:val="en-US" w:eastAsia="zh-CN"/>
              </w:rPr>
              <w:t>（川口</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支沟）</w:t>
            </w:r>
            <w:bookmarkEnd w:id="2767"/>
            <w:bookmarkEnd w:id="2768"/>
            <w:bookmarkEnd w:id="2769"/>
          </w:p>
        </w:tc>
        <w:tc>
          <w:tcPr>
            <w:tcW w:w="1403" w:type="pct"/>
            <w:tcBorders>
              <w:top w:val="single" w:color="000000" w:sz="4" w:space="0"/>
              <w:left w:val="single" w:color="000000" w:sz="4" w:space="0"/>
              <w:bottom w:val="single" w:color="000000" w:sz="12" w:space="0"/>
              <w:right w:val="single" w:color="000000" w:sz="4" w:space="0"/>
            </w:tcBorders>
            <w:noWrap/>
            <w:vAlign w:val="center"/>
          </w:tcPr>
          <w:p w14:paraId="5EF13437">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70" w:name="_Toc14387"/>
            <w:bookmarkStart w:id="2771" w:name="_Toc15447"/>
            <w:bookmarkStart w:id="2772" w:name="_Toc29102"/>
            <w:r>
              <w:rPr>
                <w:rFonts w:hint="default" w:ascii="Times New Roman" w:hAnsi="Times New Roman" w:eastAsia="宋体" w:cs="Times New Roman"/>
                <w:bCs/>
                <w:color w:val="auto"/>
                <w:kern w:val="0"/>
                <w:sz w:val="21"/>
                <w:szCs w:val="21"/>
                <w:highlight w:val="none"/>
                <w:lang w:val="en-US" w:eastAsia="zh-CN"/>
              </w:rPr>
              <w:t>65.2</w:t>
            </w:r>
            <w:bookmarkEnd w:id="2770"/>
            <w:bookmarkEnd w:id="2771"/>
            <w:bookmarkEnd w:id="2772"/>
          </w:p>
        </w:tc>
        <w:tc>
          <w:tcPr>
            <w:tcW w:w="859" w:type="pct"/>
            <w:tcBorders>
              <w:top w:val="single" w:color="000000" w:sz="4" w:space="0"/>
              <w:left w:val="single" w:color="000000" w:sz="4" w:space="0"/>
              <w:bottom w:val="single" w:color="000000" w:sz="12" w:space="0"/>
              <w:right w:val="single" w:color="000000" w:sz="4" w:space="0"/>
            </w:tcBorders>
            <w:noWrap/>
            <w:vAlign w:val="center"/>
          </w:tcPr>
          <w:p w14:paraId="3C772CCA">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73" w:name="_Toc16519"/>
            <w:bookmarkStart w:id="2774" w:name="_Toc18068"/>
            <w:bookmarkStart w:id="2775" w:name="_Toc7472"/>
            <w:r>
              <w:rPr>
                <w:rFonts w:hint="default" w:ascii="Times New Roman" w:hAnsi="Times New Roman" w:eastAsia="宋体" w:cs="Times New Roman"/>
                <w:bCs/>
                <w:color w:val="auto"/>
                <w:kern w:val="0"/>
                <w:sz w:val="21"/>
                <w:szCs w:val="21"/>
                <w:highlight w:val="none"/>
                <w:lang w:val="en-US" w:eastAsia="zh-CN"/>
              </w:rPr>
              <w:t>12.9</w:t>
            </w:r>
            <w:bookmarkEnd w:id="2773"/>
            <w:bookmarkEnd w:id="2774"/>
            <w:bookmarkEnd w:id="2775"/>
          </w:p>
        </w:tc>
        <w:tc>
          <w:tcPr>
            <w:tcW w:w="859" w:type="pct"/>
            <w:tcBorders>
              <w:top w:val="single" w:color="000000" w:sz="4" w:space="0"/>
              <w:left w:val="single" w:color="000000" w:sz="4" w:space="0"/>
              <w:bottom w:val="single" w:color="000000" w:sz="12" w:space="0"/>
              <w:right w:val="single" w:color="000000" w:sz="12" w:space="0"/>
            </w:tcBorders>
            <w:noWrap/>
            <w:vAlign w:val="center"/>
          </w:tcPr>
          <w:p w14:paraId="1207568B">
            <w:pPr>
              <w:pStyle w:val="29"/>
              <w:suppressLineNumbers w:val="0"/>
              <w:bidi w:val="0"/>
              <w:spacing w:beforeAutospacing="0" w:afterAutospacing="0"/>
              <w:ind w:left="0" w:right="0"/>
              <w:rPr>
                <w:rFonts w:hint="default" w:ascii="Times New Roman" w:hAnsi="Times New Roman" w:eastAsia="宋体" w:cs="Times New Roman"/>
                <w:bCs/>
                <w:color w:val="auto"/>
                <w:kern w:val="0"/>
                <w:sz w:val="21"/>
                <w:szCs w:val="21"/>
                <w:highlight w:val="none"/>
                <w:lang w:val="en-US" w:eastAsia="zh-CN"/>
              </w:rPr>
            </w:pPr>
            <w:bookmarkStart w:id="2776" w:name="_Toc14879"/>
            <w:bookmarkStart w:id="2777" w:name="_Toc25332"/>
            <w:bookmarkStart w:id="2778" w:name="_Toc17614"/>
            <w:r>
              <w:rPr>
                <w:rFonts w:hint="default" w:ascii="Times New Roman" w:hAnsi="Times New Roman" w:eastAsia="宋体" w:cs="Times New Roman"/>
                <w:bCs/>
                <w:color w:val="auto"/>
                <w:kern w:val="0"/>
                <w:sz w:val="21"/>
                <w:szCs w:val="21"/>
                <w:highlight w:val="none"/>
                <w:lang w:val="en-US" w:eastAsia="zh-CN"/>
              </w:rPr>
              <w:t>35.4</w:t>
            </w:r>
            <w:bookmarkEnd w:id="2776"/>
            <w:bookmarkEnd w:id="2777"/>
            <w:bookmarkEnd w:id="2778"/>
          </w:p>
        </w:tc>
      </w:tr>
    </w:tbl>
    <w:p w14:paraId="4CC6FAA6">
      <w:pPr>
        <w:pStyle w:val="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.2.2</w:t>
      </w:r>
      <w:r>
        <w:rPr>
          <w:rFonts w:hint="default" w:ascii="Times New Roman" w:hAnsi="Times New Roman" w:eastAsia="宋体" w:cs="Times New Roman"/>
          <w:color w:val="auto"/>
          <w:highlight w:val="none"/>
        </w:rPr>
        <w:t>二期建设规模</w:t>
      </w:r>
    </w:p>
    <w:p w14:paraId="7B975D49">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二期工程涉及石头崾岘水库清淤，具体规模如下：</w:t>
      </w:r>
    </w:p>
    <w:p w14:paraId="4D7992A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石头崾岘水库清淤位于小河河道上，本次进行清淤，总清淤量为120万m³，平均清淤深度2.5m，清淤面积约为48.0万</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rPr>
        <w:t>，清淤库面长度1.3km、平均宽度0.3km。</w:t>
      </w:r>
    </w:p>
    <w:bookmarkEnd w:id="2682"/>
    <w:p w14:paraId="38669613">
      <w:pPr>
        <w:pStyle w:val="4"/>
        <w:rPr>
          <w:rFonts w:hint="default" w:ascii="Times New Roman" w:hAnsi="Times New Roman" w:cs="Times New Roman"/>
          <w:color w:val="auto"/>
          <w:sz w:val="28"/>
          <w:szCs w:val="28"/>
          <w:highlight w:val="none"/>
        </w:rPr>
      </w:pPr>
      <w:bookmarkStart w:id="2779" w:name="_Toc13933"/>
      <w:bookmarkStart w:id="2780" w:name="_Toc12029"/>
      <w:bookmarkStart w:id="2781" w:name="_Toc17087"/>
      <w:bookmarkStart w:id="2782" w:name="_Toc31949"/>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主要建设内容</w:t>
      </w:r>
      <w:bookmarkEnd w:id="2779"/>
      <w:bookmarkEnd w:id="2780"/>
      <w:bookmarkEnd w:id="2781"/>
      <w:bookmarkEnd w:id="2782"/>
    </w:p>
    <w:p w14:paraId="1EA49E02">
      <w:pPr>
        <w:pStyle w:val="6"/>
        <w:rPr>
          <w:rFonts w:hint="default" w:ascii="Times New Roman" w:hAnsi="Times New Roman" w:cs="Times New Roman"/>
          <w:color w:val="auto"/>
          <w:sz w:val="28"/>
          <w:szCs w:val="28"/>
          <w:highlight w:val="none"/>
        </w:rPr>
      </w:pPr>
      <w:bookmarkStart w:id="2783" w:name="_Toc2418"/>
      <w:bookmarkStart w:id="2784" w:name="_Toc24466"/>
      <w:bookmarkStart w:id="2785" w:name="_Toc25029"/>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.1主要建设内容</w:t>
      </w:r>
      <w:bookmarkEnd w:id="2783"/>
      <w:bookmarkEnd w:id="2784"/>
      <w:bookmarkEnd w:id="2785"/>
    </w:p>
    <w:p w14:paraId="3E057DFA">
      <w:pPr>
        <w:pStyle w:val="7"/>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2.</w:t>
      </w:r>
      <w:r>
        <w:rPr>
          <w:rFonts w:hint="eastAsia" w:cs="Times New Roman"/>
          <w:color w:val="auto"/>
          <w:kern w:val="2"/>
          <w:highlight w:val="none"/>
          <w:lang w:val="en-US" w:eastAsia="zh-CN"/>
        </w:rPr>
        <w:t>4</w:t>
      </w:r>
      <w:r>
        <w:rPr>
          <w:rFonts w:hint="default" w:ascii="Times New Roman" w:hAnsi="Times New Roman" w:eastAsia="宋体" w:cs="Times New Roman"/>
          <w:color w:val="auto"/>
          <w:kern w:val="2"/>
          <w:highlight w:val="none"/>
          <w:lang w:val="en-US" w:eastAsia="zh-CN"/>
        </w:rPr>
        <w:t>.1.1一期建设内容</w:t>
      </w:r>
    </w:p>
    <w:p w14:paraId="7B0C8BEC">
      <w:pPr>
        <w:jc w:val="both"/>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川口河段河道</w:t>
      </w:r>
    </w:p>
    <w:p w14:paraId="67FE1FF9">
      <w:pPr>
        <w:numPr>
          <w:ilvl w:val="0"/>
          <w:numId w:val="3"/>
        </w:num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护岸工程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本次川口河段护岸长11.76km，其中左岸4.77km、右岸6.99km。涉及4种砌护形式</w:t>
      </w:r>
      <w:r>
        <w:rPr>
          <w:rFonts w:hint="default" w:ascii="Times New Roman" w:hAnsi="Times New Roman" w:cs="Times New Roman"/>
          <w:color w:val="auto"/>
          <w:sz w:val="24"/>
          <w:szCs w:val="24"/>
          <w:highlight w:val="none"/>
          <w:lang w:eastAsia="zh-CN"/>
        </w:rPr>
        <w:t>：</w:t>
      </w:r>
    </w:p>
    <w:p w14:paraId="00DEC47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①直墙砌护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砌护总长 443.0m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其中浆砌石直墙砌护136m</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位于左岸</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、格宾直墙砌护307m</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位于右岸</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p>
    <w:p w14:paraId="24F1076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②坡式纯生态砌护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砌护长 5811m，其中左岸2570m、右岸3241m</w:t>
      </w:r>
      <w:r>
        <w:rPr>
          <w:rFonts w:hint="default" w:ascii="Times New Roman" w:hAnsi="Times New Roman" w:cs="Times New Roman"/>
          <w:color w:val="auto"/>
          <w:sz w:val="24"/>
          <w:szCs w:val="24"/>
          <w:highlight w:val="none"/>
          <w:lang w:eastAsia="zh-CN"/>
        </w:rPr>
        <w:t>；</w:t>
      </w:r>
    </w:p>
    <w:p w14:paraId="2655E51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③坡式格宾+纯生态砌护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砌护长4016m，其中左岸1492m、右岸2524m</w:t>
      </w:r>
      <w:r>
        <w:rPr>
          <w:rFonts w:hint="default" w:ascii="Times New Roman" w:hAnsi="Times New Roman" w:cs="Times New Roman"/>
          <w:color w:val="auto"/>
          <w:sz w:val="24"/>
          <w:szCs w:val="24"/>
          <w:highlight w:val="none"/>
          <w:lang w:eastAsia="zh-CN"/>
        </w:rPr>
        <w:t>；</w:t>
      </w:r>
    </w:p>
    <w:p w14:paraId="46B4CB38">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④坡式格宾+蜂巢式网格植草生态砖砌护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砌护长1490m，其中左岸574m、右岸916m。</w:t>
      </w:r>
    </w:p>
    <w:p w14:paraId="078BBF50">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巡检道路工程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川口河新建巡检道路7.80km，路面宽5.0m</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包含两侧路肩，各0.5m</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，路面铺设砂砾石，厚0.15m。</w:t>
      </w:r>
    </w:p>
    <w:p w14:paraId="55C272D8">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附属建筑物工程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翻建过水路面4座，新建警示牌50座。路面、桥面、桥墩均采用 C25、F150 砼，垫层采用C20、F150 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浆砌石采用 MU40毛料石 M7.5 砂浆砌筑、M10水泥砂浆勾缝。</w:t>
      </w:r>
    </w:p>
    <w:p w14:paraId="5AB96169">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河道疏浚工程</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疏浚河道9.43km(K7+650-K13+350、K14+500-K18+225</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疏浚平均河宽14m</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54m，开挖土方量13.14万m</w:t>
      </w:r>
      <w:r>
        <w:rPr>
          <w:rFonts w:hint="eastAsia"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rPr>
        <w:t>，回填土方量8.87万m³。</w:t>
      </w:r>
    </w:p>
    <w:p w14:paraId="724582ED">
      <w:pPr>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小河段河道</w:t>
      </w:r>
    </w:p>
    <w:p w14:paraId="67D81315">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护岸工程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小河河道段护岸总长1.00km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其中左岸0.42km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右岸0.58km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砌护顶高程1511.0m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采用格宾坡式护岸形式。</w:t>
      </w:r>
    </w:p>
    <w:p w14:paraId="6440872B">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巡检道路工程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新建小河巡检道路1.57km，路面宽4.5m</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包含两侧路肩，各0.5m</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，路面铺设砂砾石，厚0.15m。</w:t>
      </w:r>
    </w:p>
    <w:p w14:paraId="3FE07DDC">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附属建筑物工程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翻建过水路面1座，路面、桥面、桥墩均采用C25、F150砼，垫层采用 C20、F150 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浆砌石采用 MU40 毛料石 M7.5 砂浆砌筑、M10 水泥砂浆勾缝，护坦采用格宾结构。</w:t>
      </w:r>
    </w:p>
    <w:p w14:paraId="4CA30967">
      <w:pPr>
        <w:pStyle w:val="7"/>
        <w:rPr>
          <w:rFonts w:hint="default" w:ascii="Times New Roman" w:hAnsi="Times New Roman" w:eastAsia="宋体" w:cs="Times New Roman"/>
          <w:color w:val="auto"/>
          <w:kern w:val="2"/>
          <w:highlight w:val="none"/>
          <w:lang w:val="en-US" w:eastAsia="zh-CN"/>
        </w:rPr>
      </w:pPr>
      <w:r>
        <w:rPr>
          <w:rFonts w:hint="default" w:ascii="Times New Roman" w:hAnsi="Times New Roman" w:eastAsia="宋体" w:cs="Times New Roman"/>
          <w:color w:val="auto"/>
          <w:kern w:val="2"/>
          <w:highlight w:val="none"/>
          <w:lang w:val="en-US" w:eastAsia="zh-CN"/>
        </w:rPr>
        <w:t>2.</w:t>
      </w:r>
      <w:r>
        <w:rPr>
          <w:rFonts w:hint="eastAsia" w:cs="Times New Roman"/>
          <w:color w:val="auto"/>
          <w:kern w:val="2"/>
          <w:highlight w:val="none"/>
          <w:lang w:val="en-US" w:eastAsia="zh-CN"/>
        </w:rPr>
        <w:t>4</w:t>
      </w:r>
      <w:r>
        <w:rPr>
          <w:rFonts w:hint="default" w:ascii="Times New Roman" w:hAnsi="Times New Roman" w:eastAsia="宋体" w:cs="Times New Roman"/>
          <w:color w:val="auto"/>
          <w:kern w:val="2"/>
          <w:highlight w:val="none"/>
          <w:lang w:val="en-US" w:eastAsia="zh-CN"/>
        </w:rPr>
        <w:t>.1.2二期建设内容</w:t>
      </w:r>
    </w:p>
    <w:p w14:paraId="078B76D5">
      <w:pPr>
        <w:numPr>
          <w:ilvl w:val="0"/>
          <w:numId w:val="4"/>
        </w:num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水库清淤工程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库区设计总清淤量为120.0万m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，清面积48.0万m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，清淤深度为2.5m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为了便于淤泥运输，在设计清淤区域布设临时道路网，临时道路长7.8km，设计路面宽度5.0m，道路间距100m。</w:t>
      </w:r>
    </w:p>
    <w:p w14:paraId="469E7174">
      <w:pPr>
        <w:numPr>
          <w:ilvl w:val="0"/>
          <w:numId w:val="4"/>
        </w:num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堆场工程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在水库库尾设置堆场7处，消纳容积136万m</w:t>
      </w:r>
      <w:r>
        <w:rPr>
          <w:rFonts w:hint="default" w:ascii="Times New Roman" w:hAnsi="Times New Roman" w:cs="Times New Roman"/>
          <w:color w:val="auto"/>
          <w:sz w:val="24"/>
          <w:szCs w:val="24"/>
          <w:highlight w:val="none"/>
          <w:vertAlign w:val="superscript"/>
        </w:rPr>
        <w:t>3</w:t>
      </w:r>
      <w:r>
        <w:rPr>
          <w:rFonts w:hint="eastAsia" w:cs="Times New Roman"/>
          <w:color w:val="auto"/>
          <w:sz w:val="24"/>
          <w:szCs w:val="24"/>
          <w:highlight w:val="none"/>
          <w:vertAlign w:val="superscript"/>
          <w:lang w:eastAsia="zh-CN"/>
        </w:rPr>
        <w:t>（</w:t>
      </w:r>
      <w:r>
        <w:rPr>
          <w:rFonts w:hint="default" w:ascii="Times New Roman" w:hAnsi="Times New Roman" w:cs="Times New Roman"/>
          <w:color w:val="auto"/>
          <w:sz w:val="24"/>
          <w:szCs w:val="24"/>
          <w:highlight w:val="none"/>
        </w:rPr>
        <w:t>包含120万m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淤泥清除、16万m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临时道路清理土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1D56A80B">
      <w:pPr>
        <w:pStyle w:val="6"/>
        <w:rPr>
          <w:rFonts w:hint="default" w:ascii="Times New Roman" w:hAnsi="Times New Roman" w:cs="Times New Roman"/>
          <w:color w:val="auto"/>
          <w:sz w:val="28"/>
          <w:szCs w:val="28"/>
          <w:highlight w:val="none"/>
        </w:rPr>
      </w:pPr>
      <w:bookmarkStart w:id="2786" w:name="_Toc26346"/>
      <w:bookmarkStart w:id="2787" w:name="_Toc14360"/>
      <w:bookmarkStart w:id="2788" w:name="_Toc23808"/>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.2本工程项目组成</w:t>
      </w:r>
      <w:bookmarkEnd w:id="2786"/>
      <w:bookmarkEnd w:id="2787"/>
      <w:bookmarkEnd w:id="2788"/>
    </w:p>
    <w:p w14:paraId="32ACF7F0">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茹河支流河道生态综合治理项目（红茹河土地综合整治单元）—彭阳县茹河（小河段）河道治理工程</w:t>
      </w:r>
      <w:r>
        <w:rPr>
          <w:rFonts w:hint="default" w:ascii="Times New Roman" w:hAnsi="Times New Roman" w:cs="Times New Roman"/>
          <w:color w:val="auto"/>
          <w:sz w:val="24"/>
          <w:szCs w:val="24"/>
          <w:highlight w:val="none"/>
        </w:rPr>
        <w:t>项目组成见表2.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-1。</w:t>
      </w:r>
    </w:p>
    <w:p w14:paraId="1AA2DCAB">
      <w:pPr>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项目工程组成一览表</w:t>
      </w:r>
    </w:p>
    <w:tbl>
      <w:tblPr>
        <w:tblStyle w:val="31"/>
        <w:tblW w:w="84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776"/>
        <w:gridCol w:w="1083"/>
        <w:gridCol w:w="1162"/>
        <w:gridCol w:w="5395"/>
        <w:gridCol w:w="35"/>
      </w:tblGrid>
      <w:tr w14:paraId="3278BAA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blHeader/>
          <w:jc w:val="center"/>
        </w:trPr>
        <w:tc>
          <w:tcPr>
            <w:tcW w:w="776" w:type="dxa"/>
            <w:tcMar>
              <w:top w:w="0" w:type="dxa"/>
              <w:left w:w="28" w:type="dxa"/>
              <w:bottom w:w="0" w:type="dxa"/>
              <w:right w:w="28" w:type="dxa"/>
            </w:tcMar>
            <w:vAlign w:val="center"/>
          </w:tcPr>
          <w:p w14:paraId="0AEBC6C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789" w:name="_Toc24091"/>
            <w:bookmarkStart w:id="2790" w:name="_Toc26586"/>
            <w:bookmarkStart w:id="2791" w:name="_Toc5224"/>
            <w:bookmarkStart w:id="2792" w:name="_Toc2494"/>
            <w:bookmarkStart w:id="2793" w:name="_Toc23445"/>
            <w:r>
              <w:rPr>
                <w:rFonts w:hint="default" w:ascii="Times New Roman" w:hAnsi="Times New Roman" w:cs="Times New Roman"/>
                <w:b/>
                <w:bCs/>
                <w:color w:val="auto"/>
                <w:sz w:val="21"/>
                <w:szCs w:val="21"/>
                <w:highlight w:val="none"/>
              </w:rPr>
              <w:t>类别</w:t>
            </w:r>
            <w:bookmarkEnd w:id="2789"/>
            <w:bookmarkEnd w:id="2790"/>
            <w:bookmarkEnd w:id="2791"/>
            <w:bookmarkEnd w:id="2792"/>
            <w:bookmarkEnd w:id="2793"/>
          </w:p>
        </w:tc>
        <w:tc>
          <w:tcPr>
            <w:tcW w:w="1083" w:type="dxa"/>
            <w:tcMar>
              <w:top w:w="0" w:type="dxa"/>
              <w:left w:w="28" w:type="dxa"/>
              <w:bottom w:w="0" w:type="dxa"/>
              <w:right w:w="28" w:type="dxa"/>
            </w:tcMar>
            <w:vAlign w:val="center"/>
          </w:tcPr>
          <w:p w14:paraId="78230B11">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794" w:name="_Toc21739"/>
            <w:bookmarkStart w:id="2795" w:name="_Toc30855"/>
            <w:bookmarkStart w:id="2796" w:name="_Toc12062"/>
            <w:bookmarkStart w:id="2797" w:name="_Toc8413"/>
            <w:bookmarkStart w:id="2798" w:name="_Toc27649"/>
            <w:r>
              <w:rPr>
                <w:rFonts w:hint="default" w:ascii="Times New Roman" w:hAnsi="Times New Roman" w:cs="Times New Roman"/>
                <w:b/>
                <w:bCs/>
                <w:color w:val="auto"/>
                <w:sz w:val="21"/>
                <w:szCs w:val="21"/>
                <w:highlight w:val="none"/>
              </w:rPr>
              <w:t>项目名称</w:t>
            </w:r>
            <w:bookmarkEnd w:id="2794"/>
            <w:bookmarkEnd w:id="2795"/>
            <w:bookmarkEnd w:id="2796"/>
            <w:bookmarkEnd w:id="2797"/>
            <w:bookmarkEnd w:id="2798"/>
          </w:p>
        </w:tc>
        <w:tc>
          <w:tcPr>
            <w:tcW w:w="6592" w:type="dxa"/>
            <w:gridSpan w:val="3"/>
            <w:tcMar>
              <w:top w:w="0" w:type="dxa"/>
              <w:left w:w="28" w:type="dxa"/>
              <w:bottom w:w="0" w:type="dxa"/>
              <w:right w:w="28" w:type="dxa"/>
            </w:tcMar>
            <w:vAlign w:val="center"/>
          </w:tcPr>
          <w:p w14:paraId="53416B84">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2799" w:name="_Toc6050"/>
            <w:bookmarkStart w:id="2800" w:name="_Toc27376"/>
            <w:bookmarkStart w:id="2801" w:name="_Toc10335"/>
            <w:bookmarkStart w:id="2802" w:name="_Toc15245"/>
            <w:bookmarkStart w:id="2803" w:name="_Toc3611"/>
            <w:r>
              <w:rPr>
                <w:rFonts w:hint="default" w:ascii="Times New Roman" w:hAnsi="Times New Roman" w:cs="Times New Roman"/>
                <w:b/>
                <w:bCs/>
                <w:color w:val="auto"/>
                <w:sz w:val="21"/>
                <w:szCs w:val="21"/>
                <w:highlight w:val="none"/>
              </w:rPr>
              <w:t>项目建设内容</w:t>
            </w:r>
            <w:bookmarkEnd w:id="2799"/>
            <w:bookmarkEnd w:id="2800"/>
            <w:bookmarkEnd w:id="2801"/>
            <w:bookmarkEnd w:id="2802"/>
            <w:bookmarkEnd w:id="2803"/>
          </w:p>
        </w:tc>
      </w:tr>
      <w:tr w14:paraId="6041DAD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76" w:type="dxa"/>
            <w:vMerge w:val="restart"/>
            <w:tcMar>
              <w:top w:w="0" w:type="dxa"/>
              <w:left w:w="28" w:type="dxa"/>
              <w:bottom w:w="0" w:type="dxa"/>
              <w:right w:w="28" w:type="dxa"/>
            </w:tcMar>
            <w:vAlign w:val="center"/>
          </w:tcPr>
          <w:p w14:paraId="7071A17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04" w:name="_Toc27141"/>
            <w:bookmarkStart w:id="2805" w:name="_Toc24378"/>
            <w:bookmarkStart w:id="2806" w:name="_Toc29802"/>
            <w:bookmarkStart w:id="2807" w:name="_Toc25342"/>
            <w:bookmarkStart w:id="2808" w:name="_Toc744"/>
            <w:r>
              <w:rPr>
                <w:rFonts w:hint="default" w:ascii="Times New Roman" w:hAnsi="Times New Roman" w:cs="Times New Roman"/>
                <w:color w:val="auto"/>
                <w:sz w:val="21"/>
                <w:szCs w:val="21"/>
                <w:highlight w:val="none"/>
              </w:rPr>
              <w:t>主体</w:t>
            </w:r>
            <w:bookmarkEnd w:id="2804"/>
            <w:bookmarkEnd w:id="2805"/>
            <w:bookmarkEnd w:id="2806"/>
            <w:bookmarkEnd w:id="2807"/>
            <w:bookmarkEnd w:id="2808"/>
          </w:p>
          <w:p w14:paraId="448E7A5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09" w:name="_Toc5752"/>
            <w:bookmarkStart w:id="2810" w:name="_Toc27674"/>
            <w:bookmarkStart w:id="2811" w:name="_Toc9633"/>
            <w:bookmarkStart w:id="2812" w:name="_Toc30981"/>
            <w:bookmarkStart w:id="2813" w:name="_Toc19625"/>
            <w:r>
              <w:rPr>
                <w:rFonts w:hint="default" w:ascii="Times New Roman" w:hAnsi="Times New Roman" w:cs="Times New Roman"/>
                <w:color w:val="auto"/>
                <w:sz w:val="21"/>
                <w:szCs w:val="21"/>
                <w:highlight w:val="none"/>
              </w:rPr>
              <w:t>工程</w:t>
            </w:r>
            <w:bookmarkEnd w:id="2809"/>
            <w:bookmarkEnd w:id="2810"/>
            <w:bookmarkEnd w:id="2811"/>
            <w:bookmarkEnd w:id="2812"/>
            <w:bookmarkEnd w:id="2813"/>
          </w:p>
        </w:tc>
        <w:tc>
          <w:tcPr>
            <w:tcW w:w="1083" w:type="dxa"/>
            <w:vMerge w:val="restart"/>
            <w:tcMar>
              <w:top w:w="0" w:type="dxa"/>
              <w:left w:w="28" w:type="dxa"/>
              <w:bottom w:w="0" w:type="dxa"/>
              <w:right w:w="28" w:type="dxa"/>
            </w:tcMar>
            <w:vAlign w:val="center"/>
          </w:tcPr>
          <w:p w14:paraId="23B894E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14" w:name="_Toc24748"/>
            <w:bookmarkStart w:id="2815" w:name="_Toc22178"/>
            <w:bookmarkStart w:id="2816" w:name="_Toc14783"/>
            <w:r>
              <w:rPr>
                <w:rFonts w:hint="default" w:ascii="Times New Roman" w:hAnsi="Times New Roman" w:cs="Times New Roman"/>
                <w:color w:val="auto"/>
                <w:sz w:val="21"/>
                <w:szCs w:val="21"/>
                <w:highlight w:val="none"/>
              </w:rPr>
              <w:t>川口河段河道</w:t>
            </w:r>
            <w:bookmarkEnd w:id="2814"/>
            <w:bookmarkEnd w:id="2815"/>
            <w:bookmarkEnd w:id="2816"/>
          </w:p>
        </w:tc>
        <w:tc>
          <w:tcPr>
            <w:tcW w:w="1162" w:type="dxa"/>
            <w:tcMar>
              <w:top w:w="0" w:type="dxa"/>
              <w:left w:w="28" w:type="dxa"/>
              <w:bottom w:w="0" w:type="dxa"/>
              <w:right w:w="28" w:type="dxa"/>
            </w:tcMar>
            <w:vAlign w:val="center"/>
          </w:tcPr>
          <w:p w14:paraId="2A9E57E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17" w:name="_Toc7964"/>
            <w:bookmarkStart w:id="2818" w:name="_Toc705"/>
            <w:bookmarkStart w:id="2819" w:name="_Toc27794"/>
            <w:r>
              <w:rPr>
                <w:rFonts w:hint="default" w:ascii="Times New Roman" w:hAnsi="Times New Roman" w:cs="Times New Roman"/>
                <w:color w:val="auto"/>
                <w:sz w:val="21"/>
                <w:szCs w:val="21"/>
                <w:highlight w:val="none"/>
              </w:rPr>
              <w:t>护岸工程</w:t>
            </w:r>
            <w:bookmarkEnd w:id="2817"/>
            <w:bookmarkEnd w:id="2818"/>
            <w:bookmarkEnd w:id="2819"/>
          </w:p>
        </w:tc>
        <w:tc>
          <w:tcPr>
            <w:tcW w:w="5430" w:type="dxa"/>
            <w:gridSpan w:val="2"/>
            <w:tcMar>
              <w:top w:w="0" w:type="dxa"/>
              <w:left w:w="28" w:type="dxa"/>
              <w:bottom w:w="0" w:type="dxa"/>
              <w:right w:w="28" w:type="dxa"/>
            </w:tcMar>
            <w:vAlign w:val="center"/>
          </w:tcPr>
          <w:p w14:paraId="34C9317E">
            <w:pPr>
              <w:pStyle w:val="29"/>
              <w:suppressLineNumbers w:val="0"/>
              <w:bidi w:val="0"/>
              <w:spacing w:beforeAutospacing="0" w:afterAutospacing="0"/>
              <w:ind w:left="0" w:right="0"/>
              <w:jc w:val="both"/>
              <w:rPr>
                <w:rFonts w:hint="eastAsia" w:ascii="Times New Roman" w:hAnsi="Times New Roman" w:eastAsia="宋体" w:cs="Times New Roman"/>
                <w:color w:val="auto"/>
                <w:sz w:val="21"/>
                <w:szCs w:val="21"/>
                <w:highlight w:val="none"/>
                <w:lang w:eastAsia="zh-CN"/>
              </w:rPr>
            </w:pPr>
            <w:bookmarkStart w:id="2820" w:name="_Toc31363"/>
            <w:bookmarkStart w:id="2821" w:name="_Toc4340"/>
            <w:bookmarkStart w:id="2822" w:name="_Toc20829"/>
            <w:r>
              <w:rPr>
                <w:rFonts w:hint="default" w:ascii="Times New Roman" w:hAnsi="Times New Roman" w:cs="Times New Roman"/>
                <w:color w:val="auto"/>
                <w:sz w:val="21"/>
                <w:szCs w:val="21"/>
                <w:highlight w:val="none"/>
              </w:rPr>
              <w:t>护岸长11.76km，其中左岸4.77km、右岸6.99km。</w:t>
            </w:r>
            <w:r>
              <w:rPr>
                <w:rFonts w:hint="eastAsia" w:cs="Times New Roman"/>
                <w:color w:val="auto"/>
                <w:sz w:val="21"/>
                <w:szCs w:val="21"/>
                <w:highlight w:val="none"/>
                <w:lang w:eastAsia="zh-CN"/>
              </w:rPr>
              <w:t>其中</w:t>
            </w:r>
            <w:r>
              <w:rPr>
                <w:rFonts w:hint="default" w:ascii="Times New Roman" w:hAnsi="Times New Roman" w:cs="Times New Roman"/>
                <w:color w:val="auto"/>
                <w:sz w:val="21"/>
                <w:szCs w:val="21"/>
                <w:highlight w:val="none"/>
              </w:rPr>
              <w:t>直墙砌护总长 443.0m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坡式纯生态砌护长 5811m</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坡式格宾+纯生态砌护长4016m</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坡式格宾+蜂巢式网格植草生态砖砌护</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砌护长1490m</w:t>
            </w:r>
            <w:r>
              <w:rPr>
                <w:rFonts w:hint="eastAsia" w:cs="Times New Roman"/>
                <w:color w:val="auto"/>
                <w:sz w:val="21"/>
                <w:szCs w:val="21"/>
                <w:highlight w:val="none"/>
                <w:lang w:eastAsia="zh-CN"/>
              </w:rPr>
              <w:t>。</w:t>
            </w:r>
            <w:bookmarkEnd w:id="2820"/>
            <w:bookmarkEnd w:id="2821"/>
            <w:bookmarkEnd w:id="2822"/>
          </w:p>
        </w:tc>
      </w:tr>
      <w:tr w14:paraId="12C13FD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tcMar>
              <w:top w:w="0" w:type="dxa"/>
              <w:left w:w="28" w:type="dxa"/>
              <w:bottom w:w="0" w:type="dxa"/>
              <w:right w:w="28" w:type="dxa"/>
            </w:tcMar>
            <w:vAlign w:val="center"/>
          </w:tcPr>
          <w:p w14:paraId="060D6E9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254E100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2DFF1289">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eastAsia="zh-CN"/>
              </w:rPr>
            </w:pPr>
            <w:bookmarkStart w:id="2823" w:name="_Toc10725"/>
            <w:bookmarkStart w:id="2824" w:name="_Toc31250"/>
            <w:bookmarkStart w:id="2825" w:name="_Toc14160"/>
            <w:r>
              <w:rPr>
                <w:rFonts w:hint="default" w:ascii="Times New Roman" w:hAnsi="Times New Roman" w:cs="Times New Roman"/>
                <w:color w:val="auto"/>
                <w:sz w:val="21"/>
                <w:szCs w:val="21"/>
                <w:highlight w:val="none"/>
              </w:rPr>
              <w:t>巡检道路工程</w:t>
            </w:r>
            <w:bookmarkEnd w:id="2823"/>
            <w:bookmarkEnd w:id="2824"/>
            <w:bookmarkEnd w:id="2825"/>
          </w:p>
        </w:tc>
        <w:tc>
          <w:tcPr>
            <w:tcW w:w="5430" w:type="dxa"/>
            <w:gridSpan w:val="2"/>
            <w:tcMar>
              <w:top w:w="0" w:type="dxa"/>
              <w:left w:w="28" w:type="dxa"/>
              <w:bottom w:w="0" w:type="dxa"/>
              <w:right w:w="28" w:type="dxa"/>
            </w:tcMar>
            <w:vAlign w:val="center"/>
          </w:tcPr>
          <w:p w14:paraId="33638524">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826" w:name="_Toc22467"/>
            <w:bookmarkStart w:id="2827" w:name="_Toc22820"/>
            <w:bookmarkStart w:id="2828" w:name="_Toc18907"/>
            <w:r>
              <w:rPr>
                <w:rFonts w:hint="default" w:ascii="Times New Roman" w:hAnsi="Times New Roman" w:cs="Times New Roman"/>
                <w:color w:val="auto"/>
                <w:sz w:val="21"/>
                <w:szCs w:val="21"/>
                <w:highlight w:val="none"/>
              </w:rPr>
              <w:t>新建巡检道路7.80km，路面宽5.0m</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包含两侧路肩，各0.5m</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，路面铺设砂砾石，厚0.15m</w:t>
            </w:r>
            <w:bookmarkEnd w:id="2826"/>
            <w:bookmarkEnd w:id="2827"/>
            <w:bookmarkEnd w:id="2828"/>
          </w:p>
        </w:tc>
      </w:tr>
      <w:tr w14:paraId="7678F3B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tcMar>
              <w:top w:w="0" w:type="dxa"/>
              <w:left w:w="28" w:type="dxa"/>
              <w:bottom w:w="0" w:type="dxa"/>
              <w:right w:w="28" w:type="dxa"/>
            </w:tcMar>
            <w:vAlign w:val="center"/>
          </w:tcPr>
          <w:p w14:paraId="1D60FA8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61B360E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3363C2B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eastAsia="zh-CN"/>
              </w:rPr>
            </w:pPr>
            <w:bookmarkStart w:id="2829" w:name="_Toc20252"/>
            <w:bookmarkStart w:id="2830" w:name="_Toc26172"/>
            <w:bookmarkStart w:id="2831" w:name="_Toc24772"/>
            <w:r>
              <w:rPr>
                <w:rFonts w:hint="default" w:ascii="Times New Roman" w:hAnsi="Times New Roman" w:cs="Times New Roman"/>
                <w:color w:val="auto"/>
                <w:sz w:val="21"/>
                <w:szCs w:val="21"/>
                <w:highlight w:val="none"/>
              </w:rPr>
              <w:t>附属建筑物工程</w:t>
            </w:r>
            <w:bookmarkEnd w:id="2829"/>
            <w:bookmarkEnd w:id="2830"/>
            <w:bookmarkEnd w:id="2831"/>
          </w:p>
        </w:tc>
        <w:tc>
          <w:tcPr>
            <w:tcW w:w="5430" w:type="dxa"/>
            <w:gridSpan w:val="2"/>
            <w:tcMar>
              <w:top w:w="0" w:type="dxa"/>
              <w:left w:w="28" w:type="dxa"/>
              <w:bottom w:w="0" w:type="dxa"/>
              <w:right w:w="28" w:type="dxa"/>
            </w:tcMar>
            <w:vAlign w:val="center"/>
          </w:tcPr>
          <w:p w14:paraId="015BB8BF">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832" w:name="_Toc21865"/>
            <w:bookmarkStart w:id="2833" w:name="_Toc30537"/>
            <w:bookmarkStart w:id="2834" w:name="_Toc19526"/>
            <w:r>
              <w:rPr>
                <w:rFonts w:hint="default" w:ascii="Times New Roman" w:hAnsi="Times New Roman" w:cs="Times New Roman"/>
                <w:color w:val="auto"/>
                <w:sz w:val="21"/>
                <w:szCs w:val="21"/>
                <w:highlight w:val="none"/>
              </w:rPr>
              <w:t>翻建过水路面4座，新建警示牌50座。路面、桥面、桥墩均采用 C25、F150 砼，垫层采用C20、F150 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浆砌石采用 MU40毛料石 M7.5 砂浆砌筑、M10水泥砂浆勾缝。</w:t>
            </w:r>
            <w:bookmarkEnd w:id="2832"/>
            <w:bookmarkEnd w:id="2833"/>
            <w:bookmarkEnd w:id="2834"/>
          </w:p>
        </w:tc>
      </w:tr>
      <w:tr w14:paraId="64744AE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tcMar>
              <w:top w:w="0" w:type="dxa"/>
              <w:left w:w="28" w:type="dxa"/>
              <w:bottom w:w="0" w:type="dxa"/>
              <w:right w:w="28" w:type="dxa"/>
            </w:tcMar>
            <w:vAlign w:val="center"/>
          </w:tcPr>
          <w:p w14:paraId="73C0A8C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69A0F4D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533B358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35" w:name="_Toc14596"/>
            <w:bookmarkStart w:id="2836" w:name="_Toc9931"/>
            <w:bookmarkStart w:id="2837" w:name="_Toc10981"/>
            <w:r>
              <w:rPr>
                <w:rFonts w:hint="default" w:ascii="Times New Roman" w:hAnsi="Times New Roman" w:cs="Times New Roman"/>
                <w:color w:val="auto"/>
                <w:sz w:val="21"/>
                <w:szCs w:val="21"/>
                <w:highlight w:val="none"/>
              </w:rPr>
              <w:t>河道疏浚工程</w:t>
            </w:r>
            <w:bookmarkEnd w:id="2835"/>
            <w:bookmarkEnd w:id="2836"/>
            <w:bookmarkEnd w:id="2837"/>
          </w:p>
        </w:tc>
        <w:tc>
          <w:tcPr>
            <w:tcW w:w="5430" w:type="dxa"/>
            <w:gridSpan w:val="2"/>
            <w:tcMar>
              <w:top w:w="0" w:type="dxa"/>
              <w:left w:w="28" w:type="dxa"/>
              <w:bottom w:w="0" w:type="dxa"/>
              <w:right w:w="28" w:type="dxa"/>
            </w:tcMar>
            <w:vAlign w:val="center"/>
          </w:tcPr>
          <w:p w14:paraId="73767B96">
            <w:pPr>
              <w:pStyle w:val="29"/>
              <w:suppressLineNumbers w:val="0"/>
              <w:bidi w:val="0"/>
              <w:spacing w:beforeAutospacing="0" w:afterAutospacing="0"/>
              <w:ind w:left="0" w:right="0"/>
              <w:jc w:val="both"/>
              <w:rPr>
                <w:rFonts w:hint="eastAsia" w:ascii="Times New Roman" w:hAnsi="Times New Roman" w:eastAsia="宋体" w:cs="Times New Roman"/>
                <w:color w:val="auto"/>
                <w:sz w:val="21"/>
                <w:szCs w:val="21"/>
                <w:highlight w:val="none"/>
                <w:lang w:eastAsia="zh-CN"/>
              </w:rPr>
            </w:pPr>
            <w:bookmarkStart w:id="2838" w:name="_Toc456"/>
            <w:bookmarkStart w:id="2839" w:name="_Toc18228"/>
            <w:bookmarkStart w:id="2840" w:name="_Toc21092"/>
            <w:r>
              <w:rPr>
                <w:rFonts w:hint="default" w:ascii="Times New Roman" w:hAnsi="Times New Roman" w:eastAsia="宋体" w:cs="Times New Roman"/>
                <w:b w:val="0"/>
                <w:bCs w:val="0"/>
                <w:color w:val="auto"/>
                <w:sz w:val="21"/>
                <w:szCs w:val="21"/>
                <w:highlight w:val="none"/>
              </w:rPr>
              <w:t>疏浚河道9.43km(K7+650-K13+350、K14+500-K18+225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疏浚平均河宽14m</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54m</w:t>
            </w:r>
            <w:r>
              <w:rPr>
                <w:rFonts w:hint="eastAsia" w:cs="Times New Roman"/>
                <w:b w:val="0"/>
                <w:bCs w:val="0"/>
                <w:color w:val="auto"/>
                <w:sz w:val="21"/>
                <w:szCs w:val="21"/>
                <w:highlight w:val="none"/>
                <w:lang w:eastAsia="zh-CN"/>
              </w:rPr>
              <w:t>。</w:t>
            </w:r>
            <w:bookmarkEnd w:id="2838"/>
            <w:bookmarkEnd w:id="2839"/>
            <w:bookmarkEnd w:id="2840"/>
          </w:p>
        </w:tc>
      </w:tr>
      <w:tr w14:paraId="2E9E919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80" w:hRule="atLeast"/>
          <w:jc w:val="center"/>
        </w:trPr>
        <w:tc>
          <w:tcPr>
            <w:tcW w:w="776" w:type="dxa"/>
            <w:vMerge w:val="continue"/>
            <w:tcMar>
              <w:top w:w="0" w:type="dxa"/>
              <w:left w:w="28" w:type="dxa"/>
              <w:bottom w:w="0" w:type="dxa"/>
              <w:right w:w="28" w:type="dxa"/>
            </w:tcMar>
            <w:vAlign w:val="center"/>
          </w:tcPr>
          <w:p w14:paraId="26EB961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restart"/>
            <w:tcMar>
              <w:top w:w="0" w:type="dxa"/>
              <w:left w:w="28" w:type="dxa"/>
              <w:bottom w:w="0" w:type="dxa"/>
              <w:right w:w="28" w:type="dxa"/>
            </w:tcMar>
            <w:vAlign w:val="center"/>
          </w:tcPr>
          <w:p w14:paraId="142991B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41" w:name="_Toc1906"/>
            <w:bookmarkStart w:id="2842" w:name="_Toc19084"/>
            <w:bookmarkStart w:id="2843" w:name="_Toc10054"/>
            <w:r>
              <w:rPr>
                <w:rFonts w:hint="default" w:ascii="Times New Roman" w:hAnsi="Times New Roman" w:cs="Times New Roman"/>
                <w:color w:val="auto"/>
                <w:sz w:val="21"/>
                <w:szCs w:val="21"/>
                <w:highlight w:val="none"/>
              </w:rPr>
              <w:t>小河段河道</w:t>
            </w:r>
            <w:bookmarkEnd w:id="2841"/>
            <w:bookmarkEnd w:id="2842"/>
            <w:bookmarkEnd w:id="2843"/>
          </w:p>
        </w:tc>
        <w:tc>
          <w:tcPr>
            <w:tcW w:w="1162" w:type="dxa"/>
            <w:tcMar>
              <w:top w:w="0" w:type="dxa"/>
              <w:left w:w="28" w:type="dxa"/>
              <w:bottom w:w="0" w:type="dxa"/>
              <w:right w:w="28" w:type="dxa"/>
            </w:tcMar>
            <w:vAlign w:val="center"/>
          </w:tcPr>
          <w:p w14:paraId="40FE40E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44" w:name="_Toc15562"/>
            <w:bookmarkStart w:id="2845" w:name="_Toc4904"/>
            <w:bookmarkStart w:id="2846" w:name="_Toc28614"/>
            <w:r>
              <w:rPr>
                <w:rFonts w:hint="default" w:ascii="Times New Roman" w:hAnsi="Times New Roman" w:cs="Times New Roman"/>
                <w:color w:val="auto"/>
                <w:sz w:val="21"/>
                <w:szCs w:val="21"/>
                <w:highlight w:val="none"/>
              </w:rPr>
              <w:t>护岸</w:t>
            </w:r>
            <w:bookmarkEnd w:id="2844"/>
            <w:bookmarkEnd w:id="2845"/>
            <w:bookmarkEnd w:id="2846"/>
          </w:p>
          <w:p w14:paraId="4D6E553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47" w:name="_Toc19750"/>
            <w:bookmarkStart w:id="2848" w:name="_Toc16809"/>
            <w:bookmarkStart w:id="2849" w:name="_Toc16195"/>
            <w:r>
              <w:rPr>
                <w:rFonts w:hint="default" w:ascii="Times New Roman" w:hAnsi="Times New Roman" w:cs="Times New Roman"/>
                <w:color w:val="auto"/>
                <w:sz w:val="21"/>
                <w:szCs w:val="21"/>
                <w:highlight w:val="none"/>
              </w:rPr>
              <w:t>工程</w:t>
            </w:r>
            <w:bookmarkEnd w:id="2847"/>
            <w:bookmarkEnd w:id="2848"/>
            <w:bookmarkEnd w:id="2849"/>
          </w:p>
        </w:tc>
        <w:tc>
          <w:tcPr>
            <w:tcW w:w="5430" w:type="dxa"/>
            <w:gridSpan w:val="2"/>
            <w:tcMar>
              <w:top w:w="0" w:type="dxa"/>
              <w:left w:w="28" w:type="dxa"/>
              <w:bottom w:w="0" w:type="dxa"/>
              <w:right w:w="28" w:type="dxa"/>
            </w:tcMar>
            <w:vAlign w:val="center"/>
          </w:tcPr>
          <w:p w14:paraId="55D21F28">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850" w:name="_Toc6674"/>
            <w:bookmarkStart w:id="2851" w:name="_Toc14009"/>
            <w:bookmarkStart w:id="2852" w:name="_Toc8063"/>
            <w:r>
              <w:rPr>
                <w:rFonts w:hint="default" w:ascii="Times New Roman" w:hAnsi="Times New Roman" w:cs="Times New Roman"/>
                <w:color w:val="auto"/>
                <w:sz w:val="21"/>
                <w:szCs w:val="21"/>
                <w:highlight w:val="none"/>
              </w:rPr>
              <w:t>护岸总长1.00km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其中左岸0.42km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右岸0.58km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砌护顶高程1511.0m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采用格宾坡式护岸形式。</w:t>
            </w:r>
            <w:bookmarkEnd w:id="2850"/>
            <w:bookmarkEnd w:id="2851"/>
            <w:bookmarkEnd w:id="2852"/>
          </w:p>
        </w:tc>
      </w:tr>
      <w:tr w14:paraId="28C3B37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tcMar>
              <w:top w:w="0" w:type="dxa"/>
              <w:left w:w="28" w:type="dxa"/>
              <w:bottom w:w="0" w:type="dxa"/>
              <w:right w:w="28" w:type="dxa"/>
            </w:tcMar>
            <w:vAlign w:val="center"/>
          </w:tcPr>
          <w:p w14:paraId="403E813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bookmarkStart w:id="2853" w:name="_Toc7523"/>
            <w:bookmarkStart w:id="2854" w:name="_Toc26033"/>
          </w:p>
        </w:tc>
        <w:tc>
          <w:tcPr>
            <w:tcW w:w="1083" w:type="dxa"/>
            <w:vMerge w:val="continue"/>
            <w:tcMar>
              <w:top w:w="0" w:type="dxa"/>
              <w:left w:w="28" w:type="dxa"/>
              <w:bottom w:w="0" w:type="dxa"/>
              <w:right w:w="28" w:type="dxa"/>
            </w:tcMar>
            <w:vAlign w:val="center"/>
          </w:tcPr>
          <w:p w14:paraId="62C8BC4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4DFB3BA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55" w:name="_Toc7458"/>
            <w:bookmarkStart w:id="2856" w:name="_Toc18366"/>
            <w:bookmarkStart w:id="2857" w:name="_Toc17861"/>
            <w:r>
              <w:rPr>
                <w:rFonts w:hint="default" w:ascii="Times New Roman" w:hAnsi="Times New Roman" w:cs="Times New Roman"/>
                <w:color w:val="auto"/>
                <w:sz w:val="21"/>
                <w:szCs w:val="21"/>
                <w:highlight w:val="none"/>
              </w:rPr>
              <w:t>巡检道路工程</w:t>
            </w:r>
            <w:bookmarkEnd w:id="2855"/>
            <w:bookmarkEnd w:id="2856"/>
            <w:bookmarkEnd w:id="2857"/>
          </w:p>
        </w:tc>
        <w:tc>
          <w:tcPr>
            <w:tcW w:w="5430" w:type="dxa"/>
            <w:gridSpan w:val="2"/>
            <w:tcMar>
              <w:top w:w="0" w:type="dxa"/>
              <w:left w:w="28" w:type="dxa"/>
              <w:bottom w:w="0" w:type="dxa"/>
              <w:right w:w="28" w:type="dxa"/>
            </w:tcMar>
            <w:vAlign w:val="center"/>
          </w:tcPr>
          <w:p w14:paraId="4E9337A3">
            <w:pPr>
              <w:pStyle w:val="29"/>
              <w:suppressLineNumbers w:val="0"/>
              <w:bidi w:val="0"/>
              <w:spacing w:beforeAutospacing="0" w:afterAutospacing="0" w:line="240" w:lineRule="auto"/>
              <w:ind w:left="0" w:right="0"/>
              <w:jc w:val="both"/>
              <w:rPr>
                <w:rFonts w:hint="default" w:ascii="Times New Roman" w:hAnsi="Times New Roman" w:cs="Times New Roman"/>
                <w:color w:val="auto"/>
                <w:sz w:val="21"/>
                <w:szCs w:val="21"/>
                <w:highlight w:val="none"/>
              </w:rPr>
            </w:pPr>
            <w:bookmarkStart w:id="2858" w:name="_Toc11842"/>
            <w:bookmarkStart w:id="2859" w:name="_Toc425"/>
            <w:bookmarkStart w:id="2860" w:name="_Toc20572"/>
            <w:r>
              <w:rPr>
                <w:rFonts w:hint="default" w:ascii="Times New Roman" w:hAnsi="Times New Roman" w:cs="Times New Roman"/>
                <w:color w:val="auto"/>
                <w:sz w:val="21"/>
                <w:szCs w:val="21"/>
                <w:highlight w:val="none"/>
              </w:rPr>
              <w:t>新建小河巡检道路1.57km，路面宽4.5m</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包含两侧路肩，各0.5m</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，路面铺设砂砾石，厚0.15m。</w:t>
            </w:r>
            <w:bookmarkEnd w:id="2858"/>
            <w:bookmarkEnd w:id="2859"/>
            <w:bookmarkEnd w:id="2860"/>
          </w:p>
        </w:tc>
      </w:tr>
      <w:tr w14:paraId="7B33D29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tcMar>
              <w:top w:w="0" w:type="dxa"/>
              <w:left w:w="28" w:type="dxa"/>
              <w:bottom w:w="0" w:type="dxa"/>
              <w:right w:w="28" w:type="dxa"/>
            </w:tcMar>
            <w:vAlign w:val="center"/>
          </w:tcPr>
          <w:p w14:paraId="1C0E98D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59C1B21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7103B6E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61" w:name="_Toc2145"/>
            <w:bookmarkStart w:id="2862" w:name="_Toc12146"/>
            <w:bookmarkStart w:id="2863" w:name="_Toc1528"/>
            <w:r>
              <w:rPr>
                <w:rFonts w:hint="default" w:ascii="Times New Roman" w:hAnsi="Times New Roman" w:cs="Times New Roman"/>
                <w:color w:val="auto"/>
                <w:sz w:val="21"/>
                <w:szCs w:val="21"/>
                <w:highlight w:val="none"/>
              </w:rPr>
              <w:t>附属建筑物工程</w:t>
            </w:r>
            <w:bookmarkEnd w:id="2861"/>
            <w:bookmarkEnd w:id="2862"/>
            <w:bookmarkEnd w:id="2863"/>
          </w:p>
        </w:tc>
        <w:tc>
          <w:tcPr>
            <w:tcW w:w="5430" w:type="dxa"/>
            <w:gridSpan w:val="2"/>
            <w:tcMar>
              <w:top w:w="0" w:type="dxa"/>
              <w:left w:w="28" w:type="dxa"/>
              <w:bottom w:w="0" w:type="dxa"/>
              <w:right w:w="28" w:type="dxa"/>
            </w:tcMar>
            <w:vAlign w:val="center"/>
          </w:tcPr>
          <w:p w14:paraId="1DF616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翻建过</w:t>
            </w:r>
            <w:r>
              <w:rPr>
                <w:rFonts w:hint="default" w:ascii="Times New Roman" w:hAnsi="Times New Roman" w:eastAsia="宋体" w:cs="Times New Roman"/>
                <w:b w:val="0"/>
                <w:color w:val="auto"/>
                <w:kern w:val="0"/>
                <w:sz w:val="21"/>
                <w:szCs w:val="21"/>
                <w:highlight w:val="none"/>
                <w:lang w:val="en-US" w:eastAsia="zh-CN" w:bidi="ar-SA"/>
              </w:rPr>
              <w:t>水路面1座，路面、桥面、桥墩均采用C25、F150砼，垫层采用 C20、F150 砼；浆砌石采用 MU40 毛料石 M7.5 砂浆砌筑、M10 水泥砂浆勾缝，护坦采用格宾结构。</w:t>
            </w:r>
          </w:p>
        </w:tc>
      </w:tr>
      <w:tr w14:paraId="30DB5A0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tcMar>
              <w:top w:w="0" w:type="dxa"/>
              <w:left w:w="28" w:type="dxa"/>
              <w:bottom w:w="0" w:type="dxa"/>
              <w:right w:w="28" w:type="dxa"/>
            </w:tcMar>
            <w:vAlign w:val="center"/>
          </w:tcPr>
          <w:p w14:paraId="40D85E1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45" w:type="dxa"/>
            <w:gridSpan w:val="2"/>
            <w:tcMar>
              <w:top w:w="0" w:type="dxa"/>
              <w:left w:w="28" w:type="dxa"/>
              <w:bottom w:w="0" w:type="dxa"/>
              <w:right w:w="28" w:type="dxa"/>
            </w:tcMar>
            <w:vAlign w:val="center"/>
          </w:tcPr>
          <w:p w14:paraId="4279735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64" w:name="_Toc1271"/>
            <w:bookmarkStart w:id="2865" w:name="_Toc12873"/>
            <w:bookmarkStart w:id="2866" w:name="_Toc18784"/>
            <w:r>
              <w:rPr>
                <w:rFonts w:hint="eastAsia" w:cs="Times New Roman"/>
                <w:color w:val="auto"/>
                <w:sz w:val="21"/>
                <w:szCs w:val="21"/>
                <w:highlight w:val="none"/>
                <w:lang w:eastAsia="zh-CN"/>
              </w:rPr>
              <w:t>石头崾岘</w:t>
            </w:r>
            <w:r>
              <w:rPr>
                <w:rFonts w:hint="default" w:ascii="Times New Roman" w:hAnsi="Times New Roman" w:cs="Times New Roman"/>
                <w:color w:val="auto"/>
                <w:sz w:val="21"/>
                <w:szCs w:val="21"/>
                <w:highlight w:val="none"/>
              </w:rPr>
              <w:t>水库清淤工程</w:t>
            </w:r>
            <w:bookmarkEnd w:id="2864"/>
            <w:bookmarkEnd w:id="2865"/>
            <w:bookmarkEnd w:id="2866"/>
          </w:p>
        </w:tc>
        <w:tc>
          <w:tcPr>
            <w:tcW w:w="5430" w:type="dxa"/>
            <w:gridSpan w:val="2"/>
            <w:tcMar>
              <w:top w:w="0" w:type="dxa"/>
              <w:left w:w="28" w:type="dxa"/>
              <w:bottom w:w="0" w:type="dxa"/>
              <w:right w:w="28" w:type="dxa"/>
            </w:tcMar>
            <w:vAlign w:val="center"/>
          </w:tcPr>
          <w:p w14:paraId="0218DB12">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867" w:name="_Toc12297"/>
            <w:bookmarkStart w:id="2868" w:name="_Toc11174"/>
            <w:bookmarkStart w:id="2869" w:name="_Toc17879"/>
            <w:r>
              <w:rPr>
                <w:rFonts w:hint="default" w:ascii="Times New Roman" w:hAnsi="Times New Roman" w:cs="Times New Roman"/>
                <w:color w:val="auto"/>
                <w:sz w:val="21"/>
                <w:szCs w:val="21"/>
                <w:highlight w:val="none"/>
              </w:rPr>
              <w:t>库区设计总清淤量为120.0万m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rPr>
              <w:t>，清面积48.0万m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，清淤深度为2.5m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为了便于淤泥运输，在设计清淤区域布设临时道路网，临时道路长7.8km，设计路面宽度5.0m，道路间距100m。</w:t>
            </w:r>
            <w:bookmarkEnd w:id="2867"/>
            <w:bookmarkEnd w:id="2868"/>
            <w:bookmarkEnd w:id="2869"/>
          </w:p>
        </w:tc>
      </w:tr>
      <w:tr w14:paraId="19193BA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restart"/>
            <w:tcMar>
              <w:top w:w="0" w:type="dxa"/>
              <w:left w:w="28" w:type="dxa"/>
              <w:bottom w:w="0" w:type="dxa"/>
              <w:right w:w="28" w:type="dxa"/>
            </w:tcMar>
            <w:vAlign w:val="center"/>
          </w:tcPr>
          <w:p w14:paraId="50DC47B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70" w:name="_Toc454"/>
            <w:bookmarkStart w:id="2871" w:name="_Toc13885"/>
            <w:bookmarkStart w:id="2872" w:name="_Toc30689"/>
            <w:r>
              <w:rPr>
                <w:rFonts w:hint="default" w:ascii="Times New Roman" w:hAnsi="Times New Roman" w:cs="Times New Roman"/>
                <w:color w:val="auto"/>
                <w:sz w:val="21"/>
                <w:szCs w:val="21"/>
                <w:highlight w:val="none"/>
              </w:rPr>
              <w:t>储运</w:t>
            </w:r>
            <w:bookmarkEnd w:id="2853"/>
            <w:bookmarkEnd w:id="2854"/>
            <w:bookmarkEnd w:id="2870"/>
            <w:bookmarkEnd w:id="2871"/>
            <w:bookmarkEnd w:id="2872"/>
          </w:p>
          <w:p w14:paraId="71C1CE8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73" w:name="_Toc8529"/>
            <w:bookmarkStart w:id="2874" w:name="_Toc10978"/>
            <w:bookmarkStart w:id="2875" w:name="_Toc12757"/>
            <w:bookmarkStart w:id="2876" w:name="_Toc7549"/>
            <w:bookmarkStart w:id="2877" w:name="_Toc22584"/>
            <w:r>
              <w:rPr>
                <w:rFonts w:hint="default" w:ascii="Times New Roman" w:hAnsi="Times New Roman" w:cs="Times New Roman"/>
                <w:color w:val="auto"/>
                <w:sz w:val="21"/>
                <w:szCs w:val="21"/>
                <w:highlight w:val="none"/>
              </w:rPr>
              <w:t>工程</w:t>
            </w:r>
            <w:bookmarkEnd w:id="2873"/>
            <w:bookmarkEnd w:id="2874"/>
            <w:bookmarkEnd w:id="2875"/>
            <w:bookmarkEnd w:id="2876"/>
            <w:bookmarkEnd w:id="2877"/>
          </w:p>
        </w:tc>
        <w:tc>
          <w:tcPr>
            <w:tcW w:w="2245" w:type="dxa"/>
            <w:gridSpan w:val="2"/>
            <w:tcMar>
              <w:top w:w="0" w:type="dxa"/>
              <w:left w:w="28" w:type="dxa"/>
              <w:bottom w:w="0" w:type="dxa"/>
              <w:right w:w="28" w:type="dxa"/>
            </w:tcMar>
            <w:vAlign w:val="center"/>
          </w:tcPr>
          <w:p w14:paraId="3A3B8CF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78" w:name="_Toc1222"/>
            <w:bookmarkStart w:id="2879" w:name="_Toc30900"/>
            <w:bookmarkStart w:id="2880" w:name="_Toc18797"/>
            <w:bookmarkStart w:id="2881" w:name="_Toc4681"/>
            <w:bookmarkStart w:id="2882" w:name="_Toc5833"/>
            <w:r>
              <w:rPr>
                <w:rFonts w:hint="default" w:ascii="Times New Roman" w:hAnsi="Times New Roman" w:cs="Times New Roman"/>
                <w:color w:val="auto"/>
                <w:sz w:val="21"/>
                <w:szCs w:val="21"/>
                <w:highlight w:val="none"/>
              </w:rPr>
              <w:t>取土场</w:t>
            </w:r>
            <w:bookmarkEnd w:id="2878"/>
            <w:bookmarkEnd w:id="2879"/>
            <w:bookmarkEnd w:id="2880"/>
            <w:bookmarkEnd w:id="2881"/>
            <w:bookmarkEnd w:id="2882"/>
          </w:p>
        </w:tc>
        <w:tc>
          <w:tcPr>
            <w:tcW w:w="5430" w:type="dxa"/>
            <w:gridSpan w:val="2"/>
            <w:tcMar>
              <w:top w:w="0" w:type="dxa"/>
              <w:left w:w="28" w:type="dxa"/>
              <w:bottom w:w="0" w:type="dxa"/>
              <w:right w:w="28" w:type="dxa"/>
            </w:tcMar>
            <w:vAlign w:val="center"/>
          </w:tcPr>
          <w:p w14:paraId="0923E3E4">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883" w:name="_Toc21257"/>
            <w:bookmarkStart w:id="2884" w:name="_Toc14646"/>
            <w:bookmarkStart w:id="2885" w:name="_Toc2531"/>
            <w:bookmarkStart w:id="2886" w:name="_Toc23129"/>
            <w:bookmarkStart w:id="2887" w:name="_Toc228"/>
            <w:r>
              <w:rPr>
                <w:rFonts w:hint="default" w:ascii="Times New Roman" w:hAnsi="Times New Roman" w:cs="Times New Roman"/>
                <w:color w:val="auto"/>
                <w:sz w:val="21"/>
                <w:szCs w:val="21"/>
                <w:highlight w:val="none"/>
              </w:rPr>
              <w:t>工程不另设取土场，工程所需的钢筋、石子、块石均就地取材或外购。</w:t>
            </w:r>
            <w:bookmarkEnd w:id="2883"/>
            <w:bookmarkEnd w:id="2884"/>
            <w:bookmarkEnd w:id="2885"/>
            <w:bookmarkEnd w:id="2886"/>
            <w:bookmarkEnd w:id="2887"/>
          </w:p>
        </w:tc>
      </w:tr>
      <w:tr w14:paraId="3A7BB0B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vAlign w:val="center"/>
          </w:tcPr>
          <w:p w14:paraId="3565AEE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45" w:type="dxa"/>
            <w:gridSpan w:val="2"/>
            <w:tcMar>
              <w:top w:w="0" w:type="dxa"/>
              <w:left w:w="28" w:type="dxa"/>
              <w:bottom w:w="0" w:type="dxa"/>
              <w:right w:w="28" w:type="dxa"/>
            </w:tcMar>
            <w:vAlign w:val="center"/>
          </w:tcPr>
          <w:p w14:paraId="1E5017EE">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eastAsia="zh-CN"/>
              </w:rPr>
            </w:pPr>
            <w:bookmarkStart w:id="2888" w:name="_Toc31748"/>
            <w:bookmarkStart w:id="2889" w:name="_Toc22620"/>
            <w:bookmarkStart w:id="2890" w:name="_Toc30349"/>
            <w:r>
              <w:rPr>
                <w:rFonts w:hint="default" w:ascii="Times New Roman" w:hAnsi="Times New Roman" w:cs="Times New Roman"/>
                <w:color w:val="auto"/>
                <w:sz w:val="21"/>
                <w:szCs w:val="21"/>
                <w:highlight w:val="none"/>
                <w:lang w:eastAsia="zh-CN"/>
              </w:rPr>
              <w:t>堆场</w:t>
            </w:r>
            <w:bookmarkEnd w:id="2888"/>
            <w:bookmarkEnd w:id="2889"/>
            <w:bookmarkEnd w:id="2890"/>
          </w:p>
        </w:tc>
        <w:tc>
          <w:tcPr>
            <w:tcW w:w="5430" w:type="dxa"/>
            <w:gridSpan w:val="2"/>
            <w:tcMar>
              <w:top w:w="0" w:type="dxa"/>
              <w:left w:w="28" w:type="dxa"/>
              <w:bottom w:w="0" w:type="dxa"/>
              <w:right w:w="28" w:type="dxa"/>
            </w:tcMar>
            <w:vAlign w:val="center"/>
          </w:tcPr>
          <w:p w14:paraId="212824F6">
            <w:pPr>
              <w:pStyle w:val="29"/>
              <w:suppressLineNumbers w:val="0"/>
              <w:bidi w:val="0"/>
              <w:spacing w:beforeAutospacing="0" w:afterAutospacing="0"/>
              <w:ind w:left="0" w:right="0"/>
              <w:jc w:val="both"/>
              <w:rPr>
                <w:rFonts w:hint="default" w:ascii="Times New Roman" w:hAnsi="Times New Roman" w:eastAsia="宋体" w:cs="Times New Roman"/>
                <w:color w:val="auto"/>
                <w:sz w:val="21"/>
                <w:szCs w:val="21"/>
                <w:highlight w:val="none"/>
                <w:vertAlign w:val="baseline"/>
                <w:lang w:val="en-US" w:eastAsia="zh-CN"/>
              </w:rPr>
            </w:pPr>
            <w:bookmarkStart w:id="2891" w:name="_Toc30732"/>
            <w:bookmarkStart w:id="2892" w:name="_Toc16711"/>
            <w:bookmarkStart w:id="2893" w:name="_Toc14468"/>
            <w:r>
              <w:rPr>
                <w:rFonts w:hint="default" w:ascii="Times New Roman" w:hAnsi="Times New Roman" w:cs="Times New Roman"/>
                <w:color w:val="auto"/>
                <w:sz w:val="21"/>
                <w:szCs w:val="21"/>
                <w:highlight w:val="none"/>
              </w:rPr>
              <w:t>在水库库尾设置堆场7处，消纳容积136万m</w:t>
            </w:r>
            <w:r>
              <w:rPr>
                <w:rFonts w:hint="default" w:ascii="Times New Roman" w:hAnsi="Times New Roman" w:cs="Times New Roman"/>
                <w:color w:val="auto"/>
                <w:sz w:val="21"/>
                <w:szCs w:val="21"/>
                <w:highlight w:val="none"/>
                <w:vertAlign w:val="superscript"/>
              </w:rPr>
              <w:t>3</w:t>
            </w:r>
            <w:r>
              <w:rPr>
                <w:rFonts w:hint="eastAsia" w:cs="Times New Roman"/>
                <w:color w:val="auto"/>
                <w:sz w:val="21"/>
                <w:szCs w:val="21"/>
                <w:highlight w:val="none"/>
                <w:vertAlign w:val="baseline"/>
                <w:lang w:eastAsia="zh-CN"/>
              </w:rPr>
              <w:t>，用于堆放水库清淤淤泥及临时道路土方。</w:t>
            </w:r>
            <w:bookmarkEnd w:id="2891"/>
            <w:r>
              <w:rPr>
                <w:rFonts w:hint="eastAsia" w:cs="Times New Roman"/>
                <w:color w:val="auto"/>
                <w:sz w:val="21"/>
                <w:szCs w:val="21"/>
                <w:highlight w:val="none"/>
                <w:vertAlign w:val="baseline"/>
                <w:lang w:eastAsia="zh-CN"/>
              </w:rPr>
              <w:t>占地</w:t>
            </w:r>
            <w:r>
              <w:rPr>
                <w:rFonts w:hint="eastAsia" w:cs="Times New Roman"/>
                <w:color w:val="auto"/>
                <w:sz w:val="21"/>
                <w:szCs w:val="21"/>
                <w:highlight w:val="none"/>
                <w:vertAlign w:val="baseline"/>
                <w:lang w:val="en-US" w:eastAsia="zh-CN"/>
              </w:rPr>
              <w:t>17.91hm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bookmarkEnd w:id="2892"/>
            <w:bookmarkEnd w:id="2893"/>
          </w:p>
        </w:tc>
      </w:tr>
      <w:tr w14:paraId="702FD41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vAlign w:val="center"/>
          </w:tcPr>
          <w:p w14:paraId="77A7C48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45" w:type="dxa"/>
            <w:gridSpan w:val="2"/>
            <w:tcMar>
              <w:top w:w="0" w:type="dxa"/>
              <w:left w:w="28" w:type="dxa"/>
              <w:bottom w:w="0" w:type="dxa"/>
              <w:right w:w="28" w:type="dxa"/>
            </w:tcMar>
            <w:vAlign w:val="center"/>
          </w:tcPr>
          <w:p w14:paraId="4A2769B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894" w:name="_Toc19033"/>
            <w:bookmarkStart w:id="2895" w:name="_Toc1057"/>
            <w:bookmarkStart w:id="2896" w:name="_Toc3514"/>
            <w:bookmarkStart w:id="2897" w:name="_Toc9928"/>
            <w:bookmarkStart w:id="2898" w:name="_Toc32171"/>
            <w:r>
              <w:rPr>
                <w:rFonts w:hint="default" w:ascii="Times New Roman" w:hAnsi="Times New Roman" w:cs="Times New Roman"/>
                <w:color w:val="auto"/>
                <w:sz w:val="21"/>
                <w:szCs w:val="21"/>
                <w:highlight w:val="none"/>
              </w:rPr>
              <w:t>临时施工营地</w:t>
            </w:r>
            <w:bookmarkEnd w:id="2894"/>
            <w:bookmarkEnd w:id="2895"/>
            <w:bookmarkEnd w:id="2896"/>
            <w:bookmarkEnd w:id="2897"/>
            <w:bookmarkEnd w:id="2898"/>
          </w:p>
        </w:tc>
        <w:tc>
          <w:tcPr>
            <w:tcW w:w="5430" w:type="dxa"/>
            <w:gridSpan w:val="2"/>
            <w:tcMar>
              <w:top w:w="0" w:type="dxa"/>
              <w:left w:w="28" w:type="dxa"/>
              <w:bottom w:w="0" w:type="dxa"/>
              <w:right w:w="28" w:type="dxa"/>
            </w:tcMar>
            <w:vAlign w:val="center"/>
          </w:tcPr>
          <w:p w14:paraId="64DFF04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default" w:ascii="Times New Roman" w:hAnsi="Times New Roman" w:eastAsia="宋体" w:cs="Times New Roman"/>
                <w:color w:val="auto"/>
                <w:sz w:val="21"/>
                <w:szCs w:val="21"/>
                <w:highlight w:val="none"/>
                <w:lang w:val="en-US" w:eastAsia="zh-CN"/>
              </w:rPr>
            </w:pPr>
            <w:bookmarkStart w:id="2899" w:name="_Toc29944"/>
            <w:r>
              <w:rPr>
                <w:rFonts w:hint="default" w:ascii="Times New Roman" w:hAnsi="Times New Roman" w:cs="Times New Roman" w:eastAsiaTheme="minorEastAsia"/>
                <w:color w:val="auto"/>
                <w:sz w:val="21"/>
                <w:szCs w:val="21"/>
                <w:highlight w:val="none"/>
                <w:lang w:val="en-US" w:eastAsia="zh-CN"/>
              </w:rPr>
              <w:t>本工程共设施工营地3处，每个施工区包括施工生活区、施工材料堆放加工区及施工人员施工临时办公、生活区等，</w:t>
            </w:r>
            <w:bookmarkEnd w:id="2899"/>
            <w:r>
              <w:rPr>
                <w:rFonts w:hint="default" w:ascii="Times New Roman" w:hAnsi="Times New Roman" w:cs="Times New Roman" w:eastAsiaTheme="minorEastAsia"/>
                <w:color w:val="auto"/>
                <w:sz w:val="21"/>
                <w:szCs w:val="21"/>
                <w:highlight w:val="none"/>
                <w:lang w:eastAsia="zh-CN"/>
              </w:rPr>
              <w:t>川口河段</w:t>
            </w:r>
            <w:r>
              <w:rPr>
                <w:rFonts w:hint="default" w:ascii="Times New Roman" w:hAnsi="Times New Roman" w:cs="Times New Roman" w:eastAsiaTheme="minorEastAsia"/>
                <w:color w:val="auto"/>
                <w:sz w:val="21"/>
                <w:szCs w:val="21"/>
                <w:highlight w:val="none"/>
                <w:lang w:val="en-US" w:eastAsia="zh-CN"/>
              </w:rPr>
              <w:t>1</w:t>
            </w:r>
            <w:r>
              <w:rPr>
                <w:rFonts w:hint="eastAsia" w:cs="Times New Roman" w:eastAsiaTheme="minorEastAsia"/>
                <w:color w:val="auto"/>
                <w:sz w:val="21"/>
                <w:szCs w:val="21"/>
                <w:highlight w:val="none"/>
                <w:vertAlign w:val="superscript"/>
                <w:lang w:val="en-US" w:eastAsia="zh-CN"/>
              </w:rPr>
              <w:t>#</w:t>
            </w:r>
            <w:r>
              <w:rPr>
                <w:rFonts w:hint="default" w:ascii="Times New Roman" w:hAnsi="Times New Roman" w:cs="Times New Roman" w:eastAsiaTheme="minorEastAsia"/>
                <w:color w:val="auto"/>
                <w:sz w:val="21"/>
                <w:szCs w:val="21"/>
                <w:highlight w:val="none"/>
                <w:lang w:val="en-US" w:eastAsia="zh-CN"/>
              </w:rPr>
              <w:t>施工营地位于川口河岸北侧晾晒场，占地500m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lang w:val="en-US" w:eastAsia="zh-CN"/>
              </w:rPr>
              <w:t>；小河段2</w:t>
            </w:r>
            <w:r>
              <w:rPr>
                <w:rFonts w:hint="eastAsia" w:cs="Times New Roman" w:eastAsiaTheme="minorEastAsia"/>
                <w:color w:val="auto"/>
                <w:sz w:val="21"/>
                <w:szCs w:val="21"/>
                <w:highlight w:val="none"/>
                <w:vertAlign w:val="superscript"/>
                <w:lang w:val="en-US" w:eastAsia="zh-CN"/>
              </w:rPr>
              <w:t>#</w:t>
            </w:r>
            <w:r>
              <w:rPr>
                <w:rFonts w:hint="default" w:ascii="Times New Roman" w:hAnsi="Times New Roman" w:cs="Times New Roman" w:eastAsiaTheme="minorEastAsia"/>
                <w:color w:val="auto"/>
                <w:sz w:val="21"/>
                <w:szCs w:val="21"/>
                <w:highlight w:val="none"/>
                <w:lang w:val="en-US" w:eastAsia="zh-CN"/>
              </w:rPr>
              <w:t>施工营地位于小河段水坝北侧空地，占地1000m</w:t>
            </w:r>
            <w:r>
              <w:rPr>
                <w:rFonts w:hint="default" w:ascii="Times New Roman" w:hAnsi="Times New Roman" w:cs="Times New Roman" w:eastAsiaTheme="minorEastAsia"/>
                <w:color w:val="auto"/>
                <w:sz w:val="21"/>
                <w:szCs w:val="21"/>
                <w:highlight w:val="none"/>
                <w:vertAlign w:val="superscript"/>
                <w:lang w:val="en-US" w:eastAsia="zh-CN"/>
              </w:rPr>
              <w:t>2</w:t>
            </w:r>
            <w:r>
              <w:rPr>
                <w:rFonts w:hint="default" w:ascii="Times New Roman" w:hAnsi="Times New Roman" w:cs="Times New Roman" w:eastAsiaTheme="minorEastAsia"/>
                <w:color w:val="auto"/>
                <w:sz w:val="21"/>
                <w:szCs w:val="21"/>
                <w:highlight w:val="none"/>
                <w:lang w:val="en-US" w:eastAsia="zh-CN"/>
              </w:rPr>
              <w:t>；石头崾岘水库3</w:t>
            </w:r>
            <w:r>
              <w:rPr>
                <w:rFonts w:hint="eastAsia" w:cs="Times New Roman" w:eastAsiaTheme="minorEastAsia"/>
                <w:color w:val="auto"/>
                <w:sz w:val="21"/>
                <w:szCs w:val="21"/>
                <w:highlight w:val="none"/>
                <w:vertAlign w:val="superscript"/>
                <w:lang w:val="en-US" w:eastAsia="zh-CN"/>
              </w:rPr>
              <w:t>#</w:t>
            </w:r>
            <w:r>
              <w:rPr>
                <w:rFonts w:hint="default" w:ascii="Times New Roman" w:hAnsi="Times New Roman" w:cs="Times New Roman" w:eastAsiaTheme="minorEastAsia"/>
                <w:color w:val="auto"/>
                <w:sz w:val="21"/>
                <w:szCs w:val="21"/>
                <w:highlight w:val="none"/>
                <w:lang w:val="en-US" w:eastAsia="zh-CN"/>
              </w:rPr>
              <w:t>施工营地位于4</w:t>
            </w:r>
            <w:r>
              <w:rPr>
                <w:rFonts w:hint="eastAsia" w:cs="Times New Roman" w:eastAsiaTheme="minorEastAsia"/>
                <w:color w:val="auto"/>
                <w:sz w:val="21"/>
                <w:szCs w:val="21"/>
                <w:highlight w:val="none"/>
                <w:vertAlign w:val="superscript"/>
                <w:lang w:val="en-US" w:eastAsia="zh-CN"/>
              </w:rPr>
              <w:t>#</w:t>
            </w:r>
            <w:r>
              <w:rPr>
                <w:rFonts w:hint="default" w:ascii="Times New Roman" w:hAnsi="Times New Roman" w:cs="Times New Roman" w:eastAsiaTheme="minorEastAsia"/>
                <w:color w:val="auto"/>
                <w:sz w:val="21"/>
                <w:szCs w:val="21"/>
                <w:highlight w:val="none"/>
                <w:lang w:val="en-US" w:eastAsia="zh-CN"/>
              </w:rPr>
              <w:t>堆场西侧河滩地，占地1000m</w:t>
            </w:r>
            <w:r>
              <w:rPr>
                <w:rFonts w:hint="default" w:ascii="Times New Roman" w:hAnsi="Times New Roman" w:cs="Times New Roman" w:eastAsiaTheme="minorEastAsia"/>
                <w:color w:val="auto"/>
                <w:sz w:val="21"/>
                <w:szCs w:val="21"/>
                <w:highlight w:val="none"/>
                <w:vertAlign w:val="superscript"/>
                <w:lang w:val="en-US" w:eastAsia="zh-CN"/>
              </w:rPr>
              <w:t>2</w:t>
            </w:r>
            <w:r>
              <w:rPr>
                <w:rFonts w:hint="eastAsia" w:cs="Times New Roman"/>
                <w:color w:val="auto"/>
                <w:sz w:val="24"/>
                <w:highlight w:val="none"/>
                <w:lang w:val="en-US" w:eastAsia="zh-CN"/>
              </w:rPr>
              <w:t>。</w:t>
            </w:r>
          </w:p>
        </w:tc>
      </w:tr>
      <w:tr w14:paraId="28ADA99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5" w:hRule="atLeast"/>
          <w:jc w:val="center"/>
        </w:trPr>
        <w:tc>
          <w:tcPr>
            <w:tcW w:w="776" w:type="dxa"/>
            <w:vMerge w:val="continue"/>
            <w:vAlign w:val="center"/>
          </w:tcPr>
          <w:p w14:paraId="4726A3F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bookmarkStart w:id="2900" w:name="_Toc32763"/>
            <w:bookmarkStart w:id="2901" w:name="_Toc22303"/>
          </w:p>
        </w:tc>
        <w:tc>
          <w:tcPr>
            <w:tcW w:w="1083" w:type="dxa"/>
            <w:tcMar>
              <w:top w:w="0" w:type="dxa"/>
              <w:left w:w="28" w:type="dxa"/>
              <w:bottom w:w="0" w:type="dxa"/>
              <w:right w:w="28" w:type="dxa"/>
            </w:tcMar>
            <w:vAlign w:val="center"/>
          </w:tcPr>
          <w:p w14:paraId="69DC17EA">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2902" w:name="_Toc21107"/>
            <w:bookmarkStart w:id="2903" w:name="_Toc23340"/>
            <w:bookmarkStart w:id="2904" w:name="_Toc17952"/>
            <w:r>
              <w:rPr>
                <w:rFonts w:hint="eastAsia" w:cs="Times New Roman"/>
                <w:color w:val="auto"/>
                <w:sz w:val="21"/>
                <w:szCs w:val="21"/>
                <w:highlight w:val="none"/>
                <w:lang w:eastAsia="zh-CN"/>
              </w:rPr>
              <w:t>巡检道路</w:t>
            </w:r>
            <w:bookmarkEnd w:id="2902"/>
            <w:bookmarkEnd w:id="2903"/>
            <w:bookmarkEnd w:id="2904"/>
          </w:p>
        </w:tc>
        <w:tc>
          <w:tcPr>
            <w:tcW w:w="1162" w:type="dxa"/>
            <w:tcMar>
              <w:top w:w="0" w:type="dxa"/>
              <w:left w:w="28" w:type="dxa"/>
              <w:bottom w:w="0" w:type="dxa"/>
              <w:right w:w="28" w:type="dxa"/>
            </w:tcMar>
            <w:vAlign w:val="center"/>
          </w:tcPr>
          <w:p w14:paraId="17608A4D">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2905" w:name="_Toc5725"/>
            <w:bookmarkStart w:id="2906" w:name="_Toc31203"/>
            <w:bookmarkStart w:id="2907" w:name="_Toc29498"/>
            <w:r>
              <w:rPr>
                <w:rFonts w:hint="default" w:ascii="Times New Roman" w:hAnsi="Times New Roman" w:cs="Times New Roman"/>
                <w:color w:val="auto"/>
                <w:sz w:val="21"/>
                <w:szCs w:val="21"/>
                <w:highlight w:val="none"/>
              </w:rPr>
              <w:t>川口河段河道</w:t>
            </w:r>
            <w:bookmarkEnd w:id="2905"/>
            <w:bookmarkEnd w:id="2906"/>
            <w:bookmarkEnd w:id="2907"/>
          </w:p>
        </w:tc>
        <w:tc>
          <w:tcPr>
            <w:tcW w:w="5430" w:type="dxa"/>
            <w:gridSpan w:val="2"/>
            <w:tcMar>
              <w:top w:w="0" w:type="dxa"/>
              <w:left w:w="28" w:type="dxa"/>
              <w:bottom w:w="0" w:type="dxa"/>
              <w:right w:w="28" w:type="dxa"/>
            </w:tcMar>
            <w:vAlign w:val="center"/>
          </w:tcPr>
          <w:p w14:paraId="326E02F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新建川口河巡检道路7.80km，路面宽5.0m（包含两侧路肩，各0.5m）</w:t>
            </w:r>
            <w:r>
              <w:rPr>
                <w:rFonts w:hint="eastAsia" w:cs="Times New Roman" w:eastAsiaTheme="minorEastAsia"/>
                <w:color w:val="auto"/>
                <w:sz w:val="21"/>
                <w:szCs w:val="21"/>
                <w:highlight w:val="none"/>
                <w:lang w:val="en-US" w:eastAsia="zh-CN"/>
              </w:rPr>
              <w:t>，总占地面积约为3.9hm</w:t>
            </w:r>
            <w:r>
              <w:rPr>
                <w:rFonts w:hint="eastAsia" w:cs="Times New Roman" w:eastAsiaTheme="minorEastAsia"/>
                <w:color w:val="auto"/>
                <w:sz w:val="21"/>
                <w:szCs w:val="21"/>
                <w:highlight w:val="none"/>
                <w:vertAlign w:val="superscript"/>
                <w:lang w:val="en-US" w:eastAsia="zh-CN"/>
              </w:rPr>
              <w:t>2</w:t>
            </w:r>
            <w:r>
              <w:rPr>
                <w:rFonts w:hint="eastAsia" w:cs="Times New Roman" w:eastAsiaTheme="minorEastAsia"/>
                <w:color w:val="auto"/>
                <w:sz w:val="21"/>
                <w:szCs w:val="21"/>
                <w:highlight w:val="none"/>
                <w:lang w:val="en-US" w:eastAsia="zh-CN"/>
              </w:rPr>
              <w:t>,属永久占地</w:t>
            </w:r>
            <w:r>
              <w:rPr>
                <w:rFonts w:hint="eastAsia" w:ascii="Times New Roman" w:hAnsi="Times New Roman" w:cs="Times New Roman" w:eastAsiaTheme="minorEastAsia"/>
                <w:color w:val="auto"/>
                <w:sz w:val="21"/>
                <w:szCs w:val="21"/>
                <w:highlight w:val="none"/>
                <w:lang w:val="en-US" w:eastAsia="zh-CN"/>
              </w:rPr>
              <w:t>。</w:t>
            </w:r>
          </w:p>
        </w:tc>
      </w:tr>
      <w:tr w14:paraId="39AD29B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vAlign w:val="center"/>
          </w:tcPr>
          <w:p w14:paraId="0B258A4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tcMar>
              <w:top w:w="0" w:type="dxa"/>
              <w:left w:w="28" w:type="dxa"/>
              <w:bottom w:w="0" w:type="dxa"/>
              <w:right w:w="28" w:type="dxa"/>
            </w:tcMar>
            <w:vAlign w:val="center"/>
          </w:tcPr>
          <w:p w14:paraId="784EBCD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08" w:name="_Toc18479"/>
            <w:bookmarkStart w:id="2909" w:name="_Toc18650"/>
            <w:bookmarkStart w:id="2910" w:name="_Toc20479"/>
            <w:r>
              <w:rPr>
                <w:rFonts w:hint="eastAsia" w:cs="Times New Roman"/>
                <w:color w:val="auto"/>
                <w:sz w:val="21"/>
                <w:szCs w:val="21"/>
                <w:highlight w:val="none"/>
                <w:lang w:eastAsia="zh-CN"/>
              </w:rPr>
              <w:t>巡检道路</w:t>
            </w:r>
            <w:bookmarkEnd w:id="2908"/>
            <w:bookmarkEnd w:id="2909"/>
            <w:bookmarkEnd w:id="2910"/>
          </w:p>
        </w:tc>
        <w:tc>
          <w:tcPr>
            <w:tcW w:w="1162" w:type="dxa"/>
            <w:tcMar>
              <w:top w:w="0" w:type="dxa"/>
              <w:left w:w="28" w:type="dxa"/>
              <w:bottom w:w="0" w:type="dxa"/>
              <w:right w:w="28" w:type="dxa"/>
            </w:tcMar>
            <w:vAlign w:val="center"/>
          </w:tcPr>
          <w:p w14:paraId="75113A1C">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2911" w:name="_Toc7703"/>
            <w:bookmarkStart w:id="2912" w:name="_Toc23436"/>
            <w:bookmarkStart w:id="2913" w:name="_Toc15637"/>
            <w:r>
              <w:rPr>
                <w:rFonts w:hint="default" w:ascii="Times New Roman" w:hAnsi="Times New Roman" w:cs="Times New Roman"/>
                <w:color w:val="auto"/>
                <w:sz w:val="21"/>
                <w:szCs w:val="21"/>
                <w:highlight w:val="none"/>
              </w:rPr>
              <w:t>小河段河道</w:t>
            </w:r>
            <w:bookmarkEnd w:id="2911"/>
            <w:bookmarkEnd w:id="2912"/>
            <w:bookmarkEnd w:id="2913"/>
          </w:p>
        </w:tc>
        <w:tc>
          <w:tcPr>
            <w:tcW w:w="5430" w:type="dxa"/>
            <w:gridSpan w:val="2"/>
            <w:tcMar>
              <w:top w:w="0" w:type="dxa"/>
              <w:left w:w="28" w:type="dxa"/>
              <w:bottom w:w="0" w:type="dxa"/>
              <w:right w:w="28" w:type="dxa"/>
            </w:tcMar>
            <w:vAlign w:val="center"/>
          </w:tcPr>
          <w:p w14:paraId="371FD6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并新建小河巡检道路1.57km，路面宽4.5m（包含两侧路肩，各0.5m）。</w:t>
            </w:r>
            <w:r>
              <w:rPr>
                <w:rFonts w:hint="eastAsia" w:cs="Times New Roman" w:eastAsiaTheme="minorEastAsia"/>
                <w:color w:val="auto"/>
                <w:sz w:val="21"/>
                <w:szCs w:val="21"/>
                <w:highlight w:val="none"/>
                <w:lang w:val="en-US" w:eastAsia="zh-CN"/>
              </w:rPr>
              <w:t>总占地面积约为0.71hm</w:t>
            </w:r>
            <w:r>
              <w:rPr>
                <w:rFonts w:hint="eastAsia" w:cs="Times New Roman" w:eastAsiaTheme="minorEastAsia"/>
                <w:color w:val="auto"/>
                <w:sz w:val="21"/>
                <w:szCs w:val="21"/>
                <w:highlight w:val="none"/>
                <w:vertAlign w:val="superscript"/>
                <w:lang w:val="en-US" w:eastAsia="zh-CN"/>
              </w:rPr>
              <w:t>2</w:t>
            </w:r>
            <w:r>
              <w:rPr>
                <w:rFonts w:hint="eastAsia" w:cs="Times New Roman" w:eastAsiaTheme="minorEastAsia"/>
                <w:color w:val="auto"/>
                <w:sz w:val="21"/>
                <w:szCs w:val="21"/>
                <w:highlight w:val="none"/>
                <w:lang w:val="en-US" w:eastAsia="zh-CN"/>
              </w:rPr>
              <w:t>,属永久占地</w:t>
            </w:r>
            <w:r>
              <w:rPr>
                <w:rFonts w:hint="eastAsia" w:ascii="Times New Roman" w:hAnsi="Times New Roman" w:cs="Times New Roman" w:eastAsiaTheme="minorEastAsia"/>
                <w:color w:val="auto"/>
                <w:sz w:val="21"/>
                <w:szCs w:val="21"/>
                <w:highlight w:val="none"/>
                <w:lang w:val="en-US" w:eastAsia="zh-CN"/>
              </w:rPr>
              <w:t>。</w:t>
            </w:r>
          </w:p>
        </w:tc>
      </w:tr>
      <w:tr w14:paraId="5A16DD6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76" w:type="dxa"/>
            <w:vMerge w:val="continue"/>
            <w:vAlign w:val="center"/>
          </w:tcPr>
          <w:p w14:paraId="0F716E6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tcMar>
              <w:top w:w="0" w:type="dxa"/>
              <w:left w:w="28" w:type="dxa"/>
              <w:bottom w:w="0" w:type="dxa"/>
              <w:right w:w="28" w:type="dxa"/>
            </w:tcMar>
            <w:vAlign w:val="center"/>
          </w:tcPr>
          <w:p w14:paraId="5479D43A">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2914" w:name="_Toc4094"/>
            <w:bookmarkStart w:id="2915" w:name="_Toc13738"/>
            <w:bookmarkStart w:id="2916" w:name="_Toc27025"/>
            <w:r>
              <w:rPr>
                <w:rFonts w:hint="eastAsia" w:cs="Times New Roman"/>
                <w:color w:val="auto"/>
                <w:sz w:val="21"/>
                <w:szCs w:val="21"/>
                <w:highlight w:val="none"/>
                <w:lang w:eastAsia="zh-CN"/>
              </w:rPr>
              <w:t>临时道路</w:t>
            </w:r>
            <w:bookmarkEnd w:id="2914"/>
            <w:bookmarkEnd w:id="2915"/>
            <w:bookmarkEnd w:id="2916"/>
          </w:p>
        </w:tc>
        <w:tc>
          <w:tcPr>
            <w:tcW w:w="1162" w:type="dxa"/>
            <w:tcMar>
              <w:top w:w="0" w:type="dxa"/>
              <w:left w:w="28" w:type="dxa"/>
              <w:bottom w:w="0" w:type="dxa"/>
              <w:right w:w="28" w:type="dxa"/>
            </w:tcMar>
            <w:vAlign w:val="center"/>
          </w:tcPr>
          <w:p w14:paraId="118850F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17" w:name="_Toc20249"/>
            <w:bookmarkStart w:id="2918" w:name="_Toc32418"/>
            <w:bookmarkStart w:id="2919" w:name="_Toc1106"/>
            <w:r>
              <w:rPr>
                <w:rFonts w:hint="eastAsia" w:cs="Times New Roman"/>
                <w:color w:val="auto"/>
                <w:sz w:val="21"/>
                <w:szCs w:val="21"/>
                <w:highlight w:val="none"/>
                <w:lang w:eastAsia="zh-CN"/>
              </w:rPr>
              <w:t>石头崾岘</w:t>
            </w:r>
            <w:r>
              <w:rPr>
                <w:rFonts w:hint="default" w:ascii="Times New Roman" w:hAnsi="Times New Roman" w:cs="Times New Roman"/>
                <w:color w:val="auto"/>
                <w:sz w:val="21"/>
                <w:szCs w:val="21"/>
                <w:highlight w:val="none"/>
              </w:rPr>
              <w:t>水库</w:t>
            </w:r>
            <w:bookmarkEnd w:id="2917"/>
            <w:bookmarkEnd w:id="2918"/>
            <w:bookmarkEnd w:id="2919"/>
          </w:p>
        </w:tc>
        <w:tc>
          <w:tcPr>
            <w:tcW w:w="5430" w:type="dxa"/>
            <w:gridSpan w:val="2"/>
            <w:tcMar>
              <w:top w:w="0" w:type="dxa"/>
              <w:left w:w="28" w:type="dxa"/>
              <w:bottom w:w="0" w:type="dxa"/>
              <w:right w:w="28" w:type="dxa"/>
            </w:tcMar>
            <w:vAlign w:val="center"/>
          </w:tcPr>
          <w:p w14:paraId="68008C2A">
            <w:pPr>
              <w:pStyle w:val="29"/>
              <w:suppressLineNumbers w:val="0"/>
              <w:bidi w:val="0"/>
              <w:spacing w:beforeAutospacing="0" w:afterAutospacing="0"/>
              <w:ind w:left="0" w:right="0"/>
              <w:jc w:val="left"/>
              <w:rPr>
                <w:rFonts w:hint="default" w:ascii="Times New Roman" w:hAnsi="Times New Roman" w:cs="Times New Roman" w:eastAsiaTheme="minorEastAsia"/>
                <w:color w:val="auto"/>
                <w:sz w:val="21"/>
                <w:szCs w:val="21"/>
                <w:highlight w:val="none"/>
                <w:lang w:val="en-US" w:eastAsia="zh-CN"/>
              </w:rPr>
            </w:pPr>
            <w:bookmarkStart w:id="2920" w:name="_Toc8687"/>
            <w:bookmarkStart w:id="2921" w:name="_Toc19194"/>
            <w:bookmarkStart w:id="2922" w:name="_Toc17054"/>
            <w:r>
              <w:rPr>
                <w:rFonts w:hint="default" w:cs="Times New Roman"/>
                <w:color w:val="auto"/>
                <w:sz w:val="21"/>
                <w:szCs w:val="21"/>
                <w:highlight w:val="none"/>
                <w:lang w:eastAsia="zh-CN"/>
              </w:rPr>
              <w:t>在设计清淤区域布设临时道路网，临时道路长7.8km，设计路面宽度5.0m。临时道路位于河道范围</w:t>
            </w:r>
            <w:bookmarkEnd w:id="2920"/>
            <w:r>
              <w:rPr>
                <w:rFonts w:hint="eastAsia" w:cs="Times New Roman"/>
                <w:color w:val="auto"/>
                <w:sz w:val="21"/>
                <w:szCs w:val="21"/>
                <w:highlight w:val="none"/>
                <w:lang w:eastAsia="zh-CN"/>
              </w:rPr>
              <w:t>，总占地面积</w:t>
            </w:r>
            <w:r>
              <w:rPr>
                <w:rFonts w:hint="eastAsia" w:cs="Times New Roman"/>
                <w:color w:val="auto"/>
                <w:sz w:val="21"/>
                <w:szCs w:val="21"/>
                <w:highlight w:val="none"/>
                <w:lang w:val="en-US" w:eastAsia="zh-CN"/>
              </w:rPr>
              <w:t>3.9</w:t>
            </w:r>
            <w:r>
              <w:rPr>
                <w:rFonts w:hint="eastAsia" w:cs="Times New Roman" w:eastAsiaTheme="minorEastAsia"/>
                <w:color w:val="auto"/>
                <w:sz w:val="21"/>
                <w:szCs w:val="21"/>
                <w:highlight w:val="none"/>
                <w:lang w:val="en-US" w:eastAsia="zh-CN"/>
              </w:rPr>
              <w:t>hm</w:t>
            </w:r>
            <w:r>
              <w:rPr>
                <w:rFonts w:hint="eastAsia" w:cs="Times New Roman" w:eastAsiaTheme="minorEastAsia"/>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bookmarkEnd w:id="2921"/>
            <w:bookmarkEnd w:id="2922"/>
          </w:p>
        </w:tc>
      </w:tr>
      <w:tr w14:paraId="1226C2C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84" w:hRule="atLeast"/>
          <w:jc w:val="center"/>
        </w:trPr>
        <w:tc>
          <w:tcPr>
            <w:tcW w:w="776" w:type="dxa"/>
            <w:vMerge w:val="restart"/>
            <w:tcMar>
              <w:top w:w="0" w:type="dxa"/>
              <w:left w:w="28" w:type="dxa"/>
              <w:bottom w:w="0" w:type="dxa"/>
              <w:right w:w="28" w:type="dxa"/>
            </w:tcMar>
            <w:vAlign w:val="center"/>
          </w:tcPr>
          <w:p w14:paraId="109CECC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23" w:name="_Toc28887"/>
            <w:bookmarkStart w:id="2924" w:name="_Toc18842"/>
            <w:bookmarkStart w:id="2925" w:name="_Toc6193"/>
            <w:r>
              <w:rPr>
                <w:rFonts w:hint="default" w:ascii="Times New Roman" w:hAnsi="Times New Roman" w:cs="Times New Roman"/>
                <w:color w:val="auto"/>
                <w:sz w:val="21"/>
                <w:szCs w:val="21"/>
                <w:highlight w:val="none"/>
              </w:rPr>
              <w:t>公用</w:t>
            </w:r>
            <w:bookmarkEnd w:id="2900"/>
            <w:bookmarkEnd w:id="2901"/>
            <w:bookmarkEnd w:id="2923"/>
            <w:bookmarkEnd w:id="2924"/>
            <w:bookmarkEnd w:id="2925"/>
          </w:p>
          <w:p w14:paraId="4B97299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26" w:name="_Toc19310"/>
            <w:bookmarkStart w:id="2927" w:name="_Toc23984"/>
            <w:bookmarkStart w:id="2928" w:name="_Toc27572"/>
            <w:bookmarkStart w:id="2929" w:name="_Toc28402"/>
            <w:bookmarkStart w:id="2930" w:name="_Toc32614"/>
            <w:r>
              <w:rPr>
                <w:rFonts w:hint="default" w:ascii="Times New Roman" w:hAnsi="Times New Roman" w:cs="Times New Roman"/>
                <w:color w:val="auto"/>
                <w:sz w:val="21"/>
                <w:szCs w:val="21"/>
                <w:highlight w:val="none"/>
              </w:rPr>
              <w:t>工程</w:t>
            </w:r>
            <w:bookmarkEnd w:id="2926"/>
            <w:bookmarkEnd w:id="2927"/>
            <w:bookmarkEnd w:id="2928"/>
            <w:bookmarkEnd w:id="2929"/>
            <w:bookmarkEnd w:id="2930"/>
          </w:p>
        </w:tc>
        <w:tc>
          <w:tcPr>
            <w:tcW w:w="2245" w:type="dxa"/>
            <w:gridSpan w:val="2"/>
            <w:tcMar>
              <w:top w:w="0" w:type="dxa"/>
              <w:left w:w="28" w:type="dxa"/>
              <w:bottom w:w="0" w:type="dxa"/>
              <w:right w:w="28" w:type="dxa"/>
            </w:tcMar>
            <w:vAlign w:val="center"/>
          </w:tcPr>
          <w:p w14:paraId="05C9B0F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31" w:name="_Toc16247"/>
            <w:bookmarkStart w:id="2932" w:name="_Toc22637"/>
            <w:bookmarkStart w:id="2933" w:name="_Toc11435"/>
            <w:bookmarkStart w:id="2934" w:name="_Toc7119"/>
            <w:bookmarkStart w:id="2935" w:name="_Toc17798"/>
            <w:r>
              <w:rPr>
                <w:rFonts w:hint="default" w:ascii="Times New Roman" w:hAnsi="Times New Roman" w:cs="Times New Roman"/>
                <w:color w:val="auto"/>
                <w:sz w:val="21"/>
                <w:szCs w:val="21"/>
                <w:highlight w:val="none"/>
              </w:rPr>
              <w:t>给水</w:t>
            </w:r>
            <w:bookmarkEnd w:id="2931"/>
            <w:bookmarkEnd w:id="2932"/>
            <w:bookmarkEnd w:id="2933"/>
            <w:bookmarkEnd w:id="2934"/>
            <w:bookmarkEnd w:id="2935"/>
          </w:p>
        </w:tc>
        <w:tc>
          <w:tcPr>
            <w:tcW w:w="5430" w:type="dxa"/>
            <w:gridSpan w:val="2"/>
            <w:tcMar>
              <w:top w:w="0" w:type="dxa"/>
              <w:left w:w="28" w:type="dxa"/>
              <w:bottom w:w="0" w:type="dxa"/>
              <w:right w:w="28" w:type="dxa"/>
            </w:tcMar>
            <w:vAlign w:val="center"/>
          </w:tcPr>
          <w:p w14:paraId="21719282">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936" w:name="_Toc23911"/>
            <w:bookmarkStart w:id="2937" w:name="_Toc2878"/>
            <w:bookmarkStart w:id="2938" w:name="_Toc29810"/>
            <w:r>
              <w:rPr>
                <w:rFonts w:hint="default" w:ascii="Times New Roman" w:hAnsi="Times New Roman" w:cs="Times New Roman"/>
                <w:color w:val="auto"/>
                <w:sz w:val="21"/>
                <w:szCs w:val="21"/>
                <w:highlight w:val="none"/>
              </w:rPr>
              <w:t>项目区施工期施工用水主要采用茹河地表水，在没有地表水的情况下，施工用水采用水车拉运。由于本工程项目区绝大多数处在干旱半干旱地区，拉水运距较远，普遍在5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10km。在各主要施工点设30m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的钢板水箱存蓄水。</w:t>
            </w:r>
            <w:bookmarkEnd w:id="2936"/>
            <w:bookmarkEnd w:id="2937"/>
            <w:bookmarkEnd w:id="2938"/>
          </w:p>
          <w:p w14:paraId="3BC5144D">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939" w:name="_Toc21655"/>
            <w:bookmarkStart w:id="2940" w:name="_Toc4610"/>
            <w:bookmarkStart w:id="2941" w:name="_Toc12045"/>
            <w:r>
              <w:rPr>
                <w:rFonts w:hint="default" w:ascii="Times New Roman" w:hAnsi="Times New Roman" w:cs="Times New Roman"/>
                <w:color w:val="auto"/>
                <w:sz w:val="21"/>
                <w:szCs w:val="21"/>
                <w:highlight w:val="none"/>
              </w:rPr>
              <w:t>项目施工人员租用附近民房，生活用水依托民房周边水源地供水。</w:t>
            </w:r>
            <w:bookmarkEnd w:id="2939"/>
            <w:bookmarkEnd w:id="2940"/>
            <w:bookmarkEnd w:id="2941"/>
          </w:p>
        </w:tc>
      </w:tr>
      <w:tr w14:paraId="492BE14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34" w:hRule="atLeast"/>
          <w:jc w:val="center"/>
        </w:trPr>
        <w:tc>
          <w:tcPr>
            <w:tcW w:w="776" w:type="dxa"/>
            <w:vMerge w:val="continue"/>
            <w:vAlign w:val="center"/>
          </w:tcPr>
          <w:p w14:paraId="7437975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45" w:type="dxa"/>
            <w:gridSpan w:val="2"/>
            <w:tcMar>
              <w:top w:w="0" w:type="dxa"/>
              <w:left w:w="28" w:type="dxa"/>
              <w:bottom w:w="0" w:type="dxa"/>
              <w:right w:w="28" w:type="dxa"/>
            </w:tcMar>
            <w:vAlign w:val="center"/>
          </w:tcPr>
          <w:p w14:paraId="0EA38B5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42" w:name="_Toc8633"/>
            <w:bookmarkStart w:id="2943" w:name="_Toc4472"/>
            <w:bookmarkStart w:id="2944" w:name="_Toc30941"/>
            <w:bookmarkStart w:id="2945" w:name="_Toc17744"/>
            <w:bookmarkStart w:id="2946" w:name="_Toc22842"/>
            <w:r>
              <w:rPr>
                <w:rFonts w:hint="default" w:ascii="Times New Roman" w:hAnsi="Times New Roman" w:cs="Times New Roman"/>
                <w:color w:val="auto"/>
                <w:sz w:val="21"/>
                <w:szCs w:val="21"/>
                <w:highlight w:val="none"/>
              </w:rPr>
              <w:t>排水</w:t>
            </w:r>
            <w:bookmarkEnd w:id="2942"/>
            <w:bookmarkEnd w:id="2943"/>
            <w:bookmarkEnd w:id="2944"/>
            <w:bookmarkEnd w:id="2945"/>
            <w:bookmarkEnd w:id="2946"/>
          </w:p>
        </w:tc>
        <w:tc>
          <w:tcPr>
            <w:tcW w:w="5430" w:type="dxa"/>
            <w:gridSpan w:val="2"/>
            <w:tcMar>
              <w:top w:w="0" w:type="dxa"/>
              <w:left w:w="28" w:type="dxa"/>
              <w:bottom w:w="0" w:type="dxa"/>
              <w:right w:w="28" w:type="dxa"/>
            </w:tcMar>
            <w:vAlign w:val="center"/>
          </w:tcPr>
          <w:p w14:paraId="6F217742">
            <w:pPr>
              <w:pStyle w:val="29"/>
              <w:suppressLineNumbers w:val="0"/>
              <w:bidi w:val="0"/>
              <w:spacing w:beforeAutospacing="0" w:afterAutospacing="0"/>
              <w:ind w:left="0" w:right="0"/>
              <w:jc w:val="both"/>
              <w:rPr>
                <w:rFonts w:hint="eastAsia" w:ascii="Times New Roman" w:hAnsi="Times New Roman" w:eastAsia="宋体" w:cs="Times New Roman"/>
                <w:color w:val="auto"/>
                <w:sz w:val="21"/>
                <w:szCs w:val="21"/>
                <w:highlight w:val="none"/>
                <w:lang w:eastAsia="zh-CN"/>
              </w:rPr>
            </w:pPr>
            <w:bookmarkStart w:id="2947" w:name="_Toc26226"/>
            <w:bookmarkStart w:id="2948" w:name="_Toc5400"/>
            <w:bookmarkStart w:id="2949" w:name="_Toc23893"/>
            <w:r>
              <w:rPr>
                <w:rFonts w:hint="eastAsia" w:cs="Times New Roman"/>
                <w:color w:val="auto"/>
                <w:sz w:val="21"/>
                <w:szCs w:val="21"/>
                <w:highlight w:val="none"/>
                <w:lang w:eastAsia="zh-CN"/>
              </w:rPr>
              <w:t>施工人员生活污水依托附近民房旱厕，定期清掏，不外排。</w:t>
            </w:r>
            <w:bookmarkEnd w:id="2947"/>
            <w:bookmarkEnd w:id="2948"/>
            <w:bookmarkEnd w:id="2949"/>
          </w:p>
        </w:tc>
      </w:tr>
      <w:tr w14:paraId="249F846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1D1435D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45" w:type="dxa"/>
            <w:gridSpan w:val="2"/>
            <w:tcMar>
              <w:top w:w="0" w:type="dxa"/>
              <w:left w:w="28" w:type="dxa"/>
              <w:bottom w:w="0" w:type="dxa"/>
              <w:right w:w="28" w:type="dxa"/>
            </w:tcMar>
            <w:vAlign w:val="center"/>
          </w:tcPr>
          <w:p w14:paraId="4ACF59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50" w:name="_Toc26292"/>
            <w:bookmarkStart w:id="2951" w:name="_Toc16080"/>
            <w:bookmarkStart w:id="2952" w:name="_Toc6885"/>
            <w:bookmarkStart w:id="2953" w:name="_Toc21925"/>
            <w:bookmarkStart w:id="2954" w:name="_Toc9437"/>
            <w:r>
              <w:rPr>
                <w:rFonts w:hint="default" w:ascii="Times New Roman" w:hAnsi="Times New Roman" w:cs="Times New Roman"/>
                <w:color w:val="auto"/>
                <w:sz w:val="21"/>
                <w:szCs w:val="21"/>
                <w:highlight w:val="none"/>
              </w:rPr>
              <w:t>供电</w:t>
            </w:r>
            <w:bookmarkEnd w:id="2950"/>
            <w:bookmarkEnd w:id="2951"/>
            <w:bookmarkEnd w:id="2952"/>
            <w:bookmarkEnd w:id="2953"/>
            <w:bookmarkEnd w:id="2954"/>
          </w:p>
        </w:tc>
        <w:tc>
          <w:tcPr>
            <w:tcW w:w="5430" w:type="dxa"/>
            <w:gridSpan w:val="2"/>
            <w:tcMar>
              <w:top w:w="0" w:type="dxa"/>
              <w:left w:w="28" w:type="dxa"/>
              <w:bottom w:w="0" w:type="dxa"/>
              <w:right w:w="28" w:type="dxa"/>
            </w:tcMar>
            <w:vAlign w:val="center"/>
          </w:tcPr>
          <w:p w14:paraId="19E5B1CA">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955" w:name="_Toc25031"/>
            <w:bookmarkStart w:id="2956" w:name="_Toc652"/>
            <w:bookmarkStart w:id="2957" w:name="_Toc2384"/>
            <w:bookmarkStart w:id="2958" w:name="_Toc32762"/>
            <w:bookmarkStart w:id="2959" w:name="_Toc12270"/>
            <w:r>
              <w:rPr>
                <w:rFonts w:hint="default" w:ascii="Times New Roman" w:hAnsi="Times New Roman" w:cs="Times New Roman"/>
                <w:color w:val="auto"/>
                <w:sz w:val="21"/>
                <w:szCs w:val="21"/>
                <w:highlight w:val="none"/>
              </w:rPr>
              <w:t>工程施工用电电源可由附近10KV线路就近引接。</w:t>
            </w:r>
            <w:bookmarkEnd w:id="2955"/>
            <w:bookmarkEnd w:id="2956"/>
            <w:bookmarkEnd w:id="2957"/>
            <w:bookmarkEnd w:id="2958"/>
            <w:bookmarkEnd w:id="2959"/>
          </w:p>
        </w:tc>
      </w:tr>
      <w:tr w14:paraId="2FCC333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35" w:type="dxa"/>
          <w:trHeight w:val="90" w:hRule="atLeast"/>
          <w:jc w:val="center"/>
        </w:trPr>
        <w:tc>
          <w:tcPr>
            <w:tcW w:w="776" w:type="dxa"/>
            <w:vMerge w:val="restart"/>
            <w:tcMar>
              <w:top w:w="0" w:type="dxa"/>
              <w:left w:w="28" w:type="dxa"/>
              <w:bottom w:w="0" w:type="dxa"/>
              <w:right w:w="28" w:type="dxa"/>
            </w:tcMar>
            <w:vAlign w:val="center"/>
          </w:tcPr>
          <w:p w14:paraId="063AFBB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60" w:name="_Toc15560"/>
            <w:bookmarkStart w:id="2961" w:name="_Toc13734"/>
            <w:bookmarkStart w:id="2962" w:name="_Toc1942"/>
            <w:bookmarkStart w:id="2963" w:name="_Toc6222"/>
            <w:bookmarkStart w:id="2964" w:name="_Toc16151"/>
            <w:r>
              <w:rPr>
                <w:rFonts w:hint="default" w:ascii="Times New Roman" w:hAnsi="Times New Roman" w:cs="Times New Roman"/>
                <w:color w:val="auto"/>
                <w:sz w:val="21"/>
                <w:szCs w:val="21"/>
                <w:highlight w:val="none"/>
              </w:rPr>
              <w:t>环保</w:t>
            </w:r>
            <w:bookmarkEnd w:id="2960"/>
            <w:bookmarkEnd w:id="2961"/>
            <w:bookmarkEnd w:id="2962"/>
            <w:bookmarkEnd w:id="2963"/>
            <w:bookmarkEnd w:id="2964"/>
          </w:p>
          <w:p w14:paraId="1972580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65" w:name="_Toc16513"/>
            <w:bookmarkStart w:id="2966" w:name="_Toc20154"/>
            <w:bookmarkStart w:id="2967" w:name="_Toc13101"/>
            <w:bookmarkStart w:id="2968" w:name="_Toc9415"/>
            <w:bookmarkStart w:id="2969" w:name="_Toc674"/>
            <w:r>
              <w:rPr>
                <w:rFonts w:hint="default" w:ascii="Times New Roman" w:hAnsi="Times New Roman" w:cs="Times New Roman"/>
                <w:color w:val="auto"/>
                <w:sz w:val="21"/>
                <w:szCs w:val="21"/>
                <w:highlight w:val="none"/>
              </w:rPr>
              <w:t>工程</w:t>
            </w:r>
            <w:bookmarkEnd w:id="2965"/>
            <w:bookmarkEnd w:id="2966"/>
            <w:bookmarkEnd w:id="2967"/>
            <w:bookmarkEnd w:id="2968"/>
            <w:bookmarkEnd w:id="2969"/>
          </w:p>
        </w:tc>
        <w:tc>
          <w:tcPr>
            <w:tcW w:w="1083" w:type="dxa"/>
            <w:vMerge w:val="restart"/>
            <w:tcMar>
              <w:top w:w="0" w:type="dxa"/>
              <w:left w:w="28" w:type="dxa"/>
              <w:bottom w:w="0" w:type="dxa"/>
              <w:right w:w="28" w:type="dxa"/>
            </w:tcMar>
            <w:vAlign w:val="center"/>
          </w:tcPr>
          <w:p w14:paraId="4891095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70" w:name="_Toc22931"/>
            <w:bookmarkStart w:id="2971" w:name="_Toc16855"/>
            <w:bookmarkStart w:id="2972" w:name="_Toc12766"/>
            <w:bookmarkStart w:id="2973" w:name="_Toc27709"/>
            <w:bookmarkStart w:id="2974" w:name="_Toc16724"/>
            <w:r>
              <w:rPr>
                <w:rFonts w:hint="default" w:ascii="Times New Roman" w:hAnsi="Times New Roman" w:cs="Times New Roman"/>
                <w:color w:val="auto"/>
                <w:sz w:val="21"/>
                <w:szCs w:val="21"/>
                <w:highlight w:val="none"/>
              </w:rPr>
              <w:t>施</w:t>
            </w:r>
            <w:bookmarkEnd w:id="2970"/>
            <w:bookmarkEnd w:id="2971"/>
            <w:bookmarkStart w:id="2975" w:name="_Toc8120"/>
            <w:bookmarkStart w:id="2976" w:name="_Toc20140"/>
            <w:r>
              <w:rPr>
                <w:rFonts w:hint="default" w:ascii="Times New Roman" w:hAnsi="Times New Roman" w:cs="Times New Roman"/>
                <w:color w:val="auto"/>
                <w:sz w:val="21"/>
                <w:szCs w:val="21"/>
                <w:highlight w:val="none"/>
              </w:rPr>
              <w:t>工</w:t>
            </w:r>
            <w:bookmarkEnd w:id="2975"/>
            <w:bookmarkEnd w:id="2976"/>
            <w:bookmarkStart w:id="2977" w:name="_Toc12652"/>
            <w:bookmarkStart w:id="2978" w:name="_Toc17766"/>
            <w:r>
              <w:rPr>
                <w:rFonts w:hint="default" w:ascii="Times New Roman" w:hAnsi="Times New Roman" w:cs="Times New Roman"/>
                <w:color w:val="auto"/>
                <w:sz w:val="21"/>
                <w:szCs w:val="21"/>
                <w:highlight w:val="none"/>
              </w:rPr>
              <w:t>期</w:t>
            </w:r>
            <w:bookmarkEnd w:id="2972"/>
            <w:bookmarkEnd w:id="2973"/>
            <w:bookmarkEnd w:id="2974"/>
            <w:bookmarkEnd w:id="2977"/>
            <w:bookmarkEnd w:id="2978"/>
          </w:p>
        </w:tc>
        <w:tc>
          <w:tcPr>
            <w:tcW w:w="1162" w:type="dxa"/>
            <w:tcMar>
              <w:top w:w="0" w:type="dxa"/>
              <w:left w:w="28" w:type="dxa"/>
              <w:bottom w:w="0" w:type="dxa"/>
              <w:right w:w="28" w:type="dxa"/>
            </w:tcMar>
            <w:vAlign w:val="center"/>
          </w:tcPr>
          <w:p w14:paraId="48A1551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79" w:name="_Toc24440"/>
            <w:bookmarkStart w:id="2980" w:name="_Toc30487"/>
            <w:bookmarkStart w:id="2981" w:name="_Toc16894"/>
            <w:bookmarkStart w:id="2982" w:name="_Toc13000"/>
            <w:bookmarkStart w:id="2983" w:name="_Toc15934"/>
            <w:r>
              <w:rPr>
                <w:rFonts w:hint="default" w:ascii="Times New Roman" w:hAnsi="Times New Roman" w:cs="Times New Roman"/>
                <w:color w:val="auto"/>
                <w:sz w:val="21"/>
                <w:szCs w:val="21"/>
                <w:highlight w:val="none"/>
              </w:rPr>
              <w:t>废气</w:t>
            </w:r>
            <w:bookmarkEnd w:id="2979"/>
            <w:bookmarkEnd w:id="2980"/>
            <w:bookmarkEnd w:id="2981"/>
            <w:bookmarkEnd w:id="2982"/>
            <w:bookmarkEnd w:id="2983"/>
          </w:p>
        </w:tc>
        <w:tc>
          <w:tcPr>
            <w:tcW w:w="5395" w:type="dxa"/>
            <w:tcMar>
              <w:top w:w="0" w:type="dxa"/>
              <w:left w:w="28" w:type="dxa"/>
              <w:bottom w:w="0" w:type="dxa"/>
              <w:right w:w="28" w:type="dxa"/>
            </w:tcMar>
            <w:vAlign w:val="center"/>
          </w:tcPr>
          <w:p w14:paraId="20D6C0E6">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984" w:name="_Toc26041"/>
            <w:bookmarkStart w:id="2985" w:name="_Toc12193"/>
            <w:bookmarkStart w:id="2986" w:name="_Toc139"/>
            <w:bookmarkStart w:id="2987" w:name="_Toc6292"/>
            <w:bookmarkStart w:id="2988" w:name="_Toc15433"/>
            <w:r>
              <w:rPr>
                <w:rFonts w:hint="default" w:ascii="Times New Roman" w:hAnsi="Times New Roman" w:cs="Times New Roman"/>
                <w:color w:val="auto"/>
                <w:sz w:val="21"/>
                <w:szCs w:val="21"/>
                <w:highlight w:val="none"/>
              </w:rPr>
              <w:t>施工现场进行洒水降尘；建筑材料在运输途中，车辆实行密闭或覆盖运输。</w:t>
            </w:r>
            <w:bookmarkEnd w:id="2984"/>
            <w:bookmarkEnd w:id="2985"/>
            <w:bookmarkEnd w:id="2986"/>
            <w:bookmarkEnd w:id="2987"/>
            <w:bookmarkEnd w:id="2988"/>
          </w:p>
        </w:tc>
      </w:tr>
      <w:tr w14:paraId="464EE2A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35" w:type="dxa"/>
          <w:trHeight w:val="340" w:hRule="atLeast"/>
          <w:jc w:val="center"/>
        </w:trPr>
        <w:tc>
          <w:tcPr>
            <w:tcW w:w="776" w:type="dxa"/>
            <w:vMerge w:val="continue"/>
            <w:vAlign w:val="center"/>
          </w:tcPr>
          <w:p w14:paraId="6FEA99A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3CF3406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6E20F75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89" w:name="_Toc32681"/>
            <w:bookmarkStart w:id="2990" w:name="_Toc3400"/>
            <w:bookmarkStart w:id="2991" w:name="_Toc5127"/>
            <w:bookmarkStart w:id="2992" w:name="_Toc26592"/>
            <w:bookmarkStart w:id="2993" w:name="_Toc13411"/>
            <w:r>
              <w:rPr>
                <w:rFonts w:hint="default" w:ascii="Times New Roman" w:hAnsi="Times New Roman" w:cs="Times New Roman"/>
                <w:color w:val="auto"/>
                <w:sz w:val="21"/>
                <w:szCs w:val="21"/>
                <w:highlight w:val="none"/>
              </w:rPr>
              <w:t>废水</w:t>
            </w:r>
            <w:bookmarkEnd w:id="2989"/>
            <w:bookmarkEnd w:id="2990"/>
            <w:bookmarkEnd w:id="2991"/>
            <w:bookmarkEnd w:id="2992"/>
            <w:bookmarkEnd w:id="2993"/>
          </w:p>
        </w:tc>
        <w:tc>
          <w:tcPr>
            <w:tcW w:w="5395" w:type="dxa"/>
            <w:tcMar>
              <w:top w:w="0" w:type="dxa"/>
              <w:left w:w="28" w:type="dxa"/>
              <w:bottom w:w="0" w:type="dxa"/>
              <w:right w:w="28" w:type="dxa"/>
            </w:tcMar>
            <w:vAlign w:val="center"/>
          </w:tcPr>
          <w:p w14:paraId="4B23334D">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2994" w:name="_Toc15358"/>
            <w:bookmarkStart w:id="2995" w:name="_Toc6244"/>
            <w:bookmarkStart w:id="2996" w:name="_Toc29097"/>
            <w:bookmarkStart w:id="2997" w:name="_Toc2103"/>
            <w:bookmarkStart w:id="2998" w:name="_Toc20244"/>
            <w:r>
              <w:rPr>
                <w:rFonts w:hint="default" w:ascii="Times New Roman" w:hAnsi="Times New Roman" w:cs="Times New Roman"/>
                <w:color w:val="auto"/>
                <w:sz w:val="21"/>
                <w:szCs w:val="21"/>
                <w:highlight w:val="none"/>
              </w:rPr>
              <w:t>工程废水主要来自施工废水及生活污水，施工废水主要</w:t>
            </w:r>
            <w:r>
              <w:rPr>
                <w:rFonts w:hint="eastAsia" w:cs="Times New Roman"/>
                <w:color w:val="auto"/>
                <w:sz w:val="21"/>
                <w:szCs w:val="21"/>
                <w:highlight w:val="none"/>
                <w:lang w:eastAsia="zh-CN"/>
              </w:rPr>
              <w:t>来自</w:t>
            </w:r>
            <w:r>
              <w:rPr>
                <w:rFonts w:hint="default" w:ascii="Times New Roman" w:hAnsi="Times New Roman" w:cs="Times New Roman"/>
                <w:color w:val="auto"/>
                <w:sz w:val="21"/>
                <w:szCs w:val="21"/>
                <w:highlight w:val="none"/>
              </w:rPr>
              <w:t>施工机械设备和车辆清洗产生的少量废水及</w:t>
            </w:r>
            <w:r>
              <w:rPr>
                <w:rFonts w:hint="eastAsia" w:cs="Times New Roman"/>
                <w:color w:val="auto"/>
                <w:sz w:val="21"/>
                <w:szCs w:val="21"/>
                <w:highlight w:val="none"/>
                <w:lang w:eastAsia="zh-CN"/>
              </w:rPr>
              <w:t>混凝土养护废水</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各施工营地分别</w:t>
            </w:r>
            <w:r>
              <w:rPr>
                <w:rFonts w:hint="default" w:ascii="Times New Roman" w:hAnsi="Times New Roman" w:cs="Times New Roman"/>
                <w:color w:val="auto"/>
                <w:sz w:val="21"/>
                <w:szCs w:val="21"/>
                <w:highlight w:val="none"/>
              </w:rPr>
              <w:t>设置</w:t>
            </w:r>
            <w:r>
              <w:rPr>
                <w:rFonts w:hint="eastAsia" w:cs="Times New Roman"/>
                <w:color w:val="auto"/>
                <w:sz w:val="21"/>
                <w:szCs w:val="21"/>
                <w:highlight w:val="none"/>
                <w:lang w:val="en-US" w:eastAsia="zh-CN"/>
              </w:rPr>
              <w:t>1座</w:t>
            </w:r>
            <w:r>
              <w:rPr>
                <w:rFonts w:hint="default" w:ascii="Times New Roman" w:hAnsi="Times New Roman" w:cs="Times New Roman"/>
                <w:color w:val="auto"/>
                <w:sz w:val="21"/>
                <w:szCs w:val="21"/>
                <w:highlight w:val="none"/>
              </w:rPr>
              <w:t>临时沉淀池，</w:t>
            </w:r>
            <w:r>
              <w:rPr>
                <w:rFonts w:hint="eastAsia" w:cs="Times New Roman"/>
                <w:color w:val="auto"/>
                <w:sz w:val="21"/>
                <w:szCs w:val="21"/>
                <w:highlight w:val="none"/>
                <w:lang w:eastAsia="zh-CN"/>
              </w:rPr>
              <w:t>沉淀</w:t>
            </w:r>
            <w:r>
              <w:rPr>
                <w:rFonts w:hint="default" w:ascii="Times New Roman" w:hAnsi="Times New Roman" w:cs="Times New Roman"/>
                <w:color w:val="auto"/>
                <w:sz w:val="21"/>
                <w:szCs w:val="21"/>
                <w:highlight w:val="none"/>
              </w:rPr>
              <w:t>后</w:t>
            </w:r>
            <w:r>
              <w:rPr>
                <w:rFonts w:hint="eastAsia" w:cs="Times New Roman"/>
                <w:color w:val="auto"/>
                <w:sz w:val="21"/>
                <w:szCs w:val="21"/>
                <w:highlight w:val="none"/>
                <w:lang w:eastAsia="zh-CN"/>
              </w:rPr>
              <w:t>用于场地洒水抑尘或回用于混凝土养护</w:t>
            </w:r>
            <w:r>
              <w:rPr>
                <w:rFonts w:hint="default" w:ascii="Times New Roman" w:hAnsi="Times New Roman" w:cs="Times New Roman"/>
                <w:color w:val="auto"/>
                <w:sz w:val="21"/>
                <w:szCs w:val="21"/>
                <w:highlight w:val="none"/>
              </w:rPr>
              <w:t>；施工期</w:t>
            </w:r>
            <w:bookmarkEnd w:id="2994"/>
            <w:bookmarkEnd w:id="2995"/>
            <w:r>
              <w:rPr>
                <w:rFonts w:hint="eastAsia" w:cs="Times New Roman"/>
                <w:color w:val="auto"/>
                <w:sz w:val="21"/>
                <w:szCs w:val="21"/>
                <w:highlight w:val="none"/>
                <w:lang w:eastAsia="zh-CN"/>
              </w:rPr>
              <w:t>施工人员生活污水依托附近民房旱厕，定期清掏，不外排。</w:t>
            </w:r>
            <w:bookmarkEnd w:id="2996"/>
            <w:bookmarkEnd w:id="2997"/>
            <w:bookmarkEnd w:id="2998"/>
          </w:p>
        </w:tc>
      </w:tr>
      <w:tr w14:paraId="495175F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35" w:type="dxa"/>
          <w:trHeight w:val="507" w:hRule="atLeast"/>
          <w:jc w:val="center"/>
        </w:trPr>
        <w:tc>
          <w:tcPr>
            <w:tcW w:w="776" w:type="dxa"/>
            <w:vMerge w:val="continue"/>
            <w:vAlign w:val="center"/>
          </w:tcPr>
          <w:p w14:paraId="320986B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6B598AF9">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54D9CA5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2999" w:name="_Toc28910"/>
            <w:bookmarkStart w:id="3000" w:name="_Toc16017"/>
            <w:bookmarkStart w:id="3001" w:name="_Toc30678"/>
            <w:bookmarkStart w:id="3002" w:name="_Toc31413"/>
            <w:bookmarkStart w:id="3003" w:name="_Toc29729"/>
            <w:r>
              <w:rPr>
                <w:rFonts w:hint="default" w:ascii="Times New Roman" w:hAnsi="Times New Roman" w:cs="Times New Roman"/>
                <w:color w:val="auto"/>
                <w:sz w:val="21"/>
                <w:szCs w:val="21"/>
                <w:highlight w:val="none"/>
              </w:rPr>
              <w:t>噪声</w:t>
            </w:r>
            <w:bookmarkEnd w:id="2999"/>
            <w:bookmarkEnd w:id="3000"/>
            <w:bookmarkEnd w:id="3001"/>
            <w:bookmarkEnd w:id="3002"/>
            <w:bookmarkEnd w:id="3003"/>
          </w:p>
        </w:tc>
        <w:tc>
          <w:tcPr>
            <w:tcW w:w="5395" w:type="dxa"/>
            <w:tcMar>
              <w:top w:w="0" w:type="dxa"/>
              <w:left w:w="28" w:type="dxa"/>
              <w:bottom w:w="0" w:type="dxa"/>
              <w:right w:w="28" w:type="dxa"/>
            </w:tcMar>
            <w:vAlign w:val="center"/>
          </w:tcPr>
          <w:p w14:paraId="61996D2F">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3004" w:name="_Toc29303"/>
            <w:bookmarkStart w:id="3005" w:name="_Toc9531"/>
            <w:bookmarkStart w:id="3006" w:name="_Toc11281"/>
            <w:bookmarkStart w:id="3007" w:name="_Toc13153"/>
            <w:bookmarkStart w:id="3008" w:name="_Toc5645"/>
            <w:r>
              <w:rPr>
                <w:rFonts w:hint="default" w:ascii="Times New Roman" w:hAnsi="Times New Roman" w:cs="Times New Roman"/>
                <w:color w:val="auto"/>
                <w:sz w:val="21"/>
                <w:szCs w:val="21"/>
                <w:highlight w:val="none"/>
              </w:rPr>
              <w:t>在靠近居民区附近施工场地设置施工围挡，选用符合国家相关标准的低噪声施工机械设备，并加强对机械设备的检查、维护和保养，从源强和运行上降低噪声影响。避免在同一施工地点放置较多的动力设备，以避免局部声级过高。施工交通穿过噪声敏感区域路段，行车速度控制在25km/h以内，并限速标志和禁止鸣笛。</w:t>
            </w:r>
            <w:bookmarkEnd w:id="3004"/>
            <w:bookmarkEnd w:id="3005"/>
            <w:bookmarkEnd w:id="3006"/>
            <w:bookmarkEnd w:id="3007"/>
            <w:bookmarkEnd w:id="3008"/>
          </w:p>
        </w:tc>
      </w:tr>
      <w:tr w14:paraId="6A6CAC4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35" w:type="dxa"/>
          <w:trHeight w:val="260" w:hRule="atLeast"/>
          <w:jc w:val="center"/>
        </w:trPr>
        <w:tc>
          <w:tcPr>
            <w:tcW w:w="776" w:type="dxa"/>
            <w:vMerge w:val="continue"/>
            <w:vAlign w:val="center"/>
          </w:tcPr>
          <w:p w14:paraId="3D2A2AB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237D357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159E372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009" w:name="_Toc8178"/>
            <w:bookmarkStart w:id="3010" w:name="_Toc29235"/>
            <w:bookmarkStart w:id="3011" w:name="_Toc20722"/>
            <w:bookmarkStart w:id="3012" w:name="_Toc2362"/>
            <w:bookmarkStart w:id="3013" w:name="_Toc28137"/>
            <w:r>
              <w:rPr>
                <w:rFonts w:hint="default" w:ascii="Times New Roman" w:hAnsi="Times New Roman" w:cs="Times New Roman"/>
                <w:color w:val="auto"/>
                <w:sz w:val="21"/>
                <w:szCs w:val="21"/>
                <w:highlight w:val="none"/>
              </w:rPr>
              <w:t>固体</w:t>
            </w:r>
            <w:bookmarkEnd w:id="3009"/>
            <w:bookmarkEnd w:id="3010"/>
            <w:bookmarkEnd w:id="3011"/>
            <w:bookmarkEnd w:id="3012"/>
            <w:bookmarkEnd w:id="3013"/>
          </w:p>
          <w:p w14:paraId="6D1A2FE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014" w:name="_Toc22230"/>
            <w:bookmarkStart w:id="3015" w:name="_Toc30215"/>
            <w:bookmarkStart w:id="3016" w:name="_Toc7909"/>
            <w:bookmarkStart w:id="3017" w:name="_Toc18951"/>
            <w:bookmarkStart w:id="3018" w:name="_Toc31086"/>
            <w:r>
              <w:rPr>
                <w:rFonts w:hint="default" w:ascii="Times New Roman" w:hAnsi="Times New Roman" w:cs="Times New Roman"/>
                <w:color w:val="auto"/>
                <w:sz w:val="21"/>
                <w:szCs w:val="21"/>
                <w:highlight w:val="none"/>
              </w:rPr>
              <w:t>废物</w:t>
            </w:r>
            <w:bookmarkEnd w:id="3014"/>
            <w:bookmarkEnd w:id="3015"/>
            <w:bookmarkEnd w:id="3016"/>
            <w:bookmarkEnd w:id="3017"/>
            <w:bookmarkEnd w:id="3018"/>
          </w:p>
        </w:tc>
        <w:tc>
          <w:tcPr>
            <w:tcW w:w="5395" w:type="dxa"/>
            <w:tcMar>
              <w:top w:w="0" w:type="dxa"/>
              <w:left w:w="28" w:type="dxa"/>
              <w:bottom w:w="0" w:type="dxa"/>
              <w:right w:w="28" w:type="dxa"/>
            </w:tcMar>
            <w:vAlign w:val="center"/>
          </w:tcPr>
          <w:p w14:paraId="2143F11A">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3019" w:name="_Toc12878"/>
            <w:bookmarkStart w:id="3020" w:name="_Toc20138"/>
            <w:bookmarkStart w:id="3021" w:name="_Toc11425"/>
            <w:bookmarkStart w:id="3022" w:name="_Toc22222"/>
            <w:bookmarkStart w:id="3023" w:name="_Toc29767"/>
            <w:r>
              <w:rPr>
                <w:rFonts w:hint="default" w:ascii="Times New Roman" w:hAnsi="Times New Roman" w:cs="Times New Roman"/>
                <w:color w:val="auto"/>
                <w:sz w:val="21"/>
                <w:szCs w:val="21"/>
                <w:highlight w:val="none"/>
              </w:rPr>
              <w:t>建筑垃圾集中收集后交由当地建筑垃圾消纳场处置，生活垃圾依托租用民房垃圾桶集中收集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及时清运至就近生活垃圾中转站。</w:t>
            </w:r>
            <w:r>
              <w:rPr>
                <w:rFonts w:hint="eastAsia" w:cs="Times New Roman"/>
                <w:color w:val="auto"/>
                <w:sz w:val="21"/>
                <w:szCs w:val="21"/>
                <w:highlight w:val="none"/>
                <w:lang w:eastAsia="zh-CN"/>
              </w:rPr>
              <w:t>工程清淤淤泥晒干后依次堆填至项目</w:t>
            </w:r>
            <w:r>
              <w:rPr>
                <w:rFonts w:hint="eastAsia" w:cs="Times New Roman"/>
                <w:color w:val="auto"/>
                <w:sz w:val="21"/>
                <w:szCs w:val="21"/>
                <w:highlight w:val="none"/>
                <w:lang w:val="en-US" w:eastAsia="zh-CN"/>
              </w:rPr>
              <w:t>7处堆场。</w:t>
            </w:r>
            <w:r>
              <w:rPr>
                <w:rFonts w:hint="default" w:ascii="Times New Roman" w:hAnsi="Times New Roman" w:cs="Times New Roman"/>
                <w:color w:val="auto"/>
                <w:sz w:val="21"/>
                <w:szCs w:val="21"/>
                <w:highlight w:val="none"/>
              </w:rPr>
              <w:t>项目施工期产生的固体废物贮存及处置参照《中华人民共和国固体废物污染环境防治法》（2020年9月1日），临时贮存严格按照</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防风、防雨、防漏、防渗</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等相关要求执行，编制处置方案，并报县级以上主管部门备案。</w:t>
            </w:r>
            <w:bookmarkEnd w:id="3019"/>
            <w:bookmarkEnd w:id="3020"/>
            <w:bookmarkEnd w:id="3021"/>
            <w:bookmarkEnd w:id="3022"/>
            <w:bookmarkEnd w:id="3023"/>
          </w:p>
        </w:tc>
      </w:tr>
      <w:tr w14:paraId="66CCA65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35" w:type="dxa"/>
          <w:trHeight w:val="340" w:hRule="atLeast"/>
          <w:jc w:val="center"/>
        </w:trPr>
        <w:tc>
          <w:tcPr>
            <w:tcW w:w="776" w:type="dxa"/>
            <w:vMerge w:val="continue"/>
            <w:vAlign w:val="center"/>
          </w:tcPr>
          <w:p w14:paraId="39842C5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vMerge w:val="continue"/>
            <w:tcMar>
              <w:top w:w="0" w:type="dxa"/>
              <w:left w:w="28" w:type="dxa"/>
              <w:bottom w:w="0" w:type="dxa"/>
              <w:right w:w="28" w:type="dxa"/>
            </w:tcMar>
            <w:vAlign w:val="center"/>
          </w:tcPr>
          <w:p w14:paraId="78B269E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162" w:type="dxa"/>
            <w:tcMar>
              <w:top w:w="0" w:type="dxa"/>
              <w:left w:w="28" w:type="dxa"/>
              <w:bottom w:w="0" w:type="dxa"/>
              <w:right w:w="28" w:type="dxa"/>
            </w:tcMar>
            <w:vAlign w:val="center"/>
          </w:tcPr>
          <w:p w14:paraId="4BCC60D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024" w:name="_Toc15357"/>
            <w:bookmarkStart w:id="3025" w:name="_Toc26527"/>
            <w:bookmarkStart w:id="3026" w:name="_Toc16897"/>
            <w:bookmarkStart w:id="3027" w:name="_Toc5126"/>
            <w:bookmarkStart w:id="3028" w:name="_Toc32182"/>
            <w:r>
              <w:rPr>
                <w:rFonts w:hint="default" w:ascii="Times New Roman" w:hAnsi="Times New Roman" w:cs="Times New Roman"/>
                <w:color w:val="auto"/>
                <w:sz w:val="21"/>
                <w:szCs w:val="21"/>
                <w:highlight w:val="none"/>
              </w:rPr>
              <w:t>生态</w:t>
            </w:r>
            <w:bookmarkEnd w:id="3024"/>
            <w:bookmarkEnd w:id="3025"/>
            <w:bookmarkEnd w:id="3026"/>
            <w:bookmarkEnd w:id="3027"/>
            <w:bookmarkEnd w:id="3028"/>
          </w:p>
        </w:tc>
        <w:tc>
          <w:tcPr>
            <w:tcW w:w="5395" w:type="dxa"/>
            <w:tcMar>
              <w:top w:w="0" w:type="dxa"/>
              <w:left w:w="28" w:type="dxa"/>
              <w:bottom w:w="0" w:type="dxa"/>
              <w:right w:w="28" w:type="dxa"/>
            </w:tcMar>
            <w:vAlign w:val="center"/>
          </w:tcPr>
          <w:p w14:paraId="5E441F38">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rPr>
            </w:pPr>
            <w:bookmarkStart w:id="3029" w:name="_Toc22783"/>
            <w:bookmarkStart w:id="3030" w:name="_Toc8632"/>
            <w:bookmarkStart w:id="3031" w:name="_Toc12656"/>
            <w:bookmarkStart w:id="3032" w:name="_Toc10525"/>
            <w:bookmarkStart w:id="3033" w:name="_Toc15613"/>
            <w:r>
              <w:rPr>
                <w:rFonts w:hint="default" w:ascii="Times New Roman" w:hAnsi="Times New Roman" w:cs="Times New Roman"/>
                <w:color w:val="auto"/>
                <w:sz w:val="21"/>
                <w:szCs w:val="21"/>
                <w:highlight w:val="none"/>
              </w:rPr>
              <w:t>工程土方开挖、临时占地等会造成表土剥离、地表植被破坏、水土流失等，并影响项目</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区动物栖息；施工结束后，及时进行场地清理、平整，对土地复垦，</w:t>
            </w:r>
            <w:r>
              <w:rPr>
                <w:rFonts w:hint="eastAsia" w:cs="Times New Roman"/>
                <w:color w:val="auto"/>
                <w:sz w:val="21"/>
                <w:szCs w:val="21"/>
                <w:highlight w:val="none"/>
                <w:lang w:eastAsia="zh-CN"/>
              </w:rPr>
              <w:t>对</w:t>
            </w:r>
            <w:r>
              <w:rPr>
                <w:rFonts w:hint="eastAsia" w:cs="Times New Roman"/>
                <w:color w:val="auto"/>
                <w:sz w:val="21"/>
                <w:szCs w:val="21"/>
                <w:highlight w:val="none"/>
                <w:lang w:val="en-US" w:eastAsia="zh-CN"/>
              </w:rPr>
              <w:t>7处堆场进行生态修复。</w:t>
            </w:r>
            <w:r>
              <w:rPr>
                <w:rFonts w:hint="default" w:ascii="Times New Roman" w:hAnsi="Times New Roman" w:cs="Times New Roman"/>
                <w:color w:val="auto"/>
                <w:sz w:val="21"/>
                <w:szCs w:val="21"/>
                <w:highlight w:val="none"/>
              </w:rPr>
              <w:t>此外，随着植被的逐渐恢复和环境的改善，部分迁走的动物将逐渐返回，到时对项目区陆生动植物的影响将减少。</w:t>
            </w:r>
            <w:bookmarkEnd w:id="3029"/>
            <w:bookmarkEnd w:id="3030"/>
            <w:bookmarkEnd w:id="3031"/>
            <w:bookmarkEnd w:id="3032"/>
            <w:bookmarkEnd w:id="3033"/>
          </w:p>
        </w:tc>
      </w:tr>
      <w:tr w14:paraId="76B3EFC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gridAfter w:val="1"/>
          <w:wAfter w:w="35" w:type="dxa"/>
          <w:trHeight w:val="340" w:hRule="atLeast"/>
          <w:jc w:val="center"/>
        </w:trPr>
        <w:tc>
          <w:tcPr>
            <w:tcW w:w="776" w:type="dxa"/>
            <w:vMerge w:val="continue"/>
            <w:vAlign w:val="center"/>
          </w:tcPr>
          <w:p w14:paraId="6672015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3" w:type="dxa"/>
            <w:tcMar>
              <w:top w:w="0" w:type="dxa"/>
              <w:left w:w="28" w:type="dxa"/>
              <w:bottom w:w="0" w:type="dxa"/>
              <w:right w:w="28" w:type="dxa"/>
            </w:tcMar>
            <w:vAlign w:val="center"/>
          </w:tcPr>
          <w:p w14:paraId="32F7C05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3034" w:name="_Toc25164"/>
            <w:bookmarkStart w:id="3035" w:name="_Toc17896"/>
            <w:bookmarkStart w:id="3036" w:name="_Toc26886"/>
            <w:bookmarkStart w:id="3037" w:name="_Toc3075"/>
            <w:bookmarkStart w:id="3038" w:name="_Toc26789"/>
            <w:r>
              <w:rPr>
                <w:rFonts w:hint="default" w:ascii="Times New Roman" w:hAnsi="Times New Roman" w:cs="Times New Roman"/>
                <w:color w:val="auto"/>
                <w:sz w:val="21"/>
                <w:szCs w:val="21"/>
                <w:highlight w:val="none"/>
              </w:rPr>
              <w:t>营运期</w:t>
            </w:r>
            <w:bookmarkEnd w:id="3034"/>
            <w:bookmarkEnd w:id="3035"/>
            <w:bookmarkEnd w:id="3036"/>
            <w:bookmarkEnd w:id="3037"/>
            <w:bookmarkEnd w:id="3038"/>
          </w:p>
        </w:tc>
        <w:tc>
          <w:tcPr>
            <w:tcW w:w="1162" w:type="dxa"/>
            <w:shd w:val="clear" w:color="auto" w:fill="auto"/>
            <w:tcMar>
              <w:top w:w="0" w:type="dxa"/>
              <w:left w:w="28" w:type="dxa"/>
              <w:bottom w:w="0" w:type="dxa"/>
              <w:right w:w="28" w:type="dxa"/>
            </w:tcMar>
            <w:vAlign w:val="center"/>
          </w:tcPr>
          <w:p w14:paraId="1F60F18D">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b w:val="0"/>
                <w:color w:val="auto"/>
                <w:kern w:val="0"/>
                <w:sz w:val="21"/>
                <w:szCs w:val="21"/>
                <w:highlight w:val="none"/>
                <w:lang w:val="en-US" w:eastAsia="zh-CN" w:bidi="ar-SA"/>
              </w:rPr>
            </w:pPr>
            <w:bookmarkStart w:id="3039" w:name="_Toc20269"/>
            <w:bookmarkStart w:id="3040" w:name="_Toc4891"/>
            <w:bookmarkStart w:id="3041" w:name="_Toc4388"/>
            <w:r>
              <w:rPr>
                <w:rFonts w:hint="default" w:ascii="Times New Roman" w:hAnsi="Times New Roman" w:cs="Times New Roman"/>
                <w:color w:val="auto"/>
                <w:sz w:val="21"/>
                <w:szCs w:val="21"/>
                <w:highlight w:val="none"/>
              </w:rPr>
              <w:t>生态</w:t>
            </w:r>
            <w:bookmarkEnd w:id="3039"/>
            <w:bookmarkEnd w:id="3040"/>
            <w:bookmarkEnd w:id="3041"/>
          </w:p>
        </w:tc>
        <w:tc>
          <w:tcPr>
            <w:tcW w:w="5395" w:type="dxa"/>
            <w:shd w:val="clear" w:color="auto" w:fill="auto"/>
            <w:tcMar>
              <w:top w:w="0" w:type="dxa"/>
              <w:left w:w="28" w:type="dxa"/>
              <w:bottom w:w="0" w:type="dxa"/>
              <w:right w:w="28" w:type="dxa"/>
            </w:tcMar>
            <w:vAlign w:val="center"/>
          </w:tcPr>
          <w:p w14:paraId="017B614D">
            <w:pPr>
              <w:pStyle w:val="29"/>
              <w:suppressLineNumbers w:val="0"/>
              <w:bidi w:val="0"/>
              <w:spacing w:beforeAutospacing="0" w:afterAutospacing="0"/>
              <w:ind w:left="0" w:leftChars="0" w:right="0" w:rightChars="0" w:firstLine="0" w:firstLineChars="0"/>
              <w:jc w:val="both"/>
              <w:rPr>
                <w:rFonts w:hint="eastAsia" w:ascii="Times New Roman" w:hAnsi="Times New Roman" w:eastAsia="宋体" w:cs="Times New Roman"/>
                <w:b w:val="0"/>
                <w:color w:val="auto"/>
                <w:kern w:val="0"/>
                <w:sz w:val="21"/>
                <w:szCs w:val="21"/>
                <w:highlight w:val="none"/>
                <w:lang w:val="en-US" w:eastAsia="zh-CN" w:bidi="ar-SA"/>
              </w:rPr>
            </w:pPr>
            <w:bookmarkStart w:id="3042" w:name="_Toc2812"/>
            <w:bookmarkStart w:id="3043" w:name="_Toc15528"/>
            <w:bookmarkStart w:id="3044" w:name="_Toc29846"/>
            <w:r>
              <w:rPr>
                <w:rFonts w:hint="eastAsia" w:cs="Times New Roman"/>
                <w:color w:val="auto"/>
                <w:sz w:val="21"/>
                <w:szCs w:val="21"/>
                <w:highlight w:val="none"/>
                <w:lang w:eastAsia="zh-CN"/>
              </w:rPr>
              <w:t>对一期工程巡检道路两侧种植生态林</w:t>
            </w:r>
            <w:r>
              <w:rPr>
                <w:rFonts w:hint="default" w:ascii="Times New Roman" w:hAnsi="Times New Roman" w:eastAsia="宋体" w:cs="Times New Roman"/>
                <w:color w:val="auto"/>
                <w:kern w:val="0"/>
                <w:sz w:val="21"/>
                <w:szCs w:val="21"/>
                <w:highlight w:val="none"/>
                <w:lang w:val="en-US" w:eastAsia="zh-CN" w:bidi="ar"/>
              </w:rPr>
              <w:t>2.21hm²</w:t>
            </w:r>
            <w:bookmarkEnd w:id="3042"/>
            <w:bookmarkEnd w:id="3043"/>
            <w:bookmarkEnd w:id="3044"/>
          </w:p>
        </w:tc>
      </w:tr>
    </w:tbl>
    <w:p w14:paraId="2216D3EC">
      <w:pPr>
        <w:pStyle w:val="4"/>
        <w:jc w:val="both"/>
        <w:rPr>
          <w:rFonts w:hint="default" w:ascii="Times New Roman" w:hAnsi="Times New Roman" w:cs="Times New Roman"/>
          <w:color w:val="auto"/>
          <w:sz w:val="28"/>
          <w:szCs w:val="28"/>
          <w:highlight w:val="none"/>
        </w:rPr>
      </w:pPr>
      <w:bookmarkStart w:id="3045" w:name="_Toc24330"/>
      <w:bookmarkStart w:id="3046" w:name="_Toc16255"/>
      <w:bookmarkStart w:id="3047" w:name="_Toc10019"/>
      <w:bookmarkStart w:id="3048" w:name="_Toc22911"/>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5</w:t>
      </w:r>
      <w:r>
        <w:rPr>
          <w:rFonts w:hint="default" w:ascii="Times New Roman" w:hAnsi="Times New Roman" w:cs="Times New Roman"/>
          <w:color w:val="auto"/>
          <w:sz w:val="28"/>
          <w:szCs w:val="28"/>
          <w:highlight w:val="none"/>
        </w:rPr>
        <w:t>工程布局</w:t>
      </w:r>
      <w:bookmarkEnd w:id="3045"/>
      <w:bookmarkEnd w:id="3046"/>
      <w:bookmarkEnd w:id="3047"/>
      <w:bookmarkEnd w:id="3048"/>
    </w:p>
    <w:p w14:paraId="476FA300">
      <w:pPr>
        <w:pStyle w:val="6"/>
        <w:pageBreakBefore w:val="0"/>
        <w:widowControl w:val="0"/>
        <w:kinsoku/>
        <w:wordWrap/>
        <w:overflowPunct/>
        <w:topLinePunct w:val="0"/>
        <w:autoSpaceDE/>
        <w:autoSpaceDN/>
        <w:bidi w:val="0"/>
        <w:adjustRightInd/>
        <w:snapToGrid/>
        <w:spacing w:before="0" w:after="0"/>
        <w:jc w:val="both"/>
        <w:textAlignment w:val="auto"/>
        <w:rPr>
          <w:rFonts w:hint="default" w:ascii="Times New Roman" w:hAnsi="Times New Roman" w:cs="Times New Roman"/>
          <w:color w:val="auto"/>
          <w:sz w:val="28"/>
          <w:szCs w:val="28"/>
          <w:highlight w:val="none"/>
        </w:rPr>
      </w:pPr>
      <w:bookmarkStart w:id="3049" w:name="_Toc13543"/>
      <w:bookmarkStart w:id="3050" w:name="_Toc16883"/>
      <w:bookmarkStart w:id="3051" w:name="_Toc4387"/>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5</w:t>
      </w:r>
      <w:r>
        <w:rPr>
          <w:rFonts w:hint="default" w:ascii="Times New Roman" w:hAnsi="Times New Roman" w:cs="Times New Roman"/>
          <w:color w:val="auto"/>
          <w:sz w:val="28"/>
          <w:szCs w:val="28"/>
          <w:highlight w:val="none"/>
        </w:rPr>
        <w:t>.1工程总体布局</w:t>
      </w:r>
      <w:bookmarkEnd w:id="3049"/>
      <w:bookmarkEnd w:id="3050"/>
      <w:bookmarkEnd w:id="3051"/>
    </w:p>
    <w:p w14:paraId="2FC22A00">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本次工程包括川口河段及小河段2部分。</w:t>
      </w:r>
    </w:p>
    <w:p w14:paraId="4BF0C750">
      <w:pPr>
        <w:spacing w:line="360" w:lineRule="auto"/>
        <w:ind w:firstLine="482" w:firstLineChars="200"/>
        <w:rPr>
          <w:rFonts w:hint="default" w:ascii="Times New Roman" w:hAnsi="Times New Roman" w:cs="Times New Roman"/>
          <w:color w:val="auto"/>
          <w:sz w:val="24"/>
          <w:highlight w:val="none"/>
        </w:rPr>
      </w:pPr>
      <w:r>
        <w:rPr>
          <w:rFonts w:hint="eastAsia" w:cs="Times New Roman"/>
          <w:b/>
          <w:bCs/>
          <w:color w:val="auto"/>
          <w:sz w:val="24"/>
          <w:highlight w:val="none"/>
          <w:lang w:val="en-US" w:eastAsia="zh-CN"/>
        </w:rPr>
        <w:t>1.</w:t>
      </w:r>
      <w:r>
        <w:rPr>
          <w:rFonts w:hint="default" w:ascii="Times New Roman" w:hAnsi="Times New Roman" w:cs="Times New Roman"/>
          <w:b/>
          <w:bCs/>
          <w:color w:val="auto"/>
          <w:sz w:val="24"/>
          <w:highlight w:val="none"/>
        </w:rPr>
        <w:t>川口河河道段</w:t>
      </w:r>
    </w:p>
    <w:p w14:paraId="52D32EA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（1）护岸工程：本次川口河段砌护长11.76km，涉及4种砌护形式，为浆砌石直墙砌护、坡式纯生态砌护、坡式格宾+纯生态砌护、坡式格宾+蜂巢式网格植草生态砖砌护。</w:t>
      </w:r>
    </w:p>
    <w:p w14:paraId="7079386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浆砌石直墙砌护：砌护总长443.0m，其中浆砌石直墙砌护136m（位于左岸），格宾直墙砌护307m（位于右岸）</w:t>
      </w:r>
      <w:r>
        <w:rPr>
          <w:rFonts w:hint="default" w:ascii="Times New Roman" w:hAnsi="Times New Roman" w:cs="Times New Roman"/>
          <w:color w:val="auto"/>
          <w:sz w:val="24"/>
          <w:highlight w:val="none"/>
          <w:lang w:eastAsia="zh-CN"/>
        </w:rPr>
        <w:t>。</w:t>
      </w:r>
    </w:p>
    <w:p w14:paraId="12D1360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坡式纯生态砌护：砌护长5811m，其中左岸2570m，右岸3241m。</w:t>
      </w:r>
    </w:p>
    <w:p w14:paraId="66C47D6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坡式格宾+纯生态砌护：砌护长4016m，其中左岸1492m，右岸2524m。</w:t>
      </w:r>
    </w:p>
    <w:p w14:paraId="45614FD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坡式格宾+蜂巢式网格植草生态砖砌护：砌护长1490m，其中左岸574m，右岸916m。</w:t>
      </w:r>
    </w:p>
    <w:p w14:paraId="24C0B07E">
      <w:pPr>
        <w:pStyle w:val="30"/>
        <w:spacing w:after="0"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（2）巡检道路工程：</w:t>
      </w:r>
      <w:r>
        <w:rPr>
          <w:rFonts w:hint="default" w:ascii="Times New Roman" w:hAnsi="Times New Roman" w:cs="Times New Roman"/>
          <w:color w:val="auto"/>
          <w:sz w:val="24"/>
          <w:highlight w:val="none"/>
          <w:lang w:val="zh-CN"/>
        </w:rPr>
        <w:t>原有乡村道路部分位于河道边，可作为巡检道路，但还有部分河段车辆无法通行，鉴于此，</w:t>
      </w:r>
      <w:r>
        <w:rPr>
          <w:rFonts w:hint="default" w:ascii="Times New Roman" w:hAnsi="Times New Roman" w:cs="Times New Roman"/>
          <w:color w:val="auto"/>
          <w:sz w:val="24"/>
          <w:highlight w:val="none"/>
        </w:rPr>
        <w:t>新建川口河巡检道路总长7.8km，</w:t>
      </w:r>
      <w:r>
        <w:rPr>
          <w:rFonts w:hint="default" w:ascii="Times New Roman" w:hAnsi="Times New Roman" w:cs="Times New Roman"/>
          <w:color w:val="auto"/>
          <w:sz w:val="24"/>
          <w:highlight w:val="none"/>
          <w:lang w:val="zh-CN"/>
        </w:rPr>
        <w:t>连通原有乡村道路，便于巡检河道。本次</w:t>
      </w:r>
      <w:r>
        <w:rPr>
          <w:rFonts w:hint="default" w:ascii="Times New Roman" w:hAnsi="Times New Roman" w:cs="Times New Roman"/>
          <w:color w:val="auto"/>
          <w:sz w:val="24"/>
          <w:highlight w:val="none"/>
        </w:rPr>
        <w:t>巡检</w:t>
      </w:r>
      <w:r>
        <w:rPr>
          <w:rFonts w:hint="default" w:ascii="Times New Roman" w:hAnsi="Times New Roman" w:cs="Times New Roman"/>
          <w:color w:val="auto"/>
          <w:sz w:val="24"/>
          <w:highlight w:val="none"/>
          <w:lang w:val="zh-CN"/>
        </w:rPr>
        <w:t>道路</w:t>
      </w:r>
      <w:r>
        <w:rPr>
          <w:rFonts w:hint="default" w:ascii="Times New Roman" w:hAnsi="Times New Roman" w:cs="Times New Roman"/>
          <w:color w:val="auto"/>
          <w:sz w:val="24"/>
          <w:highlight w:val="none"/>
        </w:rPr>
        <w:t>路面宽5.0m（包括两侧路肩，各0.5m），砂砾石路面，铺设砂砾石厚0.15m。</w:t>
      </w:r>
    </w:p>
    <w:p w14:paraId="3672F048">
      <w:pPr>
        <w:spacing w:line="360" w:lineRule="auto"/>
        <w:ind w:firstLine="482"/>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（3）附属建筑物工程：本次工程翻建过水路面3座</w:t>
      </w:r>
      <w:r>
        <w:rPr>
          <w:rFonts w:hint="default" w:ascii="Times New Roman" w:hAnsi="Times New Roman" w:cs="Times New Roman"/>
          <w:bCs/>
          <w:color w:val="auto"/>
          <w:sz w:val="24"/>
          <w:highlight w:val="none"/>
        </w:rPr>
        <w:t>，同时于河道沿线</w:t>
      </w:r>
      <w:r>
        <w:rPr>
          <w:rFonts w:hint="default" w:ascii="Times New Roman" w:hAnsi="Times New Roman" w:cs="Times New Roman"/>
          <w:color w:val="auto"/>
          <w:sz w:val="24"/>
          <w:highlight w:val="none"/>
        </w:rPr>
        <w:t>新建警示牌50座。</w:t>
      </w:r>
    </w:p>
    <w:p w14:paraId="472934CF">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（4）河道疏浚工程：</w:t>
      </w:r>
      <w:r>
        <w:rPr>
          <w:rFonts w:hint="default" w:ascii="Times New Roman" w:hAnsi="Times New Roman" w:cs="Times New Roman"/>
          <w:bCs/>
          <w:color w:val="auto"/>
          <w:sz w:val="24"/>
          <w:highlight w:val="none"/>
        </w:rPr>
        <w:t>疏浚河道9.43km（K7+650-K13+350、K14+500-K18+225）。疏浚平均河宽14m</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54m，开挖土方量13.14万m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，回填土方量8.87万m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w:t>
      </w:r>
    </w:p>
    <w:p w14:paraId="02941BCD">
      <w:pPr>
        <w:jc w:val="both"/>
        <w:rPr>
          <w:rFonts w:hint="default" w:ascii="Times New Roman" w:hAnsi="Times New Roman" w:cs="Times New Roman"/>
          <w:color w:val="auto"/>
          <w:sz w:val="24"/>
          <w:szCs w:val="24"/>
          <w:highlight w:val="none"/>
        </w:rPr>
        <w:sectPr>
          <w:head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B537CAD">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 xml:space="preserve">   川口河段河道砌护统计表</w:t>
      </w:r>
    </w:p>
    <w:tbl>
      <w:tblPr>
        <w:tblStyle w:val="31"/>
        <w:tblW w:w="1379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45"/>
        <w:gridCol w:w="787"/>
        <w:gridCol w:w="1150"/>
        <w:gridCol w:w="1363"/>
        <w:gridCol w:w="1350"/>
        <w:gridCol w:w="825"/>
        <w:gridCol w:w="737"/>
        <w:gridCol w:w="1913"/>
        <w:gridCol w:w="3427"/>
      </w:tblGrid>
      <w:tr w14:paraId="011D5D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2245" w:type="dxa"/>
            <w:vMerge w:val="restart"/>
            <w:noWrap/>
            <w:vAlign w:val="center"/>
          </w:tcPr>
          <w:p w14:paraId="1D3DE5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治理区间</w:t>
            </w:r>
          </w:p>
        </w:tc>
        <w:tc>
          <w:tcPr>
            <w:tcW w:w="787" w:type="dxa"/>
            <w:vMerge w:val="restart"/>
            <w:noWrap w:val="0"/>
            <w:vAlign w:val="center"/>
          </w:tcPr>
          <w:p w14:paraId="3937EC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序号</w:t>
            </w:r>
          </w:p>
        </w:tc>
        <w:tc>
          <w:tcPr>
            <w:tcW w:w="1150" w:type="dxa"/>
            <w:vMerge w:val="restart"/>
            <w:noWrap w:val="0"/>
            <w:vAlign w:val="center"/>
          </w:tcPr>
          <w:p w14:paraId="38DCE2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kern w:val="0"/>
                <w:sz w:val="18"/>
                <w:szCs w:val="18"/>
                <w:highlight w:val="none"/>
                <w:lang w:bidi="ar"/>
              </w:rPr>
            </w:pPr>
            <w:r>
              <w:rPr>
                <w:rFonts w:hint="default" w:ascii="Times New Roman" w:hAnsi="Times New Roman" w:cs="Times New Roman"/>
                <w:b/>
                <w:bCs/>
                <w:color w:val="auto"/>
                <w:kern w:val="0"/>
                <w:sz w:val="18"/>
                <w:szCs w:val="18"/>
                <w:highlight w:val="none"/>
                <w:lang w:bidi="ar"/>
              </w:rPr>
              <w:t>起点桩号</w:t>
            </w:r>
          </w:p>
          <w:p w14:paraId="76F092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km+m</w:t>
            </w:r>
            <w:r>
              <w:rPr>
                <w:rFonts w:hint="eastAsia" w:cs="Times New Roman"/>
                <w:b/>
                <w:bCs/>
                <w:color w:val="auto"/>
                <w:kern w:val="0"/>
                <w:sz w:val="18"/>
                <w:szCs w:val="18"/>
                <w:highlight w:val="none"/>
                <w:lang w:eastAsia="zh-CN" w:bidi="ar"/>
              </w:rPr>
              <w:t>)</w:t>
            </w:r>
          </w:p>
        </w:tc>
        <w:tc>
          <w:tcPr>
            <w:tcW w:w="1363" w:type="dxa"/>
            <w:vMerge w:val="restart"/>
            <w:noWrap w:val="0"/>
            <w:vAlign w:val="center"/>
          </w:tcPr>
          <w:p w14:paraId="0BE515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kern w:val="0"/>
                <w:sz w:val="18"/>
                <w:szCs w:val="18"/>
                <w:highlight w:val="none"/>
                <w:lang w:bidi="ar"/>
              </w:rPr>
            </w:pPr>
            <w:r>
              <w:rPr>
                <w:rFonts w:hint="default" w:ascii="Times New Roman" w:hAnsi="Times New Roman" w:cs="Times New Roman"/>
                <w:b/>
                <w:bCs/>
                <w:color w:val="auto"/>
                <w:kern w:val="0"/>
                <w:sz w:val="18"/>
                <w:szCs w:val="18"/>
                <w:highlight w:val="none"/>
                <w:lang w:bidi="ar"/>
              </w:rPr>
              <w:t>终点桩号</w:t>
            </w:r>
          </w:p>
          <w:p w14:paraId="6425AC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km+m</w:t>
            </w:r>
            <w:r>
              <w:rPr>
                <w:rFonts w:hint="eastAsia" w:cs="Times New Roman"/>
                <w:b/>
                <w:bCs/>
                <w:color w:val="auto"/>
                <w:kern w:val="0"/>
                <w:sz w:val="18"/>
                <w:szCs w:val="18"/>
                <w:highlight w:val="none"/>
                <w:lang w:eastAsia="zh-CN" w:bidi="ar"/>
              </w:rPr>
              <w:t>)</w:t>
            </w:r>
          </w:p>
        </w:tc>
        <w:tc>
          <w:tcPr>
            <w:tcW w:w="1350" w:type="dxa"/>
            <w:vMerge w:val="restart"/>
            <w:noWrap w:val="0"/>
            <w:vAlign w:val="center"/>
          </w:tcPr>
          <w:p w14:paraId="4F38C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河道中心长度（m）</w:t>
            </w:r>
          </w:p>
        </w:tc>
        <w:tc>
          <w:tcPr>
            <w:tcW w:w="1562" w:type="dxa"/>
            <w:gridSpan w:val="2"/>
            <w:noWrap/>
            <w:vAlign w:val="center"/>
          </w:tcPr>
          <w:p w14:paraId="254485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砌护长度（m</w:t>
            </w:r>
            <w:r>
              <w:rPr>
                <w:rFonts w:hint="eastAsia" w:cs="Times New Roman"/>
                <w:b/>
                <w:bCs/>
                <w:color w:val="auto"/>
                <w:kern w:val="0"/>
                <w:sz w:val="18"/>
                <w:szCs w:val="18"/>
                <w:highlight w:val="none"/>
                <w:lang w:eastAsia="zh-CN" w:bidi="ar"/>
              </w:rPr>
              <w:t>）</w:t>
            </w:r>
          </w:p>
        </w:tc>
        <w:tc>
          <w:tcPr>
            <w:tcW w:w="1913" w:type="dxa"/>
            <w:vMerge w:val="restart"/>
            <w:noWrap w:val="0"/>
            <w:vAlign w:val="center"/>
          </w:tcPr>
          <w:p w14:paraId="113C4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保护对象</w:t>
            </w:r>
          </w:p>
        </w:tc>
        <w:tc>
          <w:tcPr>
            <w:tcW w:w="3427" w:type="dxa"/>
            <w:vMerge w:val="restart"/>
            <w:noWrap w:val="0"/>
            <w:vAlign w:val="center"/>
          </w:tcPr>
          <w:p w14:paraId="5F6BC3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治理措施</w:t>
            </w:r>
          </w:p>
        </w:tc>
      </w:tr>
      <w:tr w14:paraId="473004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2245" w:type="dxa"/>
            <w:vMerge w:val="continue"/>
            <w:noWrap/>
            <w:vAlign w:val="center"/>
          </w:tcPr>
          <w:p w14:paraId="4383B2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vMerge w:val="continue"/>
            <w:noWrap w:val="0"/>
            <w:vAlign w:val="center"/>
          </w:tcPr>
          <w:p w14:paraId="08FC9A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150" w:type="dxa"/>
            <w:vMerge w:val="continue"/>
            <w:noWrap w:val="0"/>
            <w:vAlign w:val="center"/>
          </w:tcPr>
          <w:p w14:paraId="3DB6D1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363" w:type="dxa"/>
            <w:vMerge w:val="continue"/>
            <w:noWrap w:val="0"/>
            <w:vAlign w:val="center"/>
          </w:tcPr>
          <w:p w14:paraId="609CEF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350" w:type="dxa"/>
            <w:vMerge w:val="continue"/>
            <w:noWrap w:val="0"/>
            <w:vAlign w:val="center"/>
          </w:tcPr>
          <w:p w14:paraId="47919C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825" w:type="dxa"/>
            <w:noWrap w:val="0"/>
            <w:vAlign w:val="center"/>
          </w:tcPr>
          <w:p w14:paraId="5C0DDC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左</w:t>
            </w:r>
          </w:p>
        </w:tc>
        <w:tc>
          <w:tcPr>
            <w:tcW w:w="737" w:type="dxa"/>
            <w:noWrap w:val="0"/>
            <w:vAlign w:val="center"/>
          </w:tcPr>
          <w:p w14:paraId="2EAEB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右</w:t>
            </w:r>
          </w:p>
        </w:tc>
        <w:tc>
          <w:tcPr>
            <w:tcW w:w="1913" w:type="dxa"/>
            <w:vMerge w:val="continue"/>
            <w:noWrap w:val="0"/>
            <w:vAlign w:val="center"/>
          </w:tcPr>
          <w:p w14:paraId="01D3AC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vMerge w:val="continue"/>
            <w:noWrap w:val="0"/>
            <w:vAlign w:val="center"/>
          </w:tcPr>
          <w:p w14:paraId="6DCF96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2BE44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restart"/>
            <w:noWrap w:val="0"/>
            <w:vAlign w:val="center"/>
          </w:tcPr>
          <w:p w14:paraId="17AB45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治理起点-1</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（K7+650-K8+177）</w:t>
            </w:r>
          </w:p>
        </w:tc>
        <w:tc>
          <w:tcPr>
            <w:tcW w:w="787" w:type="dxa"/>
            <w:noWrap/>
            <w:vAlign w:val="center"/>
          </w:tcPr>
          <w:p w14:paraId="6246F4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5E5AF7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7+650</w:t>
            </w:r>
          </w:p>
        </w:tc>
        <w:tc>
          <w:tcPr>
            <w:tcW w:w="1363" w:type="dxa"/>
            <w:noWrap/>
            <w:vAlign w:val="center"/>
          </w:tcPr>
          <w:p w14:paraId="700D6D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8+177</w:t>
            </w:r>
          </w:p>
        </w:tc>
        <w:tc>
          <w:tcPr>
            <w:tcW w:w="1350" w:type="dxa"/>
            <w:noWrap w:val="0"/>
            <w:vAlign w:val="center"/>
          </w:tcPr>
          <w:p w14:paraId="53383F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527</w:t>
            </w:r>
          </w:p>
        </w:tc>
        <w:tc>
          <w:tcPr>
            <w:tcW w:w="825" w:type="dxa"/>
            <w:noWrap w:val="0"/>
            <w:vAlign w:val="center"/>
          </w:tcPr>
          <w:p w14:paraId="799593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130D7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516</w:t>
            </w:r>
          </w:p>
        </w:tc>
        <w:tc>
          <w:tcPr>
            <w:tcW w:w="1913" w:type="dxa"/>
            <w:noWrap/>
            <w:vAlign w:val="center"/>
          </w:tcPr>
          <w:p w14:paraId="03058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6BEBA0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20A07A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67CAE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CA0A2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10F335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7+650</w:t>
            </w:r>
          </w:p>
        </w:tc>
        <w:tc>
          <w:tcPr>
            <w:tcW w:w="1363" w:type="dxa"/>
            <w:noWrap/>
            <w:vAlign w:val="center"/>
          </w:tcPr>
          <w:p w14:paraId="42B9A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8+125</w:t>
            </w:r>
          </w:p>
        </w:tc>
        <w:tc>
          <w:tcPr>
            <w:tcW w:w="1350" w:type="dxa"/>
            <w:noWrap w:val="0"/>
            <w:vAlign w:val="center"/>
          </w:tcPr>
          <w:p w14:paraId="5634C2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475</w:t>
            </w:r>
          </w:p>
        </w:tc>
        <w:tc>
          <w:tcPr>
            <w:tcW w:w="825" w:type="dxa"/>
            <w:noWrap w:val="0"/>
            <w:vAlign w:val="center"/>
          </w:tcPr>
          <w:p w14:paraId="6AAFA3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487</w:t>
            </w:r>
          </w:p>
        </w:tc>
        <w:tc>
          <w:tcPr>
            <w:tcW w:w="737" w:type="dxa"/>
            <w:noWrap w:val="0"/>
            <w:vAlign w:val="center"/>
          </w:tcPr>
          <w:p w14:paraId="5FD858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374C11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1FFB81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355364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21734B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62BF25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54E655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487</w:t>
            </w:r>
          </w:p>
        </w:tc>
        <w:tc>
          <w:tcPr>
            <w:tcW w:w="737" w:type="dxa"/>
            <w:noWrap w:val="0"/>
            <w:vAlign w:val="center"/>
          </w:tcPr>
          <w:p w14:paraId="4C38B1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516</w:t>
            </w:r>
          </w:p>
        </w:tc>
        <w:tc>
          <w:tcPr>
            <w:tcW w:w="1913" w:type="dxa"/>
            <w:noWrap w:val="0"/>
            <w:vAlign w:val="center"/>
          </w:tcPr>
          <w:p w14:paraId="452BC2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59D78F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521FEA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restart"/>
            <w:noWrap w:val="0"/>
            <w:vAlign w:val="center"/>
          </w:tcPr>
          <w:p w14:paraId="41FDE6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过水路面-2</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（K8+177-K8+444）</w:t>
            </w:r>
          </w:p>
        </w:tc>
        <w:tc>
          <w:tcPr>
            <w:tcW w:w="787" w:type="dxa"/>
            <w:noWrap/>
            <w:vAlign w:val="center"/>
          </w:tcPr>
          <w:p w14:paraId="1696AC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4BA8C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8+177</w:t>
            </w:r>
          </w:p>
        </w:tc>
        <w:tc>
          <w:tcPr>
            <w:tcW w:w="1363" w:type="dxa"/>
            <w:noWrap/>
            <w:vAlign w:val="center"/>
          </w:tcPr>
          <w:p w14:paraId="739D5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8+444</w:t>
            </w:r>
          </w:p>
        </w:tc>
        <w:tc>
          <w:tcPr>
            <w:tcW w:w="1350" w:type="dxa"/>
            <w:vMerge w:val="restart"/>
            <w:noWrap w:val="0"/>
            <w:vAlign w:val="center"/>
          </w:tcPr>
          <w:p w14:paraId="0A24C1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267</w:t>
            </w:r>
          </w:p>
        </w:tc>
        <w:tc>
          <w:tcPr>
            <w:tcW w:w="825" w:type="dxa"/>
            <w:noWrap w:val="0"/>
            <w:vAlign w:val="center"/>
          </w:tcPr>
          <w:p w14:paraId="3FF629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030D8F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222</w:t>
            </w:r>
          </w:p>
        </w:tc>
        <w:tc>
          <w:tcPr>
            <w:tcW w:w="1913" w:type="dxa"/>
            <w:noWrap/>
            <w:vAlign w:val="center"/>
          </w:tcPr>
          <w:p w14:paraId="17E08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513F99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7FA57A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657D7F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6A98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6269AE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8+177</w:t>
            </w:r>
          </w:p>
        </w:tc>
        <w:tc>
          <w:tcPr>
            <w:tcW w:w="1363" w:type="dxa"/>
            <w:noWrap/>
            <w:vAlign w:val="center"/>
          </w:tcPr>
          <w:p w14:paraId="27CE57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8+310</w:t>
            </w:r>
          </w:p>
        </w:tc>
        <w:tc>
          <w:tcPr>
            <w:tcW w:w="1350" w:type="dxa"/>
            <w:vMerge w:val="continue"/>
            <w:noWrap w:val="0"/>
            <w:vAlign w:val="center"/>
          </w:tcPr>
          <w:p w14:paraId="77746A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825" w:type="dxa"/>
            <w:noWrap w:val="0"/>
            <w:vAlign w:val="center"/>
          </w:tcPr>
          <w:p w14:paraId="79B305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129</w:t>
            </w:r>
          </w:p>
        </w:tc>
        <w:tc>
          <w:tcPr>
            <w:tcW w:w="737" w:type="dxa"/>
            <w:noWrap w:val="0"/>
            <w:vAlign w:val="center"/>
          </w:tcPr>
          <w:p w14:paraId="39F9F0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4B3A25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农田、太阳能发电板</w:t>
            </w:r>
          </w:p>
        </w:tc>
        <w:tc>
          <w:tcPr>
            <w:tcW w:w="3427" w:type="dxa"/>
            <w:noWrap/>
            <w:vAlign w:val="center"/>
          </w:tcPr>
          <w:p w14:paraId="5FCB01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60C12E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1E839C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371F66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35B6B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129</w:t>
            </w:r>
          </w:p>
        </w:tc>
        <w:tc>
          <w:tcPr>
            <w:tcW w:w="737" w:type="dxa"/>
            <w:noWrap w:val="0"/>
            <w:vAlign w:val="center"/>
          </w:tcPr>
          <w:p w14:paraId="0ECB76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222</w:t>
            </w:r>
          </w:p>
        </w:tc>
        <w:tc>
          <w:tcPr>
            <w:tcW w:w="1913" w:type="dxa"/>
            <w:noWrap w:val="0"/>
            <w:vAlign w:val="center"/>
          </w:tcPr>
          <w:p w14:paraId="7980D9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03A873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6C6C32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restart"/>
            <w:noWrap w:val="0"/>
            <w:vAlign w:val="center"/>
          </w:tcPr>
          <w:p w14:paraId="6D439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过水路面-3</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（K8+444-K8+758）</w:t>
            </w:r>
          </w:p>
        </w:tc>
        <w:tc>
          <w:tcPr>
            <w:tcW w:w="787" w:type="dxa"/>
            <w:noWrap/>
            <w:vAlign w:val="center"/>
          </w:tcPr>
          <w:p w14:paraId="01698F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3EB98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8+444</w:t>
            </w:r>
          </w:p>
        </w:tc>
        <w:tc>
          <w:tcPr>
            <w:tcW w:w="1363" w:type="dxa"/>
            <w:noWrap/>
            <w:vAlign w:val="center"/>
          </w:tcPr>
          <w:p w14:paraId="19FBEE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8+600</w:t>
            </w:r>
          </w:p>
        </w:tc>
        <w:tc>
          <w:tcPr>
            <w:tcW w:w="1350" w:type="dxa"/>
            <w:noWrap w:val="0"/>
            <w:vAlign w:val="center"/>
          </w:tcPr>
          <w:p w14:paraId="4D9119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156</w:t>
            </w:r>
          </w:p>
        </w:tc>
        <w:tc>
          <w:tcPr>
            <w:tcW w:w="825" w:type="dxa"/>
            <w:noWrap w:val="0"/>
            <w:vAlign w:val="center"/>
          </w:tcPr>
          <w:p w14:paraId="687CEF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66F43D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233</w:t>
            </w:r>
          </w:p>
        </w:tc>
        <w:tc>
          <w:tcPr>
            <w:tcW w:w="1913" w:type="dxa"/>
            <w:noWrap/>
            <w:vAlign w:val="center"/>
          </w:tcPr>
          <w:p w14:paraId="4952B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651B27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73105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234EDC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4290C6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79F89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8+600</w:t>
            </w:r>
          </w:p>
        </w:tc>
        <w:tc>
          <w:tcPr>
            <w:tcW w:w="1363" w:type="dxa"/>
            <w:noWrap/>
            <w:vAlign w:val="center"/>
          </w:tcPr>
          <w:p w14:paraId="1047B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8+758</w:t>
            </w:r>
          </w:p>
        </w:tc>
        <w:tc>
          <w:tcPr>
            <w:tcW w:w="1350" w:type="dxa"/>
            <w:noWrap w:val="0"/>
            <w:vAlign w:val="center"/>
          </w:tcPr>
          <w:p w14:paraId="165F37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158</w:t>
            </w:r>
          </w:p>
        </w:tc>
        <w:tc>
          <w:tcPr>
            <w:tcW w:w="825" w:type="dxa"/>
            <w:noWrap w:val="0"/>
            <w:vAlign w:val="center"/>
          </w:tcPr>
          <w:p w14:paraId="4C0E8A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1CD8F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167</w:t>
            </w:r>
          </w:p>
        </w:tc>
        <w:tc>
          <w:tcPr>
            <w:tcW w:w="1913" w:type="dxa"/>
            <w:noWrap/>
            <w:vAlign w:val="center"/>
          </w:tcPr>
          <w:p w14:paraId="647AFB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24D582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3D5F07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4BBB04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29AA1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5BB324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8+444</w:t>
            </w:r>
          </w:p>
        </w:tc>
        <w:tc>
          <w:tcPr>
            <w:tcW w:w="1363" w:type="dxa"/>
            <w:noWrap/>
            <w:vAlign w:val="center"/>
          </w:tcPr>
          <w:p w14:paraId="5ED907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8+600</w:t>
            </w:r>
          </w:p>
        </w:tc>
        <w:tc>
          <w:tcPr>
            <w:tcW w:w="1350" w:type="dxa"/>
            <w:noWrap w:val="0"/>
            <w:vAlign w:val="center"/>
          </w:tcPr>
          <w:p w14:paraId="356D0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156</w:t>
            </w:r>
          </w:p>
        </w:tc>
        <w:tc>
          <w:tcPr>
            <w:tcW w:w="825" w:type="dxa"/>
            <w:noWrap w:val="0"/>
            <w:vAlign w:val="center"/>
          </w:tcPr>
          <w:p w14:paraId="76E41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119</w:t>
            </w:r>
          </w:p>
        </w:tc>
        <w:tc>
          <w:tcPr>
            <w:tcW w:w="737" w:type="dxa"/>
            <w:noWrap w:val="0"/>
            <w:vAlign w:val="center"/>
          </w:tcPr>
          <w:p w14:paraId="4AE2F5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1913" w:type="dxa"/>
            <w:noWrap/>
            <w:vAlign w:val="center"/>
          </w:tcPr>
          <w:p w14:paraId="7DE02D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337131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7B40B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00E72C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4D4323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45E3F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119</w:t>
            </w:r>
          </w:p>
        </w:tc>
        <w:tc>
          <w:tcPr>
            <w:tcW w:w="737" w:type="dxa"/>
            <w:noWrap w:val="0"/>
            <w:vAlign w:val="center"/>
          </w:tcPr>
          <w:p w14:paraId="300484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400</w:t>
            </w:r>
          </w:p>
        </w:tc>
        <w:tc>
          <w:tcPr>
            <w:tcW w:w="1913" w:type="dxa"/>
            <w:noWrap w:val="0"/>
            <w:vAlign w:val="center"/>
          </w:tcPr>
          <w:p w14:paraId="29AAD3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077B35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06C12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restart"/>
            <w:noWrap w:val="0"/>
            <w:vAlign w:val="center"/>
          </w:tcPr>
          <w:p w14:paraId="58DAEC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过水路面-4</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（K8+758-K9+009）</w:t>
            </w:r>
          </w:p>
        </w:tc>
        <w:tc>
          <w:tcPr>
            <w:tcW w:w="787" w:type="dxa"/>
            <w:noWrap/>
            <w:vAlign w:val="center"/>
          </w:tcPr>
          <w:p w14:paraId="52A6C2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6F6FF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8+758</w:t>
            </w:r>
          </w:p>
        </w:tc>
        <w:tc>
          <w:tcPr>
            <w:tcW w:w="1363" w:type="dxa"/>
            <w:noWrap/>
            <w:vAlign w:val="center"/>
          </w:tcPr>
          <w:p w14:paraId="16983F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9+009</w:t>
            </w:r>
          </w:p>
        </w:tc>
        <w:tc>
          <w:tcPr>
            <w:tcW w:w="1350" w:type="dxa"/>
            <w:noWrap w:val="0"/>
            <w:vAlign w:val="center"/>
          </w:tcPr>
          <w:p w14:paraId="62D217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251</w:t>
            </w:r>
          </w:p>
        </w:tc>
        <w:tc>
          <w:tcPr>
            <w:tcW w:w="825" w:type="dxa"/>
            <w:noWrap w:val="0"/>
            <w:vAlign w:val="center"/>
          </w:tcPr>
          <w:p w14:paraId="39C3D6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1BA2C8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234</w:t>
            </w:r>
          </w:p>
        </w:tc>
        <w:tc>
          <w:tcPr>
            <w:tcW w:w="1913" w:type="dxa"/>
            <w:noWrap/>
            <w:vAlign w:val="center"/>
          </w:tcPr>
          <w:p w14:paraId="4FFCE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林地</w:t>
            </w:r>
          </w:p>
        </w:tc>
        <w:tc>
          <w:tcPr>
            <w:tcW w:w="3427" w:type="dxa"/>
            <w:noWrap/>
            <w:vAlign w:val="center"/>
          </w:tcPr>
          <w:p w14:paraId="52AEB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12C87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353C44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1617F5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5B81D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67BF34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234</w:t>
            </w:r>
          </w:p>
        </w:tc>
        <w:tc>
          <w:tcPr>
            <w:tcW w:w="1913" w:type="dxa"/>
            <w:noWrap w:val="0"/>
            <w:vAlign w:val="center"/>
          </w:tcPr>
          <w:p w14:paraId="0D31B1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3A78C7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270BEA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restart"/>
            <w:noWrap w:val="0"/>
            <w:vAlign w:val="center"/>
          </w:tcPr>
          <w:p w14:paraId="3C7634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过水路面-5</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（K9+009-K9+312）</w:t>
            </w:r>
          </w:p>
        </w:tc>
        <w:tc>
          <w:tcPr>
            <w:tcW w:w="787" w:type="dxa"/>
            <w:noWrap/>
            <w:vAlign w:val="center"/>
          </w:tcPr>
          <w:p w14:paraId="25881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320312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9+009</w:t>
            </w:r>
          </w:p>
        </w:tc>
        <w:tc>
          <w:tcPr>
            <w:tcW w:w="1363" w:type="dxa"/>
            <w:noWrap/>
            <w:vAlign w:val="center"/>
          </w:tcPr>
          <w:p w14:paraId="6FB8E6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9+200</w:t>
            </w:r>
          </w:p>
        </w:tc>
        <w:tc>
          <w:tcPr>
            <w:tcW w:w="1350" w:type="dxa"/>
            <w:noWrap w:val="0"/>
            <w:vAlign w:val="center"/>
          </w:tcPr>
          <w:p w14:paraId="639BD1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191</w:t>
            </w:r>
          </w:p>
        </w:tc>
        <w:tc>
          <w:tcPr>
            <w:tcW w:w="825" w:type="dxa"/>
            <w:noWrap w:val="0"/>
            <w:vAlign w:val="center"/>
          </w:tcPr>
          <w:p w14:paraId="473E17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4EB939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209</w:t>
            </w:r>
          </w:p>
        </w:tc>
        <w:tc>
          <w:tcPr>
            <w:tcW w:w="1913" w:type="dxa"/>
            <w:noWrap/>
            <w:vAlign w:val="center"/>
          </w:tcPr>
          <w:p w14:paraId="7DF92C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林地</w:t>
            </w:r>
          </w:p>
        </w:tc>
        <w:tc>
          <w:tcPr>
            <w:tcW w:w="3427" w:type="dxa"/>
            <w:noWrap/>
            <w:vAlign w:val="center"/>
          </w:tcPr>
          <w:p w14:paraId="5536A8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732ECC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382E23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ECB9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51A4FE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9+200</w:t>
            </w:r>
          </w:p>
        </w:tc>
        <w:tc>
          <w:tcPr>
            <w:tcW w:w="1363" w:type="dxa"/>
            <w:noWrap/>
            <w:vAlign w:val="center"/>
          </w:tcPr>
          <w:p w14:paraId="7D293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9+312</w:t>
            </w:r>
          </w:p>
        </w:tc>
        <w:tc>
          <w:tcPr>
            <w:tcW w:w="1350" w:type="dxa"/>
            <w:noWrap w:val="0"/>
            <w:vAlign w:val="center"/>
          </w:tcPr>
          <w:p w14:paraId="2800A4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112</w:t>
            </w:r>
          </w:p>
        </w:tc>
        <w:tc>
          <w:tcPr>
            <w:tcW w:w="825" w:type="dxa"/>
            <w:noWrap w:val="0"/>
            <w:vAlign w:val="center"/>
          </w:tcPr>
          <w:p w14:paraId="44C73D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7AA4C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127</w:t>
            </w:r>
          </w:p>
        </w:tc>
        <w:tc>
          <w:tcPr>
            <w:tcW w:w="1913" w:type="dxa"/>
            <w:noWrap w:val="0"/>
            <w:vAlign w:val="center"/>
          </w:tcPr>
          <w:p w14:paraId="5F5702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5FE134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494EF9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4D53D2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4AFFE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3D4CC2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3FB16F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336</w:t>
            </w:r>
          </w:p>
        </w:tc>
        <w:tc>
          <w:tcPr>
            <w:tcW w:w="1913" w:type="dxa"/>
            <w:noWrap w:val="0"/>
            <w:vAlign w:val="center"/>
          </w:tcPr>
          <w:p w14:paraId="0F57C4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5F3387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1AF48C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restart"/>
            <w:noWrap w:val="0"/>
            <w:vAlign w:val="center"/>
          </w:tcPr>
          <w:p w14:paraId="19D769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过水路面-6</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（K9+312-K9+890）</w:t>
            </w:r>
          </w:p>
        </w:tc>
        <w:tc>
          <w:tcPr>
            <w:tcW w:w="787" w:type="dxa"/>
            <w:noWrap/>
            <w:vAlign w:val="center"/>
          </w:tcPr>
          <w:p w14:paraId="5EF57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1F6BFE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9+312</w:t>
            </w:r>
          </w:p>
        </w:tc>
        <w:tc>
          <w:tcPr>
            <w:tcW w:w="1363" w:type="dxa"/>
            <w:noWrap/>
            <w:vAlign w:val="center"/>
          </w:tcPr>
          <w:p w14:paraId="679E69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9+700</w:t>
            </w:r>
          </w:p>
        </w:tc>
        <w:tc>
          <w:tcPr>
            <w:tcW w:w="1350" w:type="dxa"/>
            <w:noWrap w:val="0"/>
            <w:vAlign w:val="center"/>
          </w:tcPr>
          <w:p w14:paraId="2B90BD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388</w:t>
            </w:r>
          </w:p>
        </w:tc>
        <w:tc>
          <w:tcPr>
            <w:tcW w:w="825" w:type="dxa"/>
            <w:noWrap w:val="0"/>
            <w:vAlign w:val="center"/>
          </w:tcPr>
          <w:p w14:paraId="5050ED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0BD340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370</w:t>
            </w:r>
          </w:p>
        </w:tc>
        <w:tc>
          <w:tcPr>
            <w:tcW w:w="1913" w:type="dxa"/>
            <w:noWrap/>
            <w:vAlign w:val="center"/>
          </w:tcPr>
          <w:p w14:paraId="2C8820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农田、居民点</w:t>
            </w:r>
          </w:p>
        </w:tc>
        <w:tc>
          <w:tcPr>
            <w:tcW w:w="3427" w:type="dxa"/>
            <w:noWrap/>
            <w:vAlign w:val="center"/>
          </w:tcPr>
          <w:p w14:paraId="04BF60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10BA53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66BDE7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13037B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0D59B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9+700</w:t>
            </w:r>
          </w:p>
        </w:tc>
        <w:tc>
          <w:tcPr>
            <w:tcW w:w="1363" w:type="dxa"/>
            <w:noWrap/>
            <w:vAlign w:val="center"/>
          </w:tcPr>
          <w:p w14:paraId="32DF8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9+890</w:t>
            </w:r>
          </w:p>
        </w:tc>
        <w:tc>
          <w:tcPr>
            <w:tcW w:w="1350" w:type="dxa"/>
            <w:noWrap w:val="0"/>
            <w:vAlign w:val="center"/>
          </w:tcPr>
          <w:p w14:paraId="4EFE0D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190</w:t>
            </w:r>
          </w:p>
        </w:tc>
        <w:tc>
          <w:tcPr>
            <w:tcW w:w="825" w:type="dxa"/>
            <w:noWrap w:val="0"/>
            <w:vAlign w:val="center"/>
          </w:tcPr>
          <w:p w14:paraId="7C4AB3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3DAC29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205</w:t>
            </w:r>
          </w:p>
        </w:tc>
        <w:tc>
          <w:tcPr>
            <w:tcW w:w="1913" w:type="dxa"/>
            <w:noWrap/>
            <w:vAlign w:val="center"/>
          </w:tcPr>
          <w:p w14:paraId="1A9296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498D1C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6EC74F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793601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1F2C40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1B9DF1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9+650</w:t>
            </w:r>
          </w:p>
        </w:tc>
        <w:tc>
          <w:tcPr>
            <w:tcW w:w="1363" w:type="dxa"/>
            <w:noWrap/>
            <w:vAlign w:val="center"/>
          </w:tcPr>
          <w:p w14:paraId="7701BC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9+890</w:t>
            </w:r>
          </w:p>
        </w:tc>
        <w:tc>
          <w:tcPr>
            <w:tcW w:w="1350" w:type="dxa"/>
            <w:noWrap w:val="0"/>
            <w:vAlign w:val="center"/>
          </w:tcPr>
          <w:p w14:paraId="34089D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240</w:t>
            </w:r>
          </w:p>
        </w:tc>
        <w:tc>
          <w:tcPr>
            <w:tcW w:w="825" w:type="dxa"/>
            <w:noWrap w:val="0"/>
            <w:vAlign w:val="center"/>
          </w:tcPr>
          <w:p w14:paraId="4DC5F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230</w:t>
            </w:r>
          </w:p>
        </w:tc>
        <w:tc>
          <w:tcPr>
            <w:tcW w:w="737" w:type="dxa"/>
            <w:noWrap w:val="0"/>
            <w:vAlign w:val="center"/>
          </w:tcPr>
          <w:p w14:paraId="42DAF4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1913" w:type="dxa"/>
            <w:noWrap/>
            <w:vAlign w:val="center"/>
          </w:tcPr>
          <w:p w14:paraId="246678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0C4A96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64FBF5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565482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32E764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6A7DF8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230</w:t>
            </w:r>
          </w:p>
        </w:tc>
        <w:tc>
          <w:tcPr>
            <w:tcW w:w="737" w:type="dxa"/>
            <w:noWrap w:val="0"/>
            <w:vAlign w:val="center"/>
          </w:tcPr>
          <w:p w14:paraId="20A0DD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575</w:t>
            </w:r>
          </w:p>
        </w:tc>
        <w:tc>
          <w:tcPr>
            <w:tcW w:w="1913" w:type="dxa"/>
            <w:noWrap w:val="0"/>
            <w:vAlign w:val="center"/>
          </w:tcPr>
          <w:p w14:paraId="7DDC8E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05C9EE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3782E7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restart"/>
            <w:noWrap w:val="0"/>
            <w:vAlign w:val="center"/>
          </w:tcPr>
          <w:p w14:paraId="449072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过水路面-7</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（K9+890-K10+062）</w:t>
            </w:r>
          </w:p>
        </w:tc>
        <w:tc>
          <w:tcPr>
            <w:tcW w:w="787" w:type="dxa"/>
            <w:noWrap/>
            <w:vAlign w:val="center"/>
          </w:tcPr>
          <w:p w14:paraId="0C9D12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5863CD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9+890</w:t>
            </w:r>
          </w:p>
        </w:tc>
        <w:tc>
          <w:tcPr>
            <w:tcW w:w="1363" w:type="dxa"/>
            <w:noWrap/>
            <w:vAlign w:val="center"/>
          </w:tcPr>
          <w:p w14:paraId="734BF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10+062</w:t>
            </w:r>
          </w:p>
        </w:tc>
        <w:tc>
          <w:tcPr>
            <w:tcW w:w="1350" w:type="dxa"/>
            <w:noWrap w:val="0"/>
            <w:vAlign w:val="center"/>
          </w:tcPr>
          <w:p w14:paraId="5A793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172</w:t>
            </w:r>
          </w:p>
        </w:tc>
        <w:tc>
          <w:tcPr>
            <w:tcW w:w="825" w:type="dxa"/>
            <w:noWrap w:val="0"/>
            <w:vAlign w:val="center"/>
          </w:tcPr>
          <w:p w14:paraId="259C87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41E79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154</w:t>
            </w:r>
          </w:p>
        </w:tc>
        <w:tc>
          <w:tcPr>
            <w:tcW w:w="1913" w:type="dxa"/>
            <w:noWrap/>
            <w:vAlign w:val="center"/>
          </w:tcPr>
          <w:p w14:paraId="168037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56CE13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04A5B0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468E01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05F3E8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11F085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9+890</w:t>
            </w:r>
          </w:p>
        </w:tc>
        <w:tc>
          <w:tcPr>
            <w:tcW w:w="1363" w:type="dxa"/>
            <w:noWrap/>
            <w:vAlign w:val="center"/>
          </w:tcPr>
          <w:p w14:paraId="7496E9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10+062</w:t>
            </w:r>
          </w:p>
        </w:tc>
        <w:tc>
          <w:tcPr>
            <w:tcW w:w="1350" w:type="dxa"/>
            <w:noWrap w:val="0"/>
            <w:vAlign w:val="center"/>
          </w:tcPr>
          <w:p w14:paraId="6F0432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172</w:t>
            </w:r>
          </w:p>
        </w:tc>
        <w:tc>
          <w:tcPr>
            <w:tcW w:w="825" w:type="dxa"/>
            <w:noWrap w:val="0"/>
            <w:vAlign w:val="center"/>
          </w:tcPr>
          <w:p w14:paraId="06BF2B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169</w:t>
            </w:r>
          </w:p>
        </w:tc>
        <w:tc>
          <w:tcPr>
            <w:tcW w:w="737" w:type="dxa"/>
            <w:noWrap w:val="0"/>
            <w:vAlign w:val="center"/>
          </w:tcPr>
          <w:p w14:paraId="6F84C2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789E80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农田、居民点</w:t>
            </w:r>
          </w:p>
        </w:tc>
        <w:tc>
          <w:tcPr>
            <w:tcW w:w="3427" w:type="dxa"/>
            <w:noWrap/>
            <w:vAlign w:val="center"/>
          </w:tcPr>
          <w:p w14:paraId="6227AE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26B39F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245" w:type="dxa"/>
            <w:vMerge w:val="continue"/>
            <w:noWrap w:val="0"/>
            <w:vAlign w:val="center"/>
          </w:tcPr>
          <w:p w14:paraId="52C7D4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58EDF9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57C895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169</w:t>
            </w:r>
          </w:p>
        </w:tc>
        <w:tc>
          <w:tcPr>
            <w:tcW w:w="737" w:type="dxa"/>
            <w:noWrap w:val="0"/>
            <w:vAlign w:val="center"/>
          </w:tcPr>
          <w:p w14:paraId="3158AF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154</w:t>
            </w:r>
          </w:p>
        </w:tc>
        <w:tc>
          <w:tcPr>
            <w:tcW w:w="1913" w:type="dxa"/>
            <w:noWrap w:val="0"/>
            <w:vAlign w:val="center"/>
          </w:tcPr>
          <w:p w14:paraId="3F826D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253858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540307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restart"/>
            <w:noWrap w:val="0"/>
            <w:vAlign w:val="center"/>
          </w:tcPr>
          <w:p w14:paraId="1D1D9C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过水路面-8</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（K10+062-K10+980）</w:t>
            </w:r>
          </w:p>
        </w:tc>
        <w:tc>
          <w:tcPr>
            <w:tcW w:w="787" w:type="dxa"/>
            <w:noWrap/>
            <w:vAlign w:val="center"/>
          </w:tcPr>
          <w:p w14:paraId="6FC6E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32956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10+062</w:t>
            </w:r>
          </w:p>
        </w:tc>
        <w:tc>
          <w:tcPr>
            <w:tcW w:w="1363" w:type="dxa"/>
            <w:noWrap/>
            <w:vAlign w:val="center"/>
          </w:tcPr>
          <w:p w14:paraId="5BC97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10+200</w:t>
            </w:r>
          </w:p>
        </w:tc>
        <w:tc>
          <w:tcPr>
            <w:tcW w:w="1350" w:type="dxa"/>
            <w:noWrap w:val="0"/>
            <w:vAlign w:val="center"/>
          </w:tcPr>
          <w:p w14:paraId="176BB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138</w:t>
            </w:r>
          </w:p>
        </w:tc>
        <w:tc>
          <w:tcPr>
            <w:tcW w:w="825" w:type="dxa"/>
            <w:noWrap w:val="0"/>
            <w:vAlign w:val="center"/>
          </w:tcPr>
          <w:p w14:paraId="2F616B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2A410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235</w:t>
            </w:r>
          </w:p>
        </w:tc>
        <w:tc>
          <w:tcPr>
            <w:tcW w:w="1913" w:type="dxa"/>
            <w:noWrap/>
            <w:vAlign w:val="center"/>
          </w:tcPr>
          <w:p w14:paraId="05D702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67209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2D7C8A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25E6CC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38747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354F5B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10+500</w:t>
            </w:r>
          </w:p>
        </w:tc>
        <w:tc>
          <w:tcPr>
            <w:tcW w:w="1363" w:type="dxa"/>
            <w:noWrap/>
            <w:vAlign w:val="center"/>
          </w:tcPr>
          <w:p w14:paraId="42CE6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10+800</w:t>
            </w:r>
          </w:p>
        </w:tc>
        <w:tc>
          <w:tcPr>
            <w:tcW w:w="1350" w:type="dxa"/>
            <w:noWrap w:val="0"/>
            <w:vAlign w:val="center"/>
          </w:tcPr>
          <w:p w14:paraId="39430A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300</w:t>
            </w:r>
          </w:p>
        </w:tc>
        <w:tc>
          <w:tcPr>
            <w:tcW w:w="825" w:type="dxa"/>
            <w:noWrap w:val="0"/>
            <w:vAlign w:val="center"/>
          </w:tcPr>
          <w:p w14:paraId="57CAE7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09DF2D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360</w:t>
            </w:r>
          </w:p>
        </w:tc>
        <w:tc>
          <w:tcPr>
            <w:tcW w:w="1913" w:type="dxa"/>
            <w:noWrap/>
            <w:vAlign w:val="center"/>
          </w:tcPr>
          <w:p w14:paraId="022A3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7DD0C5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4B8F56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2F4399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29707B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474D7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10+062</w:t>
            </w:r>
          </w:p>
        </w:tc>
        <w:tc>
          <w:tcPr>
            <w:tcW w:w="1363" w:type="dxa"/>
            <w:noWrap/>
            <w:vAlign w:val="center"/>
          </w:tcPr>
          <w:p w14:paraId="2F567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10+320</w:t>
            </w:r>
          </w:p>
        </w:tc>
        <w:tc>
          <w:tcPr>
            <w:tcW w:w="1350" w:type="dxa"/>
            <w:noWrap w:val="0"/>
            <w:vAlign w:val="center"/>
          </w:tcPr>
          <w:p w14:paraId="21BEBE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258</w:t>
            </w:r>
          </w:p>
        </w:tc>
        <w:tc>
          <w:tcPr>
            <w:tcW w:w="825" w:type="dxa"/>
            <w:noWrap w:val="0"/>
            <w:vAlign w:val="center"/>
          </w:tcPr>
          <w:p w14:paraId="0EECF9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189</w:t>
            </w:r>
          </w:p>
        </w:tc>
        <w:tc>
          <w:tcPr>
            <w:tcW w:w="737" w:type="dxa"/>
            <w:noWrap w:val="0"/>
            <w:vAlign w:val="center"/>
          </w:tcPr>
          <w:p w14:paraId="211A4D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5A1F47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林地</w:t>
            </w:r>
          </w:p>
        </w:tc>
        <w:tc>
          <w:tcPr>
            <w:tcW w:w="3427" w:type="dxa"/>
            <w:noWrap/>
            <w:vAlign w:val="center"/>
          </w:tcPr>
          <w:p w14:paraId="2DC109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4CCAE6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5F6D74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1E2936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w:t>
            </w:r>
          </w:p>
        </w:tc>
        <w:tc>
          <w:tcPr>
            <w:tcW w:w="1150" w:type="dxa"/>
            <w:noWrap/>
            <w:vAlign w:val="center"/>
          </w:tcPr>
          <w:p w14:paraId="56B032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10+400</w:t>
            </w:r>
          </w:p>
        </w:tc>
        <w:tc>
          <w:tcPr>
            <w:tcW w:w="1363" w:type="dxa"/>
            <w:noWrap/>
            <w:vAlign w:val="center"/>
          </w:tcPr>
          <w:p w14:paraId="689C6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10+920</w:t>
            </w:r>
          </w:p>
        </w:tc>
        <w:tc>
          <w:tcPr>
            <w:tcW w:w="1350" w:type="dxa"/>
            <w:noWrap w:val="0"/>
            <w:vAlign w:val="center"/>
          </w:tcPr>
          <w:p w14:paraId="3857B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520</w:t>
            </w:r>
          </w:p>
        </w:tc>
        <w:tc>
          <w:tcPr>
            <w:tcW w:w="825" w:type="dxa"/>
            <w:noWrap w:val="0"/>
            <w:vAlign w:val="center"/>
          </w:tcPr>
          <w:p w14:paraId="6B474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348</w:t>
            </w:r>
          </w:p>
        </w:tc>
        <w:tc>
          <w:tcPr>
            <w:tcW w:w="737" w:type="dxa"/>
            <w:noWrap w:val="0"/>
            <w:vAlign w:val="center"/>
          </w:tcPr>
          <w:p w14:paraId="08E19D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6B5CE9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林地</w:t>
            </w:r>
          </w:p>
        </w:tc>
        <w:tc>
          <w:tcPr>
            <w:tcW w:w="3427" w:type="dxa"/>
            <w:noWrap/>
            <w:vAlign w:val="center"/>
          </w:tcPr>
          <w:p w14:paraId="48A53D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666D84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142C57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4F702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70205A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537</w:t>
            </w:r>
          </w:p>
        </w:tc>
        <w:tc>
          <w:tcPr>
            <w:tcW w:w="737" w:type="dxa"/>
            <w:noWrap w:val="0"/>
            <w:vAlign w:val="center"/>
          </w:tcPr>
          <w:p w14:paraId="24D35A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595</w:t>
            </w:r>
          </w:p>
        </w:tc>
        <w:tc>
          <w:tcPr>
            <w:tcW w:w="1913" w:type="dxa"/>
            <w:noWrap w:val="0"/>
            <w:vAlign w:val="center"/>
          </w:tcPr>
          <w:p w14:paraId="174F5C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452A43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6AEC58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restart"/>
            <w:noWrap w:val="0"/>
            <w:vAlign w:val="center"/>
          </w:tcPr>
          <w:p w14:paraId="67D2E3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过水路面-9</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（K10+980-K11+610）</w:t>
            </w:r>
          </w:p>
        </w:tc>
        <w:tc>
          <w:tcPr>
            <w:tcW w:w="787" w:type="dxa"/>
            <w:noWrap/>
            <w:vAlign w:val="center"/>
          </w:tcPr>
          <w:p w14:paraId="370528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345D2A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11+150</w:t>
            </w:r>
          </w:p>
        </w:tc>
        <w:tc>
          <w:tcPr>
            <w:tcW w:w="1363" w:type="dxa"/>
            <w:noWrap/>
            <w:vAlign w:val="center"/>
          </w:tcPr>
          <w:p w14:paraId="14C7EF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11+250</w:t>
            </w:r>
          </w:p>
        </w:tc>
        <w:tc>
          <w:tcPr>
            <w:tcW w:w="1350" w:type="dxa"/>
            <w:noWrap w:val="0"/>
            <w:vAlign w:val="center"/>
          </w:tcPr>
          <w:p w14:paraId="48231B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100</w:t>
            </w:r>
          </w:p>
        </w:tc>
        <w:tc>
          <w:tcPr>
            <w:tcW w:w="825" w:type="dxa"/>
            <w:noWrap w:val="0"/>
            <w:vAlign w:val="center"/>
          </w:tcPr>
          <w:p w14:paraId="41AE28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13D371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100</w:t>
            </w:r>
          </w:p>
        </w:tc>
        <w:tc>
          <w:tcPr>
            <w:tcW w:w="1913" w:type="dxa"/>
            <w:noWrap/>
            <w:vAlign w:val="center"/>
          </w:tcPr>
          <w:p w14:paraId="7EC3C1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林地</w:t>
            </w:r>
          </w:p>
        </w:tc>
        <w:tc>
          <w:tcPr>
            <w:tcW w:w="3427" w:type="dxa"/>
            <w:noWrap/>
            <w:vAlign w:val="center"/>
          </w:tcPr>
          <w:p w14:paraId="550D7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0DA8C6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708FE5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7F9E8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18CF2B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11+250</w:t>
            </w:r>
          </w:p>
        </w:tc>
        <w:tc>
          <w:tcPr>
            <w:tcW w:w="1363" w:type="dxa"/>
            <w:noWrap/>
            <w:vAlign w:val="center"/>
          </w:tcPr>
          <w:p w14:paraId="20D69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11+380</w:t>
            </w:r>
          </w:p>
        </w:tc>
        <w:tc>
          <w:tcPr>
            <w:tcW w:w="1350" w:type="dxa"/>
            <w:noWrap w:val="0"/>
            <w:vAlign w:val="center"/>
          </w:tcPr>
          <w:p w14:paraId="4B8AFE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130</w:t>
            </w:r>
          </w:p>
        </w:tc>
        <w:tc>
          <w:tcPr>
            <w:tcW w:w="825" w:type="dxa"/>
            <w:noWrap w:val="0"/>
            <w:vAlign w:val="center"/>
          </w:tcPr>
          <w:p w14:paraId="3B41C4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2186CA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150</w:t>
            </w:r>
          </w:p>
        </w:tc>
        <w:tc>
          <w:tcPr>
            <w:tcW w:w="1913" w:type="dxa"/>
            <w:noWrap/>
            <w:vAlign w:val="center"/>
          </w:tcPr>
          <w:p w14:paraId="449293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林地</w:t>
            </w:r>
          </w:p>
        </w:tc>
        <w:tc>
          <w:tcPr>
            <w:tcW w:w="3427" w:type="dxa"/>
            <w:noWrap/>
            <w:vAlign w:val="center"/>
          </w:tcPr>
          <w:p w14:paraId="7657A7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49B76A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0F598A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31C563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1A3343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7BF8BA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250</w:t>
            </w:r>
          </w:p>
        </w:tc>
        <w:tc>
          <w:tcPr>
            <w:tcW w:w="1913" w:type="dxa"/>
            <w:noWrap w:val="0"/>
            <w:vAlign w:val="center"/>
          </w:tcPr>
          <w:p w14:paraId="1F956C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269897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1ADFB2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restart"/>
            <w:noWrap w:val="0"/>
            <w:vAlign w:val="center"/>
          </w:tcPr>
          <w:p w14:paraId="115073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过水路面-10</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（K11+610-K12+190）</w:t>
            </w:r>
          </w:p>
        </w:tc>
        <w:tc>
          <w:tcPr>
            <w:tcW w:w="787" w:type="dxa"/>
            <w:noWrap/>
            <w:vAlign w:val="center"/>
          </w:tcPr>
          <w:p w14:paraId="44D92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4FA40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11+900</w:t>
            </w:r>
          </w:p>
        </w:tc>
        <w:tc>
          <w:tcPr>
            <w:tcW w:w="1363" w:type="dxa"/>
            <w:noWrap/>
            <w:vAlign w:val="center"/>
          </w:tcPr>
          <w:p w14:paraId="43E6F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12+190</w:t>
            </w:r>
          </w:p>
        </w:tc>
        <w:tc>
          <w:tcPr>
            <w:tcW w:w="1350" w:type="dxa"/>
            <w:noWrap w:val="0"/>
            <w:vAlign w:val="center"/>
          </w:tcPr>
          <w:p w14:paraId="1FBB88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290</w:t>
            </w:r>
          </w:p>
        </w:tc>
        <w:tc>
          <w:tcPr>
            <w:tcW w:w="825" w:type="dxa"/>
            <w:noWrap w:val="0"/>
            <w:vAlign w:val="center"/>
          </w:tcPr>
          <w:p w14:paraId="3D02FF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070DA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335</w:t>
            </w:r>
          </w:p>
        </w:tc>
        <w:tc>
          <w:tcPr>
            <w:tcW w:w="1913" w:type="dxa"/>
            <w:noWrap/>
            <w:vAlign w:val="center"/>
          </w:tcPr>
          <w:p w14:paraId="7DBFF6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基本农田</w:t>
            </w:r>
          </w:p>
        </w:tc>
        <w:tc>
          <w:tcPr>
            <w:tcW w:w="3427" w:type="dxa"/>
            <w:noWrap/>
            <w:vAlign w:val="center"/>
          </w:tcPr>
          <w:p w14:paraId="5804C0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2B8BE7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5C7692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4F1C37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4752F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11+710</w:t>
            </w:r>
          </w:p>
        </w:tc>
        <w:tc>
          <w:tcPr>
            <w:tcW w:w="1363" w:type="dxa"/>
            <w:noWrap/>
            <w:vAlign w:val="center"/>
          </w:tcPr>
          <w:p w14:paraId="21B614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11+900</w:t>
            </w:r>
          </w:p>
        </w:tc>
        <w:tc>
          <w:tcPr>
            <w:tcW w:w="1350" w:type="dxa"/>
            <w:noWrap w:val="0"/>
            <w:vAlign w:val="center"/>
          </w:tcPr>
          <w:p w14:paraId="67A47E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190</w:t>
            </w:r>
          </w:p>
        </w:tc>
        <w:tc>
          <w:tcPr>
            <w:tcW w:w="825" w:type="dxa"/>
            <w:noWrap w:val="0"/>
            <w:vAlign w:val="center"/>
          </w:tcPr>
          <w:p w14:paraId="519A83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210</w:t>
            </w:r>
          </w:p>
        </w:tc>
        <w:tc>
          <w:tcPr>
            <w:tcW w:w="737" w:type="dxa"/>
            <w:noWrap w:val="0"/>
            <w:vAlign w:val="center"/>
          </w:tcPr>
          <w:p w14:paraId="61C9B3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5B73B8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居民</w:t>
            </w:r>
          </w:p>
        </w:tc>
        <w:tc>
          <w:tcPr>
            <w:tcW w:w="3427" w:type="dxa"/>
            <w:noWrap/>
            <w:vAlign w:val="center"/>
          </w:tcPr>
          <w:p w14:paraId="1EC4BF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109F6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2508E5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3710A6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77A20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210</w:t>
            </w:r>
          </w:p>
        </w:tc>
        <w:tc>
          <w:tcPr>
            <w:tcW w:w="737" w:type="dxa"/>
            <w:noWrap w:val="0"/>
            <w:vAlign w:val="center"/>
          </w:tcPr>
          <w:p w14:paraId="2AA70D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335</w:t>
            </w:r>
          </w:p>
        </w:tc>
        <w:tc>
          <w:tcPr>
            <w:tcW w:w="1913" w:type="dxa"/>
            <w:noWrap w:val="0"/>
            <w:vAlign w:val="center"/>
          </w:tcPr>
          <w:p w14:paraId="6628E7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03A59E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02256C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restart"/>
            <w:noWrap w:val="0"/>
            <w:vAlign w:val="center"/>
          </w:tcPr>
          <w:p w14:paraId="529EAD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过水路面-11</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（K12+190-K12+914）</w:t>
            </w:r>
          </w:p>
        </w:tc>
        <w:tc>
          <w:tcPr>
            <w:tcW w:w="787" w:type="dxa"/>
            <w:noWrap/>
            <w:vAlign w:val="center"/>
          </w:tcPr>
          <w:p w14:paraId="4B897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7E08D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12+190</w:t>
            </w:r>
          </w:p>
        </w:tc>
        <w:tc>
          <w:tcPr>
            <w:tcW w:w="1363" w:type="dxa"/>
            <w:noWrap/>
            <w:vAlign w:val="center"/>
          </w:tcPr>
          <w:p w14:paraId="61D015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12+400</w:t>
            </w:r>
          </w:p>
        </w:tc>
        <w:tc>
          <w:tcPr>
            <w:tcW w:w="1350" w:type="dxa"/>
            <w:noWrap w:val="0"/>
            <w:vAlign w:val="center"/>
          </w:tcPr>
          <w:p w14:paraId="6AFEA4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210</w:t>
            </w:r>
          </w:p>
        </w:tc>
        <w:tc>
          <w:tcPr>
            <w:tcW w:w="825" w:type="dxa"/>
            <w:noWrap w:val="0"/>
            <w:vAlign w:val="center"/>
          </w:tcPr>
          <w:p w14:paraId="18D2B8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7331BD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185</w:t>
            </w:r>
          </w:p>
        </w:tc>
        <w:tc>
          <w:tcPr>
            <w:tcW w:w="1913" w:type="dxa"/>
            <w:noWrap/>
            <w:vAlign w:val="center"/>
          </w:tcPr>
          <w:p w14:paraId="236A6E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2C46C2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152538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03D3FD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15EE25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3E1289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12+400</w:t>
            </w:r>
          </w:p>
        </w:tc>
        <w:tc>
          <w:tcPr>
            <w:tcW w:w="1363" w:type="dxa"/>
            <w:noWrap/>
            <w:vAlign w:val="center"/>
          </w:tcPr>
          <w:p w14:paraId="0A6833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12+700</w:t>
            </w:r>
          </w:p>
        </w:tc>
        <w:tc>
          <w:tcPr>
            <w:tcW w:w="1350" w:type="dxa"/>
            <w:noWrap w:val="0"/>
            <w:vAlign w:val="center"/>
          </w:tcPr>
          <w:p w14:paraId="1F074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300</w:t>
            </w:r>
          </w:p>
        </w:tc>
        <w:tc>
          <w:tcPr>
            <w:tcW w:w="825" w:type="dxa"/>
            <w:noWrap w:val="0"/>
            <w:vAlign w:val="center"/>
          </w:tcPr>
          <w:p w14:paraId="4A8AC2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621928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307</w:t>
            </w:r>
          </w:p>
        </w:tc>
        <w:tc>
          <w:tcPr>
            <w:tcW w:w="1913" w:type="dxa"/>
            <w:noWrap/>
            <w:vAlign w:val="center"/>
          </w:tcPr>
          <w:p w14:paraId="206EF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76DD3A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直墙-格宾砌护</w:t>
            </w:r>
          </w:p>
        </w:tc>
      </w:tr>
      <w:tr w14:paraId="22F9F1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013BCF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354D31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41F8C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12+700</w:t>
            </w:r>
          </w:p>
        </w:tc>
        <w:tc>
          <w:tcPr>
            <w:tcW w:w="1363" w:type="dxa"/>
            <w:noWrap/>
            <w:vAlign w:val="center"/>
          </w:tcPr>
          <w:p w14:paraId="178845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12+914</w:t>
            </w:r>
          </w:p>
        </w:tc>
        <w:tc>
          <w:tcPr>
            <w:tcW w:w="1350" w:type="dxa"/>
            <w:noWrap w:val="0"/>
            <w:vAlign w:val="center"/>
          </w:tcPr>
          <w:p w14:paraId="18CB62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214</w:t>
            </w:r>
          </w:p>
        </w:tc>
        <w:tc>
          <w:tcPr>
            <w:tcW w:w="825" w:type="dxa"/>
            <w:noWrap w:val="0"/>
            <w:vAlign w:val="center"/>
          </w:tcPr>
          <w:p w14:paraId="0F934E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047C37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182</w:t>
            </w:r>
          </w:p>
        </w:tc>
        <w:tc>
          <w:tcPr>
            <w:tcW w:w="1913" w:type="dxa"/>
            <w:noWrap/>
            <w:vAlign w:val="center"/>
          </w:tcPr>
          <w:p w14:paraId="0810C8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02EAFC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01BC8F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76BC4C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089615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w:t>
            </w:r>
          </w:p>
        </w:tc>
        <w:tc>
          <w:tcPr>
            <w:tcW w:w="1150" w:type="dxa"/>
            <w:noWrap/>
            <w:vAlign w:val="center"/>
          </w:tcPr>
          <w:p w14:paraId="6BA30D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12+190</w:t>
            </w:r>
          </w:p>
        </w:tc>
        <w:tc>
          <w:tcPr>
            <w:tcW w:w="1363" w:type="dxa"/>
            <w:noWrap/>
            <w:vAlign w:val="center"/>
          </w:tcPr>
          <w:p w14:paraId="7A894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12+380</w:t>
            </w:r>
          </w:p>
        </w:tc>
        <w:tc>
          <w:tcPr>
            <w:tcW w:w="1350" w:type="dxa"/>
            <w:noWrap w:val="0"/>
            <w:vAlign w:val="center"/>
          </w:tcPr>
          <w:p w14:paraId="00D583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190</w:t>
            </w:r>
          </w:p>
        </w:tc>
        <w:tc>
          <w:tcPr>
            <w:tcW w:w="825" w:type="dxa"/>
            <w:noWrap w:val="0"/>
            <w:vAlign w:val="center"/>
          </w:tcPr>
          <w:p w14:paraId="2D73E8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212</w:t>
            </w:r>
          </w:p>
        </w:tc>
        <w:tc>
          <w:tcPr>
            <w:tcW w:w="737" w:type="dxa"/>
            <w:noWrap w:val="0"/>
            <w:vAlign w:val="center"/>
          </w:tcPr>
          <w:p w14:paraId="2E0C54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1913" w:type="dxa"/>
            <w:noWrap/>
            <w:vAlign w:val="center"/>
          </w:tcPr>
          <w:p w14:paraId="68AF8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65A05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238C7C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74C22B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11CC4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w:t>
            </w:r>
          </w:p>
        </w:tc>
        <w:tc>
          <w:tcPr>
            <w:tcW w:w="1150" w:type="dxa"/>
            <w:noWrap/>
            <w:vAlign w:val="center"/>
          </w:tcPr>
          <w:p w14:paraId="31FA49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12+800</w:t>
            </w:r>
          </w:p>
        </w:tc>
        <w:tc>
          <w:tcPr>
            <w:tcW w:w="1363" w:type="dxa"/>
            <w:noWrap/>
            <w:vAlign w:val="center"/>
          </w:tcPr>
          <w:p w14:paraId="310FF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12+914</w:t>
            </w:r>
          </w:p>
        </w:tc>
        <w:tc>
          <w:tcPr>
            <w:tcW w:w="1350" w:type="dxa"/>
            <w:noWrap w:val="0"/>
            <w:vAlign w:val="center"/>
          </w:tcPr>
          <w:p w14:paraId="647145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114</w:t>
            </w:r>
          </w:p>
        </w:tc>
        <w:tc>
          <w:tcPr>
            <w:tcW w:w="825" w:type="dxa"/>
            <w:noWrap w:val="0"/>
            <w:vAlign w:val="center"/>
          </w:tcPr>
          <w:p w14:paraId="6A0FD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128</w:t>
            </w:r>
          </w:p>
        </w:tc>
        <w:tc>
          <w:tcPr>
            <w:tcW w:w="737" w:type="dxa"/>
            <w:noWrap w:val="0"/>
            <w:vAlign w:val="center"/>
          </w:tcPr>
          <w:p w14:paraId="7DC5DF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1913" w:type="dxa"/>
            <w:noWrap/>
            <w:vAlign w:val="center"/>
          </w:tcPr>
          <w:p w14:paraId="01CBF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1B4665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3403C6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3EF94B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611F9C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45894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340</w:t>
            </w:r>
          </w:p>
        </w:tc>
        <w:tc>
          <w:tcPr>
            <w:tcW w:w="737" w:type="dxa"/>
            <w:noWrap w:val="0"/>
            <w:vAlign w:val="center"/>
          </w:tcPr>
          <w:p w14:paraId="508C71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674</w:t>
            </w:r>
          </w:p>
        </w:tc>
        <w:tc>
          <w:tcPr>
            <w:tcW w:w="1913" w:type="dxa"/>
            <w:noWrap w:val="0"/>
            <w:vAlign w:val="center"/>
          </w:tcPr>
          <w:p w14:paraId="3161D5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383613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053298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restart"/>
            <w:noWrap w:val="0"/>
            <w:vAlign w:val="center"/>
          </w:tcPr>
          <w:p w14:paraId="011B6F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12</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过水路面-13</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（K13+217-K14+717）</w:t>
            </w:r>
          </w:p>
        </w:tc>
        <w:tc>
          <w:tcPr>
            <w:tcW w:w="787" w:type="dxa"/>
            <w:noWrap/>
            <w:vAlign w:val="center"/>
          </w:tcPr>
          <w:p w14:paraId="4A4D02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47BDB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14+515</w:t>
            </w:r>
          </w:p>
        </w:tc>
        <w:tc>
          <w:tcPr>
            <w:tcW w:w="1363" w:type="dxa"/>
            <w:noWrap/>
            <w:vAlign w:val="center"/>
          </w:tcPr>
          <w:p w14:paraId="6D8E9E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14+717</w:t>
            </w:r>
          </w:p>
        </w:tc>
        <w:tc>
          <w:tcPr>
            <w:tcW w:w="1350" w:type="dxa"/>
            <w:noWrap w:val="0"/>
            <w:vAlign w:val="center"/>
          </w:tcPr>
          <w:p w14:paraId="3F358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202</w:t>
            </w:r>
          </w:p>
        </w:tc>
        <w:tc>
          <w:tcPr>
            <w:tcW w:w="825" w:type="dxa"/>
            <w:noWrap w:val="0"/>
            <w:vAlign w:val="center"/>
          </w:tcPr>
          <w:p w14:paraId="3FFDD9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1B25C0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179</w:t>
            </w:r>
          </w:p>
        </w:tc>
        <w:tc>
          <w:tcPr>
            <w:tcW w:w="1913" w:type="dxa"/>
            <w:noWrap/>
            <w:vAlign w:val="center"/>
          </w:tcPr>
          <w:p w14:paraId="69BEB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居民点</w:t>
            </w:r>
          </w:p>
        </w:tc>
        <w:tc>
          <w:tcPr>
            <w:tcW w:w="3427" w:type="dxa"/>
            <w:noWrap/>
            <w:vAlign w:val="center"/>
          </w:tcPr>
          <w:p w14:paraId="09655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127B0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7C56B3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06059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084713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09F8F7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179</w:t>
            </w:r>
          </w:p>
        </w:tc>
        <w:tc>
          <w:tcPr>
            <w:tcW w:w="1913" w:type="dxa"/>
            <w:noWrap w:val="0"/>
            <w:vAlign w:val="center"/>
          </w:tcPr>
          <w:p w14:paraId="6A3384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2B946A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24F273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restart"/>
            <w:noWrap w:val="0"/>
            <w:vAlign w:val="center"/>
          </w:tcPr>
          <w:p w14:paraId="1BB52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13</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过水路面-14</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过水路面（K14+717-K15+065）</w:t>
            </w:r>
          </w:p>
        </w:tc>
        <w:tc>
          <w:tcPr>
            <w:tcW w:w="787" w:type="dxa"/>
            <w:noWrap/>
            <w:vAlign w:val="center"/>
          </w:tcPr>
          <w:p w14:paraId="1BC90D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543CA6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14+800</w:t>
            </w:r>
          </w:p>
        </w:tc>
        <w:tc>
          <w:tcPr>
            <w:tcW w:w="1363" w:type="dxa"/>
            <w:noWrap/>
            <w:vAlign w:val="center"/>
          </w:tcPr>
          <w:p w14:paraId="5A35B8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14+830</w:t>
            </w:r>
          </w:p>
        </w:tc>
        <w:tc>
          <w:tcPr>
            <w:tcW w:w="1350" w:type="dxa"/>
            <w:noWrap w:val="0"/>
            <w:vAlign w:val="center"/>
          </w:tcPr>
          <w:p w14:paraId="319A4A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30</w:t>
            </w:r>
          </w:p>
        </w:tc>
        <w:tc>
          <w:tcPr>
            <w:tcW w:w="825" w:type="dxa"/>
            <w:noWrap w:val="0"/>
            <w:vAlign w:val="center"/>
          </w:tcPr>
          <w:p w14:paraId="5B1FD7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6117FB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66</w:t>
            </w:r>
          </w:p>
        </w:tc>
        <w:tc>
          <w:tcPr>
            <w:tcW w:w="1913" w:type="dxa"/>
            <w:noWrap/>
            <w:vAlign w:val="center"/>
          </w:tcPr>
          <w:p w14:paraId="6C6A0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5F4957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548FB7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08C2F2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48D6C2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6045A3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14+925</w:t>
            </w:r>
          </w:p>
        </w:tc>
        <w:tc>
          <w:tcPr>
            <w:tcW w:w="1363" w:type="dxa"/>
            <w:noWrap/>
            <w:vAlign w:val="center"/>
          </w:tcPr>
          <w:p w14:paraId="0A0F92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15+065</w:t>
            </w:r>
          </w:p>
        </w:tc>
        <w:tc>
          <w:tcPr>
            <w:tcW w:w="1350" w:type="dxa"/>
            <w:noWrap w:val="0"/>
            <w:vAlign w:val="center"/>
          </w:tcPr>
          <w:p w14:paraId="7D52B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140</w:t>
            </w:r>
          </w:p>
        </w:tc>
        <w:tc>
          <w:tcPr>
            <w:tcW w:w="825" w:type="dxa"/>
            <w:noWrap w:val="0"/>
            <w:vAlign w:val="center"/>
          </w:tcPr>
          <w:p w14:paraId="5C6758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7BA3B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161</w:t>
            </w:r>
          </w:p>
        </w:tc>
        <w:tc>
          <w:tcPr>
            <w:tcW w:w="1913" w:type="dxa"/>
            <w:noWrap/>
            <w:vAlign w:val="center"/>
          </w:tcPr>
          <w:p w14:paraId="20993B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居民点</w:t>
            </w:r>
          </w:p>
        </w:tc>
        <w:tc>
          <w:tcPr>
            <w:tcW w:w="3427" w:type="dxa"/>
            <w:noWrap/>
            <w:vAlign w:val="center"/>
          </w:tcPr>
          <w:p w14:paraId="782E51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41C9E9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2245" w:type="dxa"/>
            <w:vMerge w:val="continue"/>
            <w:noWrap w:val="0"/>
            <w:vAlign w:val="center"/>
          </w:tcPr>
          <w:p w14:paraId="7FC0F9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5734A5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152ED4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7FDF1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227</w:t>
            </w:r>
          </w:p>
        </w:tc>
        <w:tc>
          <w:tcPr>
            <w:tcW w:w="1913" w:type="dxa"/>
            <w:noWrap w:val="0"/>
            <w:vAlign w:val="center"/>
          </w:tcPr>
          <w:p w14:paraId="79E141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283DE9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476AD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restart"/>
            <w:noWrap w:val="0"/>
            <w:vAlign w:val="center"/>
          </w:tcPr>
          <w:p w14:paraId="03CEC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过水路面-15</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过水路面（K15+065-K15+322）</w:t>
            </w:r>
          </w:p>
        </w:tc>
        <w:tc>
          <w:tcPr>
            <w:tcW w:w="787" w:type="dxa"/>
            <w:noWrap/>
            <w:vAlign w:val="center"/>
          </w:tcPr>
          <w:p w14:paraId="10433F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4DA842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15+065</w:t>
            </w:r>
          </w:p>
        </w:tc>
        <w:tc>
          <w:tcPr>
            <w:tcW w:w="1363" w:type="dxa"/>
            <w:noWrap/>
            <w:vAlign w:val="center"/>
          </w:tcPr>
          <w:p w14:paraId="384F3C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15+322</w:t>
            </w:r>
          </w:p>
        </w:tc>
        <w:tc>
          <w:tcPr>
            <w:tcW w:w="1350" w:type="dxa"/>
            <w:noWrap w:val="0"/>
            <w:vAlign w:val="center"/>
          </w:tcPr>
          <w:p w14:paraId="616741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257</w:t>
            </w:r>
          </w:p>
        </w:tc>
        <w:tc>
          <w:tcPr>
            <w:tcW w:w="825" w:type="dxa"/>
            <w:noWrap w:val="0"/>
            <w:vAlign w:val="center"/>
          </w:tcPr>
          <w:p w14:paraId="60A20E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276</w:t>
            </w:r>
          </w:p>
        </w:tc>
        <w:tc>
          <w:tcPr>
            <w:tcW w:w="737" w:type="dxa"/>
            <w:noWrap w:val="0"/>
            <w:vAlign w:val="center"/>
          </w:tcPr>
          <w:p w14:paraId="4EA028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4290AC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居民点</w:t>
            </w:r>
          </w:p>
        </w:tc>
        <w:tc>
          <w:tcPr>
            <w:tcW w:w="3427" w:type="dxa"/>
            <w:noWrap/>
            <w:vAlign w:val="center"/>
          </w:tcPr>
          <w:p w14:paraId="4DBE80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3D5EE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71489E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FCD7A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00569D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15+065</w:t>
            </w:r>
          </w:p>
        </w:tc>
        <w:tc>
          <w:tcPr>
            <w:tcW w:w="1363" w:type="dxa"/>
            <w:noWrap/>
            <w:vAlign w:val="center"/>
          </w:tcPr>
          <w:p w14:paraId="59F3D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15+322</w:t>
            </w:r>
          </w:p>
        </w:tc>
        <w:tc>
          <w:tcPr>
            <w:tcW w:w="1350" w:type="dxa"/>
            <w:noWrap w:val="0"/>
            <w:vAlign w:val="center"/>
          </w:tcPr>
          <w:p w14:paraId="7F9FC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257</w:t>
            </w:r>
          </w:p>
        </w:tc>
        <w:tc>
          <w:tcPr>
            <w:tcW w:w="825" w:type="dxa"/>
            <w:noWrap w:val="0"/>
            <w:vAlign w:val="center"/>
          </w:tcPr>
          <w:p w14:paraId="410231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1A3432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200</w:t>
            </w:r>
          </w:p>
        </w:tc>
        <w:tc>
          <w:tcPr>
            <w:tcW w:w="1913" w:type="dxa"/>
            <w:noWrap/>
            <w:vAlign w:val="center"/>
          </w:tcPr>
          <w:p w14:paraId="3CA9BE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居民点</w:t>
            </w:r>
          </w:p>
        </w:tc>
        <w:tc>
          <w:tcPr>
            <w:tcW w:w="3427" w:type="dxa"/>
            <w:noWrap/>
            <w:vAlign w:val="center"/>
          </w:tcPr>
          <w:p w14:paraId="67B1CB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坡式-格宾-蜂巢式网格植草生态砖砌护</w:t>
            </w:r>
          </w:p>
        </w:tc>
      </w:tr>
      <w:tr w14:paraId="64036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2CA5CC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39E540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1637A7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276</w:t>
            </w:r>
          </w:p>
        </w:tc>
        <w:tc>
          <w:tcPr>
            <w:tcW w:w="737" w:type="dxa"/>
            <w:noWrap w:val="0"/>
            <w:vAlign w:val="center"/>
          </w:tcPr>
          <w:p w14:paraId="173351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200</w:t>
            </w:r>
          </w:p>
        </w:tc>
        <w:tc>
          <w:tcPr>
            <w:tcW w:w="1913" w:type="dxa"/>
            <w:noWrap w:val="0"/>
            <w:vAlign w:val="center"/>
          </w:tcPr>
          <w:p w14:paraId="670DEA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69405E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203C0F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restart"/>
            <w:noWrap w:val="0"/>
            <w:vAlign w:val="center"/>
          </w:tcPr>
          <w:p w14:paraId="27ECFE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15过水路面-16</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（K15+322-K15+766）</w:t>
            </w:r>
          </w:p>
        </w:tc>
        <w:tc>
          <w:tcPr>
            <w:tcW w:w="787" w:type="dxa"/>
            <w:noWrap/>
            <w:vAlign w:val="center"/>
          </w:tcPr>
          <w:p w14:paraId="116EB0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512857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15+322</w:t>
            </w:r>
          </w:p>
        </w:tc>
        <w:tc>
          <w:tcPr>
            <w:tcW w:w="1363" w:type="dxa"/>
            <w:noWrap/>
            <w:vAlign w:val="center"/>
          </w:tcPr>
          <w:p w14:paraId="7A4C03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15+441</w:t>
            </w:r>
          </w:p>
        </w:tc>
        <w:tc>
          <w:tcPr>
            <w:tcW w:w="1350" w:type="dxa"/>
            <w:noWrap w:val="0"/>
            <w:vAlign w:val="center"/>
          </w:tcPr>
          <w:p w14:paraId="7A8A6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119</w:t>
            </w:r>
          </w:p>
        </w:tc>
        <w:tc>
          <w:tcPr>
            <w:tcW w:w="825" w:type="dxa"/>
            <w:noWrap w:val="0"/>
            <w:vAlign w:val="center"/>
          </w:tcPr>
          <w:p w14:paraId="460681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136</w:t>
            </w:r>
          </w:p>
        </w:tc>
        <w:tc>
          <w:tcPr>
            <w:tcW w:w="737" w:type="dxa"/>
            <w:noWrap w:val="0"/>
            <w:vAlign w:val="center"/>
          </w:tcPr>
          <w:p w14:paraId="2B43A7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7088BC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农田、居民点</w:t>
            </w:r>
          </w:p>
        </w:tc>
        <w:tc>
          <w:tcPr>
            <w:tcW w:w="3427" w:type="dxa"/>
            <w:noWrap/>
            <w:vAlign w:val="center"/>
          </w:tcPr>
          <w:p w14:paraId="635B5B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直墙-浆砌石砌护</w:t>
            </w:r>
          </w:p>
        </w:tc>
      </w:tr>
      <w:tr w14:paraId="6B5C68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111525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20755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6F2D8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15+580</w:t>
            </w:r>
          </w:p>
        </w:tc>
        <w:tc>
          <w:tcPr>
            <w:tcW w:w="1363" w:type="dxa"/>
            <w:noWrap/>
            <w:vAlign w:val="center"/>
          </w:tcPr>
          <w:p w14:paraId="01A9E9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15+766</w:t>
            </w:r>
          </w:p>
        </w:tc>
        <w:tc>
          <w:tcPr>
            <w:tcW w:w="1350" w:type="dxa"/>
            <w:noWrap w:val="0"/>
            <w:vAlign w:val="center"/>
          </w:tcPr>
          <w:p w14:paraId="12F88D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186</w:t>
            </w:r>
          </w:p>
        </w:tc>
        <w:tc>
          <w:tcPr>
            <w:tcW w:w="825" w:type="dxa"/>
            <w:noWrap w:val="0"/>
            <w:vAlign w:val="center"/>
          </w:tcPr>
          <w:p w14:paraId="4751E8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70C36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238</w:t>
            </w:r>
          </w:p>
        </w:tc>
        <w:tc>
          <w:tcPr>
            <w:tcW w:w="1913" w:type="dxa"/>
            <w:noWrap/>
            <w:vAlign w:val="center"/>
          </w:tcPr>
          <w:p w14:paraId="37E98F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4F73DE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62F1BA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4EC493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37210D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536E09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136</w:t>
            </w:r>
          </w:p>
        </w:tc>
        <w:tc>
          <w:tcPr>
            <w:tcW w:w="737" w:type="dxa"/>
            <w:noWrap w:val="0"/>
            <w:vAlign w:val="center"/>
          </w:tcPr>
          <w:p w14:paraId="1E42F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238</w:t>
            </w:r>
          </w:p>
        </w:tc>
        <w:tc>
          <w:tcPr>
            <w:tcW w:w="1913" w:type="dxa"/>
            <w:noWrap w:val="0"/>
            <w:vAlign w:val="center"/>
          </w:tcPr>
          <w:p w14:paraId="28BDA7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34C264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7FBF8B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restart"/>
            <w:noWrap w:val="0"/>
            <w:vAlign w:val="center"/>
          </w:tcPr>
          <w:p w14:paraId="1D11C7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16过水路面-17</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（K15+766-K16+887）</w:t>
            </w:r>
          </w:p>
        </w:tc>
        <w:tc>
          <w:tcPr>
            <w:tcW w:w="787" w:type="dxa"/>
            <w:noWrap/>
            <w:vAlign w:val="center"/>
          </w:tcPr>
          <w:p w14:paraId="5F4A2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2F8487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15+766</w:t>
            </w:r>
          </w:p>
        </w:tc>
        <w:tc>
          <w:tcPr>
            <w:tcW w:w="1363" w:type="dxa"/>
            <w:noWrap/>
            <w:vAlign w:val="center"/>
          </w:tcPr>
          <w:p w14:paraId="2A13A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16+575</w:t>
            </w:r>
          </w:p>
        </w:tc>
        <w:tc>
          <w:tcPr>
            <w:tcW w:w="1350" w:type="dxa"/>
            <w:noWrap w:val="0"/>
            <w:vAlign w:val="center"/>
          </w:tcPr>
          <w:p w14:paraId="2D333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809</w:t>
            </w:r>
          </w:p>
        </w:tc>
        <w:tc>
          <w:tcPr>
            <w:tcW w:w="825" w:type="dxa"/>
            <w:noWrap w:val="0"/>
            <w:vAlign w:val="center"/>
          </w:tcPr>
          <w:p w14:paraId="5F5374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0F099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740</w:t>
            </w:r>
          </w:p>
        </w:tc>
        <w:tc>
          <w:tcPr>
            <w:tcW w:w="1913" w:type="dxa"/>
            <w:noWrap/>
            <w:vAlign w:val="center"/>
          </w:tcPr>
          <w:p w14:paraId="47039C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基本农田</w:t>
            </w:r>
          </w:p>
        </w:tc>
        <w:tc>
          <w:tcPr>
            <w:tcW w:w="3427" w:type="dxa"/>
            <w:noWrap/>
            <w:vAlign w:val="center"/>
          </w:tcPr>
          <w:p w14:paraId="5DB14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15D23C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70E5BD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736E9E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5B9CAB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2A872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740</w:t>
            </w:r>
          </w:p>
        </w:tc>
        <w:tc>
          <w:tcPr>
            <w:tcW w:w="1913" w:type="dxa"/>
            <w:noWrap w:val="0"/>
            <w:vAlign w:val="center"/>
          </w:tcPr>
          <w:p w14:paraId="1637A0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0F68B0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221F8B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restart"/>
            <w:noWrap w:val="0"/>
            <w:vAlign w:val="center"/>
          </w:tcPr>
          <w:p w14:paraId="1B1A7D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17过水路面-18</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（K16+887-K17+311）</w:t>
            </w:r>
          </w:p>
        </w:tc>
        <w:tc>
          <w:tcPr>
            <w:tcW w:w="787" w:type="dxa"/>
            <w:noWrap/>
            <w:vAlign w:val="center"/>
          </w:tcPr>
          <w:p w14:paraId="49BFF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731A0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16+887</w:t>
            </w:r>
          </w:p>
        </w:tc>
        <w:tc>
          <w:tcPr>
            <w:tcW w:w="1363" w:type="dxa"/>
            <w:noWrap/>
            <w:vAlign w:val="center"/>
          </w:tcPr>
          <w:p w14:paraId="4FA67E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17+000</w:t>
            </w:r>
          </w:p>
        </w:tc>
        <w:tc>
          <w:tcPr>
            <w:tcW w:w="1350" w:type="dxa"/>
            <w:noWrap w:val="0"/>
            <w:vAlign w:val="center"/>
          </w:tcPr>
          <w:p w14:paraId="2E0442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113</w:t>
            </w:r>
          </w:p>
        </w:tc>
        <w:tc>
          <w:tcPr>
            <w:tcW w:w="825" w:type="dxa"/>
            <w:noWrap w:val="0"/>
            <w:vAlign w:val="center"/>
          </w:tcPr>
          <w:p w14:paraId="7600F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136</w:t>
            </w:r>
          </w:p>
        </w:tc>
        <w:tc>
          <w:tcPr>
            <w:tcW w:w="737" w:type="dxa"/>
            <w:noWrap w:val="0"/>
            <w:vAlign w:val="center"/>
          </w:tcPr>
          <w:p w14:paraId="537AB0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6A9A56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农田、居民点</w:t>
            </w:r>
          </w:p>
        </w:tc>
        <w:tc>
          <w:tcPr>
            <w:tcW w:w="3427" w:type="dxa"/>
            <w:noWrap/>
            <w:vAlign w:val="center"/>
          </w:tcPr>
          <w:p w14:paraId="16248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2525F8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786085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7B232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7C19A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17+000</w:t>
            </w:r>
          </w:p>
        </w:tc>
        <w:tc>
          <w:tcPr>
            <w:tcW w:w="1363" w:type="dxa"/>
            <w:noWrap/>
            <w:vAlign w:val="center"/>
          </w:tcPr>
          <w:p w14:paraId="18EB74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17+311</w:t>
            </w:r>
          </w:p>
        </w:tc>
        <w:tc>
          <w:tcPr>
            <w:tcW w:w="1350" w:type="dxa"/>
            <w:noWrap w:val="0"/>
            <w:vAlign w:val="center"/>
          </w:tcPr>
          <w:p w14:paraId="6F0749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311</w:t>
            </w:r>
          </w:p>
        </w:tc>
        <w:tc>
          <w:tcPr>
            <w:tcW w:w="825" w:type="dxa"/>
            <w:noWrap w:val="0"/>
            <w:vAlign w:val="center"/>
          </w:tcPr>
          <w:p w14:paraId="3AC379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228</w:t>
            </w:r>
          </w:p>
        </w:tc>
        <w:tc>
          <w:tcPr>
            <w:tcW w:w="737" w:type="dxa"/>
            <w:noWrap w:val="0"/>
            <w:vAlign w:val="center"/>
          </w:tcPr>
          <w:p w14:paraId="7811DF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2BDC0F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6E28F6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16911B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219203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3489A1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713028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17+100</w:t>
            </w:r>
          </w:p>
        </w:tc>
        <w:tc>
          <w:tcPr>
            <w:tcW w:w="1363" w:type="dxa"/>
            <w:noWrap/>
            <w:vAlign w:val="center"/>
          </w:tcPr>
          <w:p w14:paraId="2BE6A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17+311</w:t>
            </w:r>
          </w:p>
        </w:tc>
        <w:tc>
          <w:tcPr>
            <w:tcW w:w="1350" w:type="dxa"/>
            <w:noWrap w:val="0"/>
            <w:vAlign w:val="center"/>
          </w:tcPr>
          <w:p w14:paraId="473AA3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211</w:t>
            </w:r>
          </w:p>
        </w:tc>
        <w:tc>
          <w:tcPr>
            <w:tcW w:w="825" w:type="dxa"/>
            <w:noWrap w:val="0"/>
            <w:vAlign w:val="center"/>
          </w:tcPr>
          <w:p w14:paraId="64DFC2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737" w:type="dxa"/>
            <w:noWrap w:val="0"/>
            <w:vAlign w:val="center"/>
          </w:tcPr>
          <w:p w14:paraId="1E4C5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277</w:t>
            </w:r>
          </w:p>
        </w:tc>
        <w:tc>
          <w:tcPr>
            <w:tcW w:w="1913" w:type="dxa"/>
            <w:noWrap/>
            <w:vAlign w:val="center"/>
          </w:tcPr>
          <w:p w14:paraId="433E2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林地</w:t>
            </w:r>
          </w:p>
        </w:tc>
        <w:tc>
          <w:tcPr>
            <w:tcW w:w="3427" w:type="dxa"/>
            <w:noWrap/>
            <w:vAlign w:val="center"/>
          </w:tcPr>
          <w:p w14:paraId="71489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2EAED6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4FCE7F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6DCE54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10500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364</w:t>
            </w:r>
          </w:p>
        </w:tc>
        <w:tc>
          <w:tcPr>
            <w:tcW w:w="737" w:type="dxa"/>
            <w:noWrap w:val="0"/>
            <w:vAlign w:val="center"/>
          </w:tcPr>
          <w:p w14:paraId="53AF7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277</w:t>
            </w:r>
          </w:p>
        </w:tc>
        <w:tc>
          <w:tcPr>
            <w:tcW w:w="1913" w:type="dxa"/>
            <w:noWrap w:val="0"/>
            <w:vAlign w:val="center"/>
          </w:tcPr>
          <w:p w14:paraId="1BC02B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282245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692B82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restart"/>
            <w:noWrap w:val="0"/>
            <w:vAlign w:val="center"/>
          </w:tcPr>
          <w:p w14:paraId="350884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18过水路面-19</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                （K17+311-K18+225）</w:t>
            </w:r>
          </w:p>
        </w:tc>
        <w:tc>
          <w:tcPr>
            <w:tcW w:w="787" w:type="dxa"/>
            <w:noWrap/>
            <w:vAlign w:val="center"/>
          </w:tcPr>
          <w:p w14:paraId="53FED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165A52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17+311</w:t>
            </w:r>
          </w:p>
        </w:tc>
        <w:tc>
          <w:tcPr>
            <w:tcW w:w="1363" w:type="dxa"/>
            <w:noWrap/>
            <w:vAlign w:val="center"/>
          </w:tcPr>
          <w:p w14:paraId="6D64CF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17+550</w:t>
            </w:r>
          </w:p>
        </w:tc>
        <w:tc>
          <w:tcPr>
            <w:tcW w:w="1350" w:type="dxa"/>
            <w:noWrap w:val="0"/>
            <w:vAlign w:val="center"/>
          </w:tcPr>
          <w:p w14:paraId="42E3AE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239</w:t>
            </w:r>
          </w:p>
        </w:tc>
        <w:tc>
          <w:tcPr>
            <w:tcW w:w="825" w:type="dxa"/>
            <w:noWrap w:val="0"/>
            <w:vAlign w:val="center"/>
          </w:tcPr>
          <w:p w14:paraId="0A006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281</w:t>
            </w:r>
          </w:p>
        </w:tc>
        <w:tc>
          <w:tcPr>
            <w:tcW w:w="737" w:type="dxa"/>
            <w:noWrap w:val="0"/>
            <w:vAlign w:val="center"/>
          </w:tcPr>
          <w:p w14:paraId="1AA41B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7526D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3E70E7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0EF696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4622EC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264C2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31A435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17+550</w:t>
            </w:r>
          </w:p>
        </w:tc>
        <w:tc>
          <w:tcPr>
            <w:tcW w:w="1363" w:type="dxa"/>
            <w:noWrap/>
            <w:vAlign w:val="center"/>
          </w:tcPr>
          <w:p w14:paraId="23F2B2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17+850</w:t>
            </w:r>
          </w:p>
        </w:tc>
        <w:tc>
          <w:tcPr>
            <w:tcW w:w="1350" w:type="dxa"/>
            <w:noWrap w:val="0"/>
            <w:vAlign w:val="center"/>
          </w:tcPr>
          <w:p w14:paraId="29580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300</w:t>
            </w:r>
          </w:p>
        </w:tc>
        <w:tc>
          <w:tcPr>
            <w:tcW w:w="825" w:type="dxa"/>
            <w:noWrap w:val="0"/>
            <w:vAlign w:val="center"/>
          </w:tcPr>
          <w:p w14:paraId="0FDAC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244</w:t>
            </w:r>
          </w:p>
        </w:tc>
        <w:tc>
          <w:tcPr>
            <w:tcW w:w="737" w:type="dxa"/>
            <w:noWrap w:val="0"/>
            <w:vAlign w:val="center"/>
          </w:tcPr>
          <w:p w14:paraId="3CE891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53E54B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522BD0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2B0C70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3DF918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6C35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0A87B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17+850</w:t>
            </w:r>
          </w:p>
        </w:tc>
        <w:tc>
          <w:tcPr>
            <w:tcW w:w="1363" w:type="dxa"/>
            <w:noWrap/>
            <w:vAlign w:val="center"/>
          </w:tcPr>
          <w:p w14:paraId="47FC9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18+225</w:t>
            </w:r>
          </w:p>
        </w:tc>
        <w:tc>
          <w:tcPr>
            <w:tcW w:w="1350" w:type="dxa"/>
            <w:noWrap w:val="0"/>
            <w:vAlign w:val="center"/>
          </w:tcPr>
          <w:p w14:paraId="1AA49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375</w:t>
            </w:r>
          </w:p>
        </w:tc>
        <w:tc>
          <w:tcPr>
            <w:tcW w:w="825" w:type="dxa"/>
            <w:noWrap w:val="0"/>
            <w:vAlign w:val="center"/>
          </w:tcPr>
          <w:p w14:paraId="5010E6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406</w:t>
            </w:r>
          </w:p>
        </w:tc>
        <w:tc>
          <w:tcPr>
            <w:tcW w:w="737" w:type="dxa"/>
            <w:noWrap w:val="0"/>
            <w:vAlign w:val="center"/>
          </w:tcPr>
          <w:p w14:paraId="171C1B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134EDA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6AE843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47A80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1BA5FC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D1D2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w:t>
            </w:r>
          </w:p>
        </w:tc>
        <w:tc>
          <w:tcPr>
            <w:tcW w:w="1150" w:type="dxa"/>
            <w:noWrap/>
            <w:vAlign w:val="center"/>
          </w:tcPr>
          <w:p w14:paraId="18890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17+311</w:t>
            </w:r>
          </w:p>
        </w:tc>
        <w:tc>
          <w:tcPr>
            <w:tcW w:w="1363" w:type="dxa"/>
            <w:noWrap/>
            <w:vAlign w:val="center"/>
          </w:tcPr>
          <w:p w14:paraId="7EE344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17+700</w:t>
            </w:r>
          </w:p>
        </w:tc>
        <w:tc>
          <w:tcPr>
            <w:tcW w:w="1350" w:type="dxa"/>
            <w:noWrap w:val="0"/>
            <w:vAlign w:val="center"/>
          </w:tcPr>
          <w:p w14:paraId="44E58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389</w:t>
            </w:r>
          </w:p>
        </w:tc>
        <w:tc>
          <w:tcPr>
            <w:tcW w:w="825" w:type="dxa"/>
            <w:noWrap w:val="0"/>
            <w:vAlign w:val="center"/>
          </w:tcPr>
          <w:p w14:paraId="3DE648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6FF2E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330</w:t>
            </w:r>
          </w:p>
        </w:tc>
        <w:tc>
          <w:tcPr>
            <w:tcW w:w="1913" w:type="dxa"/>
            <w:noWrap/>
            <w:vAlign w:val="center"/>
          </w:tcPr>
          <w:p w14:paraId="566592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3CD28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5A58C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69A1E3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64FDD8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w:t>
            </w:r>
          </w:p>
        </w:tc>
        <w:tc>
          <w:tcPr>
            <w:tcW w:w="1150" w:type="dxa"/>
            <w:noWrap/>
            <w:vAlign w:val="center"/>
          </w:tcPr>
          <w:p w14:paraId="24C56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17+700</w:t>
            </w:r>
          </w:p>
        </w:tc>
        <w:tc>
          <w:tcPr>
            <w:tcW w:w="1363" w:type="dxa"/>
            <w:noWrap/>
            <w:vAlign w:val="center"/>
          </w:tcPr>
          <w:p w14:paraId="241423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17+800</w:t>
            </w:r>
          </w:p>
        </w:tc>
        <w:tc>
          <w:tcPr>
            <w:tcW w:w="1350" w:type="dxa"/>
            <w:noWrap w:val="0"/>
            <w:vAlign w:val="center"/>
          </w:tcPr>
          <w:p w14:paraId="591CAA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100</w:t>
            </w:r>
          </w:p>
        </w:tc>
        <w:tc>
          <w:tcPr>
            <w:tcW w:w="825" w:type="dxa"/>
            <w:noWrap w:val="0"/>
            <w:vAlign w:val="center"/>
          </w:tcPr>
          <w:p w14:paraId="729474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010EDF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181</w:t>
            </w:r>
          </w:p>
        </w:tc>
        <w:tc>
          <w:tcPr>
            <w:tcW w:w="1913" w:type="dxa"/>
            <w:noWrap/>
            <w:vAlign w:val="center"/>
          </w:tcPr>
          <w:p w14:paraId="242351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36C8F7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03117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7FDB54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7113E8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w:t>
            </w:r>
          </w:p>
        </w:tc>
        <w:tc>
          <w:tcPr>
            <w:tcW w:w="1150" w:type="dxa"/>
            <w:noWrap/>
            <w:vAlign w:val="center"/>
          </w:tcPr>
          <w:p w14:paraId="790E14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17+800</w:t>
            </w:r>
          </w:p>
        </w:tc>
        <w:tc>
          <w:tcPr>
            <w:tcW w:w="1363" w:type="dxa"/>
            <w:noWrap/>
            <w:vAlign w:val="center"/>
          </w:tcPr>
          <w:p w14:paraId="23BA4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18+190</w:t>
            </w:r>
          </w:p>
        </w:tc>
        <w:tc>
          <w:tcPr>
            <w:tcW w:w="1350" w:type="dxa"/>
            <w:noWrap w:val="0"/>
            <w:vAlign w:val="center"/>
          </w:tcPr>
          <w:p w14:paraId="6E9013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390</w:t>
            </w:r>
          </w:p>
        </w:tc>
        <w:tc>
          <w:tcPr>
            <w:tcW w:w="825" w:type="dxa"/>
            <w:noWrap w:val="0"/>
            <w:vAlign w:val="center"/>
          </w:tcPr>
          <w:p w14:paraId="13BE56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7E473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290</w:t>
            </w:r>
          </w:p>
        </w:tc>
        <w:tc>
          <w:tcPr>
            <w:tcW w:w="1913" w:type="dxa"/>
            <w:noWrap/>
            <w:vAlign w:val="center"/>
          </w:tcPr>
          <w:p w14:paraId="33B58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146A24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坡式-生态护岸</w:t>
            </w:r>
          </w:p>
        </w:tc>
      </w:tr>
      <w:tr w14:paraId="025C7C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5EDCF8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30E791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w:t>
            </w:r>
          </w:p>
        </w:tc>
        <w:tc>
          <w:tcPr>
            <w:tcW w:w="1150" w:type="dxa"/>
            <w:noWrap/>
            <w:vAlign w:val="center"/>
          </w:tcPr>
          <w:p w14:paraId="57AA3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18+190</w:t>
            </w:r>
          </w:p>
        </w:tc>
        <w:tc>
          <w:tcPr>
            <w:tcW w:w="1363" w:type="dxa"/>
            <w:noWrap/>
            <w:vAlign w:val="center"/>
          </w:tcPr>
          <w:p w14:paraId="61C9C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18+225</w:t>
            </w:r>
          </w:p>
        </w:tc>
        <w:tc>
          <w:tcPr>
            <w:tcW w:w="1350" w:type="dxa"/>
            <w:noWrap w:val="0"/>
            <w:vAlign w:val="center"/>
          </w:tcPr>
          <w:p w14:paraId="6F6AA0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35</w:t>
            </w:r>
          </w:p>
        </w:tc>
        <w:tc>
          <w:tcPr>
            <w:tcW w:w="825" w:type="dxa"/>
            <w:noWrap w:val="0"/>
            <w:vAlign w:val="center"/>
          </w:tcPr>
          <w:p w14:paraId="7DEA79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37" w:type="dxa"/>
            <w:noWrap w:val="0"/>
            <w:vAlign w:val="center"/>
          </w:tcPr>
          <w:p w14:paraId="21EA4A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35</w:t>
            </w:r>
          </w:p>
        </w:tc>
        <w:tc>
          <w:tcPr>
            <w:tcW w:w="1913" w:type="dxa"/>
            <w:noWrap/>
            <w:vAlign w:val="center"/>
          </w:tcPr>
          <w:p w14:paraId="11116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51E573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坡式-格宾砌护</w:t>
            </w:r>
          </w:p>
        </w:tc>
      </w:tr>
      <w:tr w14:paraId="7F83EB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385549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752D4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6D76C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931</w:t>
            </w:r>
          </w:p>
        </w:tc>
        <w:tc>
          <w:tcPr>
            <w:tcW w:w="737" w:type="dxa"/>
            <w:noWrap w:val="0"/>
            <w:vAlign w:val="center"/>
          </w:tcPr>
          <w:p w14:paraId="4B4BF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836</w:t>
            </w:r>
          </w:p>
        </w:tc>
        <w:tc>
          <w:tcPr>
            <w:tcW w:w="1913" w:type="dxa"/>
            <w:noWrap w:val="0"/>
            <w:vAlign w:val="center"/>
          </w:tcPr>
          <w:p w14:paraId="0488B3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406F8E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0AC25B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restart"/>
            <w:noWrap w:val="0"/>
            <w:vAlign w:val="center"/>
          </w:tcPr>
          <w:p w14:paraId="1DEAE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kern w:val="0"/>
                <w:sz w:val="18"/>
                <w:szCs w:val="18"/>
                <w:highlight w:val="none"/>
                <w:lang w:bidi="ar"/>
              </w:rPr>
              <w:t>19</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过水路面</w:t>
            </w:r>
            <w:r>
              <w:rPr>
                <w:rFonts w:hint="eastAsia" w:cs="Times New Roman"/>
                <w:color w:val="auto"/>
                <w:kern w:val="0"/>
                <w:sz w:val="18"/>
                <w:szCs w:val="18"/>
                <w:highlight w:val="none"/>
                <w:lang w:eastAsia="zh-CN" w:bidi="ar"/>
              </w:rPr>
              <w:t>－</w:t>
            </w:r>
            <w:r>
              <w:rPr>
                <w:rFonts w:hint="default" w:ascii="Times New Roman" w:hAnsi="Times New Roman" w:cs="Times New Roman"/>
                <w:color w:val="auto"/>
                <w:kern w:val="0"/>
                <w:sz w:val="18"/>
                <w:szCs w:val="18"/>
                <w:highlight w:val="none"/>
                <w:lang w:bidi="ar"/>
              </w:rPr>
              <w:t>川口河末端（18+225-20+538</w:t>
            </w:r>
            <w:r>
              <w:rPr>
                <w:rFonts w:hint="eastAsia" w:cs="Times New Roman"/>
                <w:color w:val="auto"/>
                <w:kern w:val="0"/>
                <w:sz w:val="18"/>
                <w:szCs w:val="18"/>
                <w:highlight w:val="none"/>
                <w:lang w:eastAsia="zh-CN" w:bidi="ar"/>
              </w:rPr>
              <w:t>）</w:t>
            </w:r>
          </w:p>
        </w:tc>
        <w:tc>
          <w:tcPr>
            <w:tcW w:w="787" w:type="dxa"/>
            <w:noWrap/>
            <w:vAlign w:val="center"/>
          </w:tcPr>
          <w:p w14:paraId="4A79DF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p>
        </w:tc>
        <w:tc>
          <w:tcPr>
            <w:tcW w:w="1150" w:type="dxa"/>
            <w:noWrap/>
            <w:vAlign w:val="center"/>
          </w:tcPr>
          <w:p w14:paraId="00E416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19+180</w:t>
            </w:r>
          </w:p>
        </w:tc>
        <w:tc>
          <w:tcPr>
            <w:tcW w:w="1363" w:type="dxa"/>
            <w:noWrap/>
            <w:vAlign w:val="center"/>
          </w:tcPr>
          <w:p w14:paraId="594DF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19+275</w:t>
            </w:r>
          </w:p>
        </w:tc>
        <w:tc>
          <w:tcPr>
            <w:tcW w:w="1350" w:type="dxa"/>
            <w:noWrap w:val="0"/>
            <w:vAlign w:val="center"/>
          </w:tcPr>
          <w:p w14:paraId="2AC52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95</w:t>
            </w:r>
          </w:p>
        </w:tc>
        <w:tc>
          <w:tcPr>
            <w:tcW w:w="825" w:type="dxa"/>
            <w:noWrap w:val="0"/>
            <w:vAlign w:val="center"/>
          </w:tcPr>
          <w:p w14:paraId="6B486F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94</w:t>
            </w:r>
          </w:p>
        </w:tc>
        <w:tc>
          <w:tcPr>
            <w:tcW w:w="737" w:type="dxa"/>
            <w:noWrap w:val="0"/>
            <w:vAlign w:val="center"/>
          </w:tcPr>
          <w:p w14:paraId="62CD0A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431D3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2C8905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岸坡修复坡式-生态护岸</w:t>
            </w:r>
          </w:p>
        </w:tc>
      </w:tr>
      <w:tr w14:paraId="4D86D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60C7E3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30D00A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c>
          <w:tcPr>
            <w:tcW w:w="1150" w:type="dxa"/>
            <w:noWrap/>
            <w:vAlign w:val="center"/>
          </w:tcPr>
          <w:p w14:paraId="13EF79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19+440</w:t>
            </w:r>
          </w:p>
        </w:tc>
        <w:tc>
          <w:tcPr>
            <w:tcW w:w="1363" w:type="dxa"/>
            <w:noWrap/>
            <w:vAlign w:val="center"/>
          </w:tcPr>
          <w:p w14:paraId="3C51B9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19+815</w:t>
            </w:r>
          </w:p>
        </w:tc>
        <w:tc>
          <w:tcPr>
            <w:tcW w:w="1350" w:type="dxa"/>
            <w:noWrap w:val="0"/>
            <w:vAlign w:val="center"/>
          </w:tcPr>
          <w:p w14:paraId="4AD8F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375</w:t>
            </w:r>
          </w:p>
        </w:tc>
        <w:tc>
          <w:tcPr>
            <w:tcW w:w="825" w:type="dxa"/>
            <w:noWrap w:val="0"/>
            <w:vAlign w:val="center"/>
          </w:tcPr>
          <w:p w14:paraId="692253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367</w:t>
            </w:r>
          </w:p>
        </w:tc>
        <w:tc>
          <w:tcPr>
            <w:tcW w:w="737" w:type="dxa"/>
            <w:noWrap w:val="0"/>
            <w:vAlign w:val="center"/>
          </w:tcPr>
          <w:p w14:paraId="105B3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7FD92F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农田、居民点</w:t>
            </w:r>
          </w:p>
        </w:tc>
        <w:tc>
          <w:tcPr>
            <w:tcW w:w="3427" w:type="dxa"/>
            <w:noWrap/>
            <w:vAlign w:val="center"/>
          </w:tcPr>
          <w:p w14:paraId="19EBCF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岸坡修复坡式-生态护岸</w:t>
            </w:r>
          </w:p>
        </w:tc>
      </w:tr>
      <w:tr w14:paraId="0DA0F2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6D01FF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787" w:type="dxa"/>
            <w:noWrap/>
            <w:vAlign w:val="center"/>
          </w:tcPr>
          <w:p w14:paraId="1663A9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p>
        </w:tc>
        <w:tc>
          <w:tcPr>
            <w:tcW w:w="1150" w:type="dxa"/>
            <w:noWrap/>
            <w:vAlign w:val="center"/>
          </w:tcPr>
          <w:p w14:paraId="5FA33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20+185</w:t>
            </w:r>
          </w:p>
        </w:tc>
        <w:tc>
          <w:tcPr>
            <w:tcW w:w="1363" w:type="dxa"/>
            <w:noWrap/>
            <w:vAlign w:val="center"/>
          </w:tcPr>
          <w:p w14:paraId="44702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20+538</w:t>
            </w:r>
          </w:p>
        </w:tc>
        <w:tc>
          <w:tcPr>
            <w:tcW w:w="1350" w:type="dxa"/>
            <w:noWrap w:val="0"/>
            <w:vAlign w:val="center"/>
          </w:tcPr>
          <w:p w14:paraId="219E4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353</w:t>
            </w:r>
          </w:p>
        </w:tc>
        <w:tc>
          <w:tcPr>
            <w:tcW w:w="825" w:type="dxa"/>
            <w:noWrap w:val="0"/>
            <w:vAlign w:val="center"/>
          </w:tcPr>
          <w:p w14:paraId="50FCAC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383</w:t>
            </w:r>
          </w:p>
        </w:tc>
        <w:tc>
          <w:tcPr>
            <w:tcW w:w="737" w:type="dxa"/>
            <w:noWrap w:val="0"/>
            <w:vAlign w:val="center"/>
          </w:tcPr>
          <w:p w14:paraId="672D8E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1913" w:type="dxa"/>
            <w:noWrap/>
            <w:vAlign w:val="center"/>
          </w:tcPr>
          <w:p w14:paraId="1FCFE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农田</w:t>
            </w:r>
          </w:p>
        </w:tc>
        <w:tc>
          <w:tcPr>
            <w:tcW w:w="3427" w:type="dxa"/>
            <w:noWrap/>
            <w:vAlign w:val="center"/>
          </w:tcPr>
          <w:p w14:paraId="179F15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岸坡修复坡式-生态护岸</w:t>
            </w:r>
          </w:p>
        </w:tc>
      </w:tr>
      <w:tr w14:paraId="7EA98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5" w:type="dxa"/>
            <w:vMerge w:val="continue"/>
            <w:noWrap w:val="0"/>
            <w:vAlign w:val="center"/>
          </w:tcPr>
          <w:p w14:paraId="7D35CE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4650" w:type="dxa"/>
            <w:gridSpan w:val="4"/>
            <w:noWrap/>
            <w:vAlign w:val="center"/>
          </w:tcPr>
          <w:p w14:paraId="75E08E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小计</w:t>
            </w:r>
          </w:p>
        </w:tc>
        <w:tc>
          <w:tcPr>
            <w:tcW w:w="825" w:type="dxa"/>
            <w:noWrap w:val="0"/>
            <w:vAlign w:val="center"/>
          </w:tcPr>
          <w:p w14:paraId="2D79BD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844</w:t>
            </w:r>
          </w:p>
        </w:tc>
        <w:tc>
          <w:tcPr>
            <w:tcW w:w="737" w:type="dxa"/>
            <w:noWrap w:val="0"/>
            <w:vAlign w:val="center"/>
          </w:tcPr>
          <w:p w14:paraId="5250B0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1913" w:type="dxa"/>
            <w:noWrap w:val="0"/>
            <w:vAlign w:val="center"/>
          </w:tcPr>
          <w:p w14:paraId="38A3A3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olor w:val="auto"/>
                <w:sz w:val="18"/>
                <w:szCs w:val="18"/>
                <w:highlight w:val="none"/>
              </w:rPr>
            </w:pPr>
          </w:p>
        </w:tc>
        <w:tc>
          <w:tcPr>
            <w:tcW w:w="3427" w:type="dxa"/>
            <w:noWrap/>
            <w:vAlign w:val="center"/>
          </w:tcPr>
          <w:p w14:paraId="06A984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r w14:paraId="5CAC54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545" w:type="dxa"/>
            <w:gridSpan w:val="4"/>
            <w:noWrap/>
            <w:vAlign w:val="center"/>
          </w:tcPr>
          <w:p w14:paraId="3FD1C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合计</w:t>
            </w:r>
          </w:p>
        </w:tc>
        <w:tc>
          <w:tcPr>
            <w:tcW w:w="1350" w:type="dxa"/>
            <w:noWrap/>
            <w:vAlign w:val="center"/>
          </w:tcPr>
          <w:p w14:paraId="1C0D0E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825" w:type="dxa"/>
            <w:noWrap/>
            <w:vAlign w:val="center"/>
          </w:tcPr>
          <w:p w14:paraId="48884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4772</w:t>
            </w:r>
          </w:p>
        </w:tc>
        <w:tc>
          <w:tcPr>
            <w:tcW w:w="737" w:type="dxa"/>
            <w:noWrap/>
            <w:vAlign w:val="center"/>
          </w:tcPr>
          <w:p w14:paraId="762BB0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6988</w:t>
            </w:r>
          </w:p>
        </w:tc>
        <w:tc>
          <w:tcPr>
            <w:tcW w:w="1913" w:type="dxa"/>
            <w:noWrap/>
            <w:vAlign w:val="center"/>
          </w:tcPr>
          <w:p w14:paraId="242B24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c>
          <w:tcPr>
            <w:tcW w:w="3427" w:type="dxa"/>
            <w:noWrap/>
            <w:vAlign w:val="center"/>
          </w:tcPr>
          <w:p w14:paraId="5614E2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highlight w:val="none"/>
              </w:rPr>
            </w:pPr>
          </w:p>
        </w:tc>
      </w:tr>
    </w:tbl>
    <w:p w14:paraId="717A9C3E">
      <w:pPr>
        <w:jc w:val="both"/>
        <w:rPr>
          <w:rFonts w:hint="default" w:ascii="Times New Roman" w:hAnsi="Times New Roman" w:cs="Times New Roman"/>
          <w:color w:val="auto"/>
          <w:sz w:val="24"/>
          <w:szCs w:val="24"/>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B5AC7C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2.</w:t>
      </w:r>
      <w:r>
        <w:rPr>
          <w:rFonts w:hint="default" w:ascii="Times New Roman" w:hAnsi="Times New Roman" w:cs="Times New Roman"/>
          <w:b/>
          <w:bCs/>
          <w:color w:val="auto"/>
          <w:sz w:val="24"/>
          <w:highlight w:val="none"/>
        </w:rPr>
        <w:t>小河河道段</w:t>
      </w:r>
    </w:p>
    <w:p w14:paraId="42201A62">
      <w:pPr>
        <w:pStyle w:val="26"/>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河道治理</w:t>
      </w:r>
    </w:p>
    <w:p w14:paraId="7CE22F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①</w:t>
      </w:r>
      <w:r>
        <w:rPr>
          <w:rFonts w:hint="default" w:ascii="Times New Roman" w:hAnsi="Times New Roman" w:cs="Times New Roman"/>
          <w:color w:val="auto"/>
          <w:sz w:val="24"/>
          <w:highlight w:val="none"/>
        </w:rPr>
        <w:t>护岸工程：小河河道治理段落位于石家峡水库库区内，石家峡水库正常蓄水位为1509.67m。2022年在《宁夏固原市彭阳县小河流域石家峡水库工程》中库区内进行治理，砌护长0.384km，其中左岸0.29km，右岸0.094km。砌护形式及高度沿用已砌护的形式及高度。砌护</w:t>
      </w:r>
      <w:r>
        <w:rPr>
          <w:rFonts w:hint="default" w:ascii="Times New Roman" w:hAnsi="Times New Roman" w:cs="Times New Roman"/>
          <w:color w:val="auto"/>
          <w:sz w:val="24"/>
          <w:highlight w:val="none"/>
          <w:lang w:val="en-US" w:eastAsia="zh-CN"/>
        </w:rPr>
        <w:t>顶高程</w:t>
      </w:r>
      <w:r>
        <w:rPr>
          <w:rFonts w:hint="default" w:ascii="Times New Roman" w:hAnsi="Times New Roman" w:cs="Times New Roman"/>
          <w:color w:val="auto"/>
          <w:sz w:val="24"/>
          <w:highlight w:val="none"/>
        </w:rPr>
        <w:t>1511.0m，采用格宾坡式护岸形式。本次护岸总长1.00km，其中左岸0.42km，右岸0.58km。</w:t>
      </w:r>
    </w:p>
    <w:p w14:paraId="551AD3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②</w:t>
      </w:r>
      <w:r>
        <w:rPr>
          <w:rFonts w:hint="default" w:ascii="Times New Roman" w:hAnsi="Times New Roman" w:cs="Times New Roman"/>
          <w:color w:val="auto"/>
          <w:sz w:val="24"/>
          <w:highlight w:val="none"/>
        </w:rPr>
        <w:t>巡检道路工程：新建小河巡检道路1.57km，路面宽4.5m（包含两侧路肩，各0.5m），路面铺设砂砾石，厚0.15m。</w:t>
      </w:r>
    </w:p>
    <w:p w14:paraId="677F6F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③</w:t>
      </w:r>
      <w:r>
        <w:rPr>
          <w:rFonts w:hint="default" w:ascii="Times New Roman" w:hAnsi="Times New Roman" w:cs="Times New Roman"/>
          <w:color w:val="auto"/>
          <w:sz w:val="24"/>
          <w:highlight w:val="none"/>
        </w:rPr>
        <w:t>附属建筑物工程：翻建过水路面1座。</w:t>
      </w:r>
    </w:p>
    <w:p w14:paraId="72939265">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 xml:space="preserve"> 小河段河道砌护统计表</w:t>
      </w:r>
    </w:p>
    <w:tbl>
      <w:tblPr>
        <w:tblStyle w:val="31"/>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86"/>
        <w:gridCol w:w="392"/>
        <w:gridCol w:w="1125"/>
        <w:gridCol w:w="1131"/>
        <w:gridCol w:w="967"/>
        <w:gridCol w:w="844"/>
        <w:gridCol w:w="1177"/>
        <w:gridCol w:w="1398"/>
      </w:tblGrid>
      <w:tr w14:paraId="573A19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966" w:type="pct"/>
            <w:vMerge w:val="restart"/>
            <w:noWrap/>
            <w:vAlign w:val="center"/>
          </w:tcPr>
          <w:p w14:paraId="21372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治理区间</w:t>
            </w:r>
          </w:p>
        </w:tc>
        <w:tc>
          <w:tcPr>
            <w:tcW w:w="224" w:type="pct"/>
            <w:vMerge w:val="restart"/>
            <w:noWrap w:val="0"/>
            <w:vAlign w:val="center"/>
          </w:tcPr>
          <w:p w14:paraId="7B1AD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序号</w:t>
            </w:r>
          </w:p>
        </w:tc>
        <w:tc>
          <w:tcPr>
            <w:tcW w:w="645" w:type="pct"/>
            <w:vMerge w:val="restart"/>
            <w:noWrap w:val="0"/>
            <w:vAlign w:val="center"/>
          </w:tcPr>
          <w:p w14:paraId="6A61A9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起点桩号（km+m）</w:t>
            </w:r>
          </w:p>
        </w:tc>
        <w:tc>
          <w:tcPr>
            <w:tcW w:w="648" w:type="pct"/>
            <w:vMerge w:val="restart"/>
            <w:noWrap w:val="0"/>
            <w:vAlign w:val="center"/>
          </w:tcPr>
          <w:p w14:paraId="2CA43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终点桩号（km+m）</w:t>
            </w:r>
          </w:p>
        </w:tc>
        <w:tc>
          <w:tcPr>
            <w:tcW w:w="554" w:type="pct"/>
            <w:vMerge w:val="restart"/>
            <w:noWrap w:val="0"/>
            <w:vAlign w:val="center"/>
          </w:tcPr>
          <w:p w14:paraId="14EF5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河道中心长度（m）</w:t>
            </w:r>
          </w:p>
        </w:tc>
        <w:tc>
          <w:tcPr>
            <w:tcW w:w="484" w:type="pct"/>
            <w:vMerge w:val="restart"/>
            <w:noWrap/>
            <w:vAlign w:val="center"/>
          </w:tcPr>
          <w:p w14:paraId="59398A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砌护长度（m</w:t>
            </w:r>
            <w:r>
              <w:rPr>
                <w:rFonts w:hint="eastAsia" w:cs="Times New Roman"/>
                <w:b/>
                <w:bCs/>
                <w:color w:val="auto"/>
                <w:kern w:val="0"/>
                <w:sz w:val="18"/>
                <w:szCs w:val="18"/>
                <w:highlight w:val="none"/>
                <w:lang w:eastAsia="zh-CN" w:bidi="ar"/>
              </w:rPr>
              <w:t>）</w:t>
            </w:r>
          </w:p>
        </w:tc>
        <w:tc>
          <w:tcPr>
            <w:tcW w:w="674" w:type="pct"/>
            <w:vMerge w:val="restart"/>
            <w:noWrap w:val="0"/>
            <w:vAlign w:val="center"/>
          </w:tcPr>
          <w:p w14:paraId="46160D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保护对象</w:t>
            </w:r>
          </w:p>
        </w:tc>
        <w:tc>
          <w:tcPr>
            <w:tcW w:w="801" w:type="pct"/>
            <w:vMerge w:val="restart"/>
            <w:noWrap w:val="0"/>
            <w:vAlign w:val="center"/>
          </w:tcPr>
          <w:p w14:paraId="1E4989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color w:val="auto"/>
                <w:kern w:val="0"/>
                <w:sz w:val="18"/>
                <w:szCs w:val="18"/>
                <w:highlight w:val="none"/>
                <w:lang w:bidi="ar"/>
              </w:rPr>
              <w:t>治理措施</w:t>
            </w:r>
          </w:p>
        </w:tc>
      </w:tr>
      <w:tr w14:paraId="0A36AD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trPr>
        <w:tc>
          <w:tcPr>
            <w:tcW w:w="966" w:type="pct"/>
            <w:vMerge w:val="continue"/>
            <w:noWrap/>
            <w:vAlign w:val="center"/>
          </w:tcPr>
          <w:p w14:paraId="15B396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224" w:type="pct"/>
            <w:vMerge w:val="continue"/>
            <w:noWrap w:val="0"/>
            <w:vAlign w:val="center"/>
          </w:tcPr>
          <w:p w14:paraId="1DEA12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645" w:type="pct"/>
            <w:vMerge w:val="continue"/>
            <w:noWrap w:val="0"/>
            <w:vAlign w:val="center"/>
          </w:tcPr>
          <w:p w14:paraId="398CE2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648" w:type="pct"/>
            <w:vMerge w:val="continue"/>
            <w:noWrap w:val="0"/>
            <w:vAlign w:val="center"/>
          </w:tcPr>
          <w:p w14:paraId="01601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554" w:type="pct"/>
            <w:vMerge w:val="continue"/>
            <w:noWrap w:val="0"/>
            <w:vAlign w:val="center"/>
          </w:tcPr>
          <w:p w14:paraId="26F56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484" w:type="pct"/>
            <w:vMerge w:val="continue"/>
            <w:noWrap/>
            <w:vAlign w:val="center"/>
          </w:tcPr>
          <w:p w14:paraId="30563C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674" w:type="pct"/>
            <w:vMerge w:val="continue"/>
            <w:noWrap w:val="0"/>
            <w:vAlign w:val="center"/>
          </w:tcPr>
          <w:p w14:paraId="782A49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801" w:type="pct"/>
            <w:vMerge w:val="continue"/>
            <w:noWrap w:val="0"/>
            <w:vAlign w:val="center"/>
          </w:tcPr>
          <w:p w14:paraId="4530C9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r>
      <w:tr w14:paraId="2515E2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966" w:type="pct"/>
            <w:noWrap w:val="0"/>
            <w:vAlign w:val="center"/>
          </w:tcPr>
          <w:p w14:paraId="39F95E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左岸第二段护岸（0+000-0+540）</w:t>
            </w:r>
          </w:p>
        </w:tc>
        <w:tc>
          <w:tcPr>
            <w:tcW w:w="224" w:type="pct"/>
            <w:noWrap/>
            <w:vAlign w:val="center"/>
          </w:tcPr>
          <w:p w14:paraId="4CD78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645" w:type="pct"/>
            <w:noWrap/>
            <w:vAlign w:val="center"/>
          </w:tcPr>
          <w:p w14:paraId="45852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0+120</w:t>
            </w:r>
          </w:p>
        </w:tc>
        <w:tc>
          <w:tcPr>
            <w:tcW w:w="648" w:type="pct"/>
            <w:noWrap/>
            <w:vAlign w:val="center"/>
          </w:tcPr>
          <w:p w14:paraId="362141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0+540</w:t>
            </w:r>
          </w:p>
        </w:tc>
        <w:tc>
          <w:tcPr>
            <w:tcW w:w="554" w:type="pct"/>
            <w:noWrap w:val="0"/>
            <w:vAlign w:val="center"/>
          </w:tcPr>
          <w:p w14:paraId="6B531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420</w:t>
            </w:r>
          </w:p>
        </w:tc>
        <w:tc>
          <w:tcPr>
            <w:tcW w:w="484" w:type="pct"/>
            <w:noWrap w:val="0"/>
            <w:vAlign w:val="center"/>
          </w:tcPr>
          <w:p w14:paraId="5FD942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420</w:t>
            </w:r>
          </w:p>
        </w:tc>
        <w:tc>
          <w:tcPr>
            <w:tcW w:w="674" w:type="pct"/>
            <w:noWrap/>
            <w:vAlign w:val="center"/>
          </w:tcPr>
          <w:p w14:paraId="70A008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农户房屋</w:t>
            </w:r>
          </w:p>
        </w:tc>
        <w:tc>
          <w:tcPr>
            <w:tcW w:w="801" w:type="pct"/>
            <w:noWrap/>
            <w:vAlign w:val="center"/>
          </w:tcPr>
          <w:p w14:paraId="39BED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坡式-格宾砌护</w:t>
            </w:r>
          </w:p>
        </w:tc>
      </w:tr>
      <w:tr w14:paraId="70E1F7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966" w:type="pct"/>
            <w:noWrap w:val="0"/>
            <w:vAlign w:val="center"/>
          </w:tcPr>
          <w:p w14:paraId="4EF9C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1518" w:type="pct"/>
            <w:gridSpan w:val="3"/>
            <w:noWrap/>
            <w:vAlign w:val="center"/>
          </w:tcPr>
          <w:p w14:paraId="356625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小计</w:t>
            </w:r>
          </w:p>
        </w:tc>
        <w:tc>
          <w:tcPr>
            <w:tcW w:w="554" w:type="pct"/>
            <w:noWrap w:val="0"/>
            <w:vAlign w:val="center"/>
          </w:tcPr>
          <w:p w14:paraId="5302B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420</w:t>
            </w:r>
          </w:p>
        </w:tc>
        <w:tc>
          <w:tcPr>
            <w:tcW w:w="484" w:type="pct"/>
            <w:noWrap w:val="0"/>
            <w:vAlign w:val="center"/>
          </w:tcPr>
          <w:p w14:paraId="460DE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420</w:t>
            </w:r>
          </w:p>
        </w:tc>
        <w:tc>
          <w:tcPr>
            <w:tcW w:w="674" w:type="pct"/>
            <w:noWrap w:val="0"/>
            <w:vAlign w:val="center"/>
          </w:tcPr>
          <w:p w14:paraId="62C765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801" w:type="pct"/>
            <w:noWrap/>
            <w:vAlign w:val="center"/>
          </w:tcPr>
          <w:p w14:paraId="58FFE7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r>
      <w:tr w14:paraId="082EE7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966" w:type="pct"/>
            <w:vMerge w:val="restart"/>
            <w:noWrap w:val="0"/>
            <w:vAlign w:val="center"/>
          </w:tcPr>
          <w:p w14:paraId="1FFEFA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右岸护岸</w:t>
            </w:r>
          </w:p>
          <w:p w14:paraId="3EADD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eastAsia"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0+000-0+998</w:t>
            </w:r>
            <w:r>
              <w:rPr>
                <w:rFonts w:hint="eastAsia" w:cs="Times New Roman"/>
                <w:color w:val="auto"/>
                <w:kern w:val="0"/>
                <w:sz w:val="18"/>
                <w:szCs w:val="18"/>
                <w:highlight w:val="none"/>
                <w:lang w:eastAsia="zh-CN" w:bidi="ar"/>
              </w:rPr>
              <w:t>)</w:t>
            </w:r>
          </w:p>
        </w:tc>
        <w:tc>
          <w:tcPr>
            <w:tcW w:w="224" w:type="pct"/>
            <w:noWrap/>
            <w:vAlign w:val="center"/>
          </w:tcPr>
          <w:p w14:paraId="148A5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645" w:type="pct"/>
            <w:noWrap/>
            <w:vAlign w:val="center"/>
          </w:tcPr>
          <w:p w14:paraId="48C677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0+000</w:t>
            </w:r>
          </w:p>
        </w:tc>
        <w:tc>
          <w:tcPr>
            <w:tcW w:w="648" w:type="pct"/>
            <w:noWrap/>
            <w:vAlign w:val="center"/>
          </w:tcPr>
          <w:p w14:paraId="46B36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0+217</w:t>
            </w:r>
          </w:p>
        </w:tc>
        <w:tc>
          <w:tcPr>
            <w:tcW w:w="554" w:type="pct"/>
            <w:noWrap w:val="0"/>
            <w:vAlign w:val="center"/>
          </w:tcPr>
          <w:p w14:paraId="70CCB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217</w:t>
            </w:r>
          </w:p>
        </w:tc>
        <w:tc>
          <w:tcPr>
            <w:tcW w:w="484" w:type="pct"/>
            <w:noWrap w:val="0"/>
            <w:vAlign w:val="center"/>
          </w:tcPr>
          <w:p w14:paraId="1586C5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220</w:t>
            </w:r>
          </w:p>
        </w:tc>
        <w:tc>
          <w:tcPr>
            <w:tcW w:w="674" w:type="pct"/>
            <w:noWrap/>
            <w:vAlign w:val="center"/>
          </w:tcPr>
          <w:p w14:paraId="00193E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农田、农户房屋</w:t>
            </w:r>
          </w:p>
        </w:tc>
        <w:tc>
          <w:tcPr>
            <w:tcW w:w="801" w:type="pct"/>
            <w:noWrap/>
            <w:vAlign w:val="center"/>
          </w:tcPr>
          <w:p w14:paraId="2137B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坡式-格宾砌护</w:t>
            </w:r>
          </w:p>
        </w:tc>
      </w:tr>
      <w:tr w14:paraId="22749A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966" w:type="pct"/>
            <w:vMerge w:val="continue"/>
            <w:noWrap w:val="0"/>
            <w:vAlign w:val="center"/>
          </w:tcPr>
          <w:p w14:paraId="5154D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224" w:type="pct"/>
            <w:noWrap/>
            <w:vAlign w:val="center"/>
          </w:tcPr>
          <w:p w14:paraId="77798D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2</w:t>
            </w:r>
          </w:p>
        </w:tc>
        <w:tc>
          <w:tcPr>
            <w:tcW w:w="645" w:type="pct"/>
            <w:noWrap/>
            <w:vAlign w:val="center"/>
          </w:tcPr>
          <w:p w14:paraId="0D7990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0+223</w:t>
            </w:r>
          </w:p>
        </w:tc>
        <w:tc>
          <w:tcPr>
            <w:tcW w:w="648" w:type="pct"/>
            <w:noWrap/>
            <w:vAlign w:val="center"/>
          </w:tcPr>
          <w:p w14:paraId="2BAC0D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0+515</w:t>
            </w:r>
          </w:p>
        </w:tc>
        <w:tc>
          <w:tcPr>
            <w:tcW w:w="554" w:type="pct"/>
            <w:noWrap w:val="0"/>
            <w:vAlign w:val="center"/>
          </w:tcPr>
          <w:p w14:paraId="23AF8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292</w:t>
            </w:r>
          </w:p>
        </w:tc>
        <w:tc>
          <w:tcPr>
            <w:tcW w:w="484" w:type="pct"/>
            <w:noWrap w:val="0"/>
            <w:vAlign w:val="center"/>
          </w:tcPr>
          <w:p w14:paraId="6DA6D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284</w:t>
            </w:r>
          </w:p>
        </w:tc>
        <w:tc>
          <w:tcPr>
            <w:tcW w:w="674" w:type="pct"/>
            <w:noWrap/>
            <w:vAlign w:val="center"/>
          </w:tcPr>
          <w:p w14:paraId="7B866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农田、农户房屋</w:t>
            </w:r>
          </w:p>
        </w:tc>
        <w:tc>
          <w:tcPr>
            <w:tcW w:w="801" w:type="pct"/>
            <w:noWrap/>
            <w:vAlign w:val="center"/>
          </w:tcPr>
          <w:p w14:paraId="16E682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坡式-格宾砌护</w:t>
            </w:r>
          </w:p>
        </w:tc>
      </w:tr>
      <w:tr w14:paraId="581B8E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966" w:type="pct"/>
            <w:vMerge w:val="continue"/>
            <w:noWrap w:val="0"/>
            <w:vAlign w:val="center"/>
          </w:tcPr>
          <w:p w14:paraId="3778E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224" w:type="pct"/>
            <w:noWrap/>
            <w:vAlign w:val="center"/>
          </w:tcPr>
          <w:p w14:paraId="0983ED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3</w:t>
            </w:r>
          </w:p>
        </w:tc>
        <w:tc>
          <w:tcPr>
            <w:tcW w:w="645" w:type="pct"/>
            <w:noWrap/>
            <w:vAlign w:val="center"/>
          </w:tcPr>
          <w:p w14:paraId="32006C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0+525</w:t>
            </w:r>
          </w:p>
        </w:tc>
        <w:tc>
          <w:tcPr>
            <w:tcW w:w="648" w:type="pct"/>
            <w:noWrap/>
            <w:vAlign w:val="center"/>
          </w:tcPr>
          <w:p w14:paraId="60593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0+600</w:t>
            </w:r>
          </w:p>
        </w:tc>
        <w:tc>
          <w:tcPr>
            <w:tcW w:w="554" w:type="pct"/>
            <w:noWrap w:val="0"/>
            <w:vAlign w:val="center"/>
          </w:tcPr>
          <w:p w14:paraId="739F7C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75</w:t>
            </w:r>
          </w:p>
        </w:tc>
        <w:tc>
          <w:tcPr>
            <w:tcW w:w="484" w:type="pct"/>
            <w:noWrap w:val="0"/>
            <w:vAlign w:val="center"/>
          </w:tcPr>
          <w:p w14:paraId="7779B6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76</w:t>
            </w:r>
          </w:p>
        </w:tc>
        <w:tc>
          <w:tcPr>
            <w:tcW w:w="674" w:type="pct"/>
            <w:noWrap/>
            <w:vAlign w:val="center"/>
          </w:tcPr>
          <w:p w14:paraId="1DBE27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农田、农户房屋</w:t>
            </w:r>
          </w:p>
        </w:tc>
        <w:tc>
          <w:tcPr>
            <w:tcW w:w="801" w:type="pct"/>
            <w:noWrap/>
            <w:vAlign w:val="center"/>
          </w:tcPr>
          <w:p w14:paraId="1C4D28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坡式-格宾砌护</w:t>
            </w:r>
          </w:p>
        </w:tc>
      </w:tr>
      <w:tr w14:paraId="7C30288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966" w:type="pct"/>
            <w:vMerge w:val="continue"/>
            <w:noWrap w:val="0"/>
            <w:vAlign w:val="center"/>
          </w:tcPr>
          <w:p w14:paraId="5A36C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1518" w:type="pct"/>
            <w:gridSpan w:val="3"/>
            <w:noWrap/>
            <w:vAlign w:val="center"/>
          </w:tcPr>
          <w:p w14:paraId="7D128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小计</w:t>
            </w:r>
          </w:p>
        </w:tc>
        <w:tc>
          <w:tcPr>
            <w:tcW w:w="554" w:type="pct"/>
            <w:noWrap w:val="0"/>
            <w:vAlign w:val="center"/>
          </w:tcPr>
          <w:p w14:paraId="3C3C04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584</w:t>
            </w:r>
          </w:p>
        </w:tc>
        <w:tc>
          <w:tcPr>
            <w:tcW w:w="484" w:type="pct"/>
            <w:noWrap w:val="0"/>
            <w:vAlign w:val="center"/>
          </w:tcPr>
          <w:p w14:paraId="05BBF1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580</w:t>
            </w:r>
          </w:p>
        </w:tc>
        <w:tc>
          <w:tcPr>
            <w:tcW w:w="674" w:type="pct"/>
            <w:noWrap w:val="0"/>
            <w:vAlign w:val="center"/>
          </w:tcPr>
          <w:p w14:paraId="509388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801" w:type="pct"/>
            <w:noWrap/>
            <w:vAlign w:val="center"/>
          </w:tcPr>
          <w:p w14:paraId="47471E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r>
      <w:tr w14:paraId="4509A7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2485" w:type="pct"/>
            <w:gridSpan w:val="4"/>
            <w:noWrap/>
            <w:vAlign w:val="center"/>
          </w:tcPr>
          <w:p w14:paraId="20774F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合计</w:t>
            </w:r>
          </w:p>
        </w:tc>
        <w:tc>
          <w:tcPr>
            <w:tcW w:w="554" w:type="pct"/>
            <w:noWrap/>
            <w:vAlign w:val="center"/>
          </w:tcPr>
          <w:p w14:paraId="0E42AB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484" w:type="pct"/>
            <w:noWrap/>
            <w:vAlign w:val="center"/>
          </w:tcPr>
          <w:p w14:paraId="3CEE8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1000</w:t>
            </w:r>
          </w:p>
        </w:tc>
        <w:tc>
          <w:tcPr>
            <w:tcW w:w="674" w:type="pct"/>
            <w:noWrap/>
            <w:vAlign w:val="center"/>
          </w:tcPr>
          <w:p w14:paraId="3333D2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c>
          <w:tcPr>
            <w:tcW w:w="801" w:type="pct"/>
            <w:noWrap/>
            <w:vAlign w:val="center"/>
          </w:tcPr>
          <w:p w14:paraId="417AC5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18"/>
                <w:szCs w:val="18"/>
                <w:highlight w:val="none"/>
                <w:lang w:bidi="ar"/>
              </w:rPr>
            </w:pPr>
          </w:p>
        </w:tc>
      </w:tr>
    </w:tbl>
    <w:p w14:paraId="077EF2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石头崾岘水库清淤</w:t>
      </w:r>
    </w:p>
    <w:p w14:paraId="11A395A9">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此部分由水库清淤工程、堆场工程两部分组成。</w:t>
      </w:r>
    </w:p>
    <w:p w14:paraId="0875548B">
      <w:pPr>
        <w:pStyle w:val="9"/>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水库清淤工程：</w:t>
      </w:r>
      <w:r>
        <w:rPr>
          <w:rFonts w:hint="default" w:ascii="Times New Roman" w:hAnsi="Times New Roman" w:eastAsia="宋体" w:cs="Times New Roman"/>
          <w:color w:val="auto"/>
          <w:sz w:val="24"/>
          <w:szCs w:val="24"/>
          <w:highlight w:val="none"/>
        </w:rPr>
        <w:t>水库清淤工程主要包括库区清淤工程及临时道路，水库清淤工程范围为石头崾岘水库坝前50m至上游1.3km，左、右岸至库区岸线内侧向库区延伸30m处，平均宽度0.3km，总清淤面积48万m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，总清淤量为120万m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，淤泥开挖边坡为1:10，平均开挖深度按2.5m控制。为了便于淤泥运输，在设计清淤区域布设临时道路网，临时道路长7.8km，设计路面宽度5.0m，道路间距100m。</w:t>
      </w:r>
    </w:p>
    <w:p w14:paraId="76AE07A9">
      <w:pPr>
        <w:pStyle w:val="9"/>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堆场工程：</w:t>
      </w:r>
      <w:r>
        <w:rPr>
          <w:rFonts w:hint="default" w:ascii="Times New Roman" w:hAnsi="Times New Roman" w:eastAsia="宋体" w:cs="Times New Roman"/>
          <w:color w:val="auto"/>
          <w:sz w:val="24"/>
          <w:szCs w:val="24"/>
          <w:highlight w:val="none"/>
        </w:rPr>
        <w:t>堆场位于石头崾岘水库库区上游左岸，沿水库库区左岸共分为7个凹湾，总消纳淤泥136万m³，为了防止淤泥堆填后坡脚被洪水冲刷，本次在堆场迎水面设计拦泥护脚，护脚外侧进行格宾</w:t>
      </w:r>
      <w:r>
        <w:rPr>
          <w:rFonts w:hint="eastAsia"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防护，底部设置排水层，考虑消纳区沟道面积大、沿线较长，为防止人及牲畜等进入消纳区发生意外，结合征地范围线（含岸坡可能塌岸影响范围），本次设计在安全范围线设置围挡防护。</w:t>
      </w:r>
    </w:p>
    <w:p w14:paraId="6B813A60">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工程总体布局见</w:t>
      </w:r>
      <w:r>
        <w:rPr>
          <w:rFonts w:hint="default" w:ascii="Times New Roman" w:hAnsi="Times New Roman" w:cs="Times New Roman"/>
          <w:color w:val="auto"/>
          <w:sz w:val="24"/>
          <w:szCs w:val="24"/>
          <w:highlight w:val="none"/>
          <w:lang w:val="en-US" w:eastAsia="zh-CN"/>
        </w:rPr>
        <w:t>附</w:t>
      </w:r>
      <w:r>
        <w:rPr>
          <w:rFonts w:hint="default" w:ascii="Times New Roman" w:hAnsi="Times New Roman" w:cs="Times New Roman"/>
          <w:color w:val="auto"/>
          <w:sz w:val="24"/>
          <w:szCs w:val="24"/>
          <w:highlight w:val="none"/>
        </w:rPr>
        <w:t>图</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p>
    <w:p w14:paraId="298E4DD1">
      <w:pPr>
        <w:pStyle w:val="6"/>
        <w:rPr>
          <w:rFonts w:hint="default" w:ascii="Times New Roman" w:hAnsi="Times New Roman" w:eastAsia="宋体" w:cs="Times New Roman"/>
          <w:color w:val="auto"/>
          <w:highlight w:val="none"/>
          <w:lang w:eastAsia="zh-CN"/>
        </w:rPr>
      </w:pPr>
      <w:bookmarkStart w:id="3052" w:name="_Toc23108"/>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.2</w:t>
      </w:r>
      <w:bookmarkStart w:id="3053" w:name="_Toc190853358"/>
      <w:bookmarkStart w:id="3054" w:name="_Toc182235341"/>
      <w:bookmarkStart w:id="3055" w:name="_Toc7187"/>
      <w:bookmarkStart w:id="3056" w:name="_Toc205565994"/>
      <w:bookmarkStart w:id="3057" w:name="_Toc404501241"/>
      <w:r>
        <w:rPr>
          <w:rFonts w:hint="default" w:ascii="Times New Roman" w:hAnsi="Times New Roman" w:cs="Times New Roman"/>
          <w:color w:val="auto"/>
          <w:highlight w:val="none"/>
        </w:rPr>
        <w:t>堆场</w:t>
      </w:r>
      <w:bookmarkEnd w:id="3053"/>
      <w:bookmarkEnd w:id="3054"/>
      <w:bookmarkEnd w:id="3055"/>
      <w:bookmarkEnd w:id="3056"/>
      <w:bookmarkEnd w:id="3057"/>
      <w:r>
        <w:rPr>
          <w:rFonts w:hint="default" w:ascii="Times New Roman" w:hAnsi="Times New Roman" w:cs="Times New Roman"/>
          <w:color w:val="auto"/>
          <w:highlight w:val="none"/>
          <w:lang w:eastAsia="zh-CN"/>
        </w:rPr>
        <w:t>平面布置</w:t>
      </w:r>
      <w:bookmarkEnd w:id="3052"/>
    </w:p>
    <w:p w14:paraId="13B06DAB">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堆场选择</w:t>
      </w:r>
    </w:p>
    <w:p w14:paraId="1E3A7C2E">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石头崾岘水库库区为狭窄长条式水面，平均宽度290m左右，由于左岸原始河床凹凸不平，水库淤积后库区左岸形成了数个大小不等的凹湾，通过实际勘测，在确保不挤占防洪库容（高于校核洪水位1472.45m的淤积高程）的前提下，存在7处凹湾具有堆放条件。</w:t>
      </w:r>
    </w:p>
    <w:p w14:paraId="024F0577">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（2）库区堆场地形条件</w:t>
      </w:r>
    </w:p>
    <w:p w14:paraId="60437AF8">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库区堆场选取为在确保不挤占防洪库容（高于校核洪水位1472.45m的淤积高程）的7处凹湾左岸凹湾，在迎水面设置拦挡护脚，对凹湾进行堆放。</w:t>
      </w:r>
      <w:r>
        <w:rPr>
          <w:rFonts w:hint="default" w:ascii="Times New Roman" w:hAnsi="Times New Roman" w:cs="Times New Roman"/>
          <w:color w:val="auto"/>
          <w:sz w:val="24"/>
          <w:highlight w:val="none"/>
          <w:lang w:eastAsia="zh-CN"/>
        </w:rPr>
        <w:t>堆场平面布置</w:t>
      </w:r>
      <w:r>
        <w:rPr>
          <w:rFonts w:hint="eastAsia" w:cs="Times New Roman"/>
          <w:color w:val="auto"/>
          <w:sz w:val="24"/>
          <w:highlight w:val="none"/>
          <w:lang w:eastAsia="zh-CN"/>
        </w:rPr>
        <w:t>见图</w:t>
      </w:r>
      <w:r>
        <w:rPr>
          <w:rFonts w:hint="eastAsia" w:cs="Times New Roman"/>
          <w:color w:val="auto"/>
          <w:sz w:val="24"/>
          <w:highlight w:val="none"/>
          <w:lang w:val="en-US" w:eastAsia="zh-CN"/>
        </w:rPr>
        <w:t>2.4-1</w:t>
      </w:r>
      <w:r>
        <w:rPr>
          <w:rFonts w:hint="default" w:ascii="Times New Roman" w:hAnsi="Times New Roman" w:cs="Times New Roman"/>
          <w:color w:val="auto"/>
          <w:sz w:val="24"/>
          <w:highlight w:val="none"/>
          <w:lang w:val="en-US" w:eastAsia="zh-CN"/>
        </w:rPr>
        <w:t>。</w:t>
      </w:r>
    </w:p>
    <w:p w14:paraId="5CB8EC15">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由于受地形因素限制，本次淤泥消纳采用库区库尾堆场的方式，通过对库区库尾实测地形及沟道容积进行量算，本次7个堆场共计可消纳淤泥136万m³，为了防止淤泥堆填后坡脚被洪水冲刷，本次在堆场迎水面设计拦泥护脚，护脚外侧进行格宾防护，底部设置排水层。</w:t>
      </w:r>
      <w:r>
        <w:rPr>
          <w:rFonts w:hint="default" w:ascii="Times New Roman" w:hAnsi="Times New Roman" w:cs="Times New Roman"/>
          <w:b w:val="0"/>
          <w:bCs/>
          <w:color w:val="auto"/>
          <w:sz w:val="24"/>
          <w:highlight w:val="none"/>
          <w:lang w:eastAsia="zh-CN"/>
        </w:rPr>
        <w:t>项目</w:t>
      </w:r>
      <w:r>
        <w:rPr>
          <w:rFonts w:hint="default" w:ascii="Times New Roman" w:hAnsi="Times New Roman" w:cs="Times New Roman"/>
          <w:b w:val="0"/>
          <w:bCs/>
          <w:color w:val="auto"/>
          <w:sz w:val="24"/>
          <w:highlight w:val="none"/>
        </w:rPr>
        <w:t>堆场规模</w:t>
      </w:r>
      <w:r>
        <w:rPr>
          <w:rFonts w:hint="default" w:ascii="Times New Roman" w:hAnsi="Times New Roman" w:cs="Times New Roman"/>
          <w:b w:val="0"/>
          <w:bCs/>
          <w:color w:val="auto"/>
          <w:sz w:val="24"/>
          <w:highlight w:val="none"/>
          <w:lang w:eastAsia="zh-CN"/>
        </w:rPr>
        <w:t>见表</w:t>
      </w:r>
      <w:r>
        <w:rPr>
          <w:rFonts w:hint="default" w:ascii="Times New Roman" w:hAnsi="Times New Roman" w:cs="Times New Roman"/>
          <w:b w:val="0"/>
          <w:bCs/>
          <w:color w:val="auto"/>
          <w:sz w:val="24"/>
          <w:highlight w:val="none"/>
          <w:lang w:val="en-US" w:eastAsia="zh-CN"/>
        </w:rPr>
        <w:t>2.</w:t>
      </w:r>
      <w:r>
        <w:rPr>
          <w:rFonts w:hint="eastAsia" w:cs="Times New Roman"/>
          <w:b w:val="0"/>
          <w:bCs/>
          <w:color w:val="auto"/>
          <w:sz w:val="24"/>
          <w:highlight w:val="none"/>
          <w:lang w:val="en-US" w:eastAsia="zh-CN"/>
        </w:rPr>
        <w:t>5</w:t>
      </w:r>
      <w:r>
        <w:rPr>
          <w:rFonts w:hint="default" w:ascii="Times New Roman" w:hAnsi="Times New Roman" w:cs="Times New Roman"/>
          <w:b w:val="0"/>
          <w:bCs/>
          <w:color w:val="auto"/>
          <w:sz w:val="24"/>
          <w:highlight w:val="none"/>
          <w:lang w:val="en-US" w:eastAsia="zh-CN"/>
        </w:rPr>
        <w:t>-</w:t>
      </w:r>
      <w:r>
        <w:rPr>
          <w:rFonts w:hint="eastAsia" w:cs="Times New Roman"/>
          <w:b w:val="0"/>
          <w:bCs/>
          <w:color w:val="auto"/>
          <w:sz w:val="24"/>
          <w:highlight w:val="none"/>
          <w:lang w:val="en-US" w:eastAsia="zh-CN"/>
        </w:rPr>
        <w:t>3</w:t>
      </w:r>
      <w:r>
        <w:rPr>
          <w:rFonts w:hint="default" w:ascii="Times New Roman" w:hAnsi="Times New Roman" w:cs="Times New Roman"/>
          <w:b w:val="0"/>
          <w:bCs/>
          <w:color w:val="auto"/>
          <w:sz w:val="24"/>
          <w:highlight w:val="none"/>
          <w:lang w:val="en-US" w:eastAsia="zh-CN"/>
        </w:rPr>
        <w:t>。</w:t>
      </w:r>
    </w:p>
    <w:p w14:paraId="7ED149A0">
      <w:pPr>
        <w:adjustRightInd w:val="0"/>
        <w:snapToGrid w:val="0"/>
        <w:spacing w:line="276" w:lineRule="auto"/>
        <w:ind w:firstLine="482" w:firstLineChars="200"/>
        <w:jc w:val="center"/>
        <w:rPr>
          <w:rFonts w:hint="default" w:ascii="Times New Roman" w:hAnsi="Times New Roman" w:cs="Times New Roman"/>
          <w:color w:val="auto"/>
          <w:sz w:val="24"/>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eastAsia" w:cs="Times New Roman"/>
          <w:b/>
          <w:color w:val="auto"/>
          <w:szCs w:val="21"/>
          <w:highlight w:val="none"/>
          <w:lang w:val="en-US" w:eastAsia="zh-CN"/>
        </w:rPr>
        <w:t>5</w:t>
      </w:r>
      <w:r>
        <w:rPr>
          <w:rFonts w:hint="default" w:ascii="Times New Roman" w:hAnsi="Times New Roman" w:cs="Times New Roman"/>
          <w:b/>
          <w:color w:val="auto"/>
          <w:szCs w:val="21"/>
          <w:highlight w:val="none"/>
          <w:lang w:val="en-US" w:eastAsia="zh-CN"/>
        </w:rPr>
        <w:t>-</w:t>
      </w:r>
      <w:r>
        <w:rPr>
          <w:rFonts w:hint="eastAsia" w:cs="Times New Roman"/>
          <w:b/>
          <w:color w:val="auto"/>
          <w:szCs w:val="21"/>
          <w:highlight w:val="none"/>
          <w:lang w:val="en-US" w:eastAsia="zh-CN"/>
        </w:rPr>
        <w:t>3</w:t>
      </w:r>
      <w:r>
        <w:rPr>
          <w:rFonts w:hint="default" w:ascii="Times New Roman" w:hAnsi="Times New Roman" w:cs="Times New Roman"/>
          <w:b/>
          <w:color w:val="auto"/>
          <w:sz w:val="24"/>
          <w:highlight w:val="none"/>
        </w:rPr>
        <w:t xml:space="preserve">  库区堆场规模统计表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4"/>
        <w:gridCol w:w="1301"/>
        <w:gridCol w:w="1606"/>
        <w:gridCol w:w="1539"/>
        <w:gridCol w:w="1945"/>
        <w:gridCol w:w="1169"/>
      </w:tblGrid>
      <w:tr w14:paraId="6850A8D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662" w:type="pct"/>
            <w:noWrap/>
            <w:vAlign w:val="center"/>
          </w:tcPr>
          <w:p w14:paraId="08EF2E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default" w:ascii="Times New Roman" w:hAnsi="Times New Roman" w:cs="Times New Roman" w:eastAsiaTheme="minorEastAsia"/>
                <w:b/>
                <w:bCs/>
                <w:color w:val="auto"/>
                <w:kern w:val="0"/>
                <w:sz w:val="21"/>
                <w:szCs w:val="21"/>
                <w:highlight w:val="none"/>
                <w:lang w:bidi="ar"/>
              </w:rPr>
              <w:t>堆场编号</w:t>
            </w:r>
          </w:p>
        </w:tc>
        <w:tc>
          <w:tcPr>
            <w:tcW w:w="746" w:type="pct"/>
            <w:noWrap/>
            <w:vAlign w:val="center"/>
          </w:tcPr>
          <w:p w14:paraId="7434D4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default" w:ascii="Times New Roman" w:hAnsi="Times New Roman" w:cs="Times New Roman" w:eastAsiaTheme="minorEastAsia"/>
                <w:b/>
                <w:bCs/>
                <w:color w:val="auto"/>
                <w:kern w:val="0"/>
                <w:sz w:val="21"/>
                <w:szCs w:val="21"/>
                <w:highlight w:val="none"/>
                <w:lang w:bidi="ar"/>
              </w:rPr>
              <w:t>堆场面积（㎡）</w:t>
            </w:r>
          </w:p>
        </w:tc>
        <w:tc>
          <w:tcPr>
            <w:tcW w:w="921" w:type="pct"/>
            <w:noWrap/>
            <w:vAlign w:val="center"/>
          </w:tcPr>
          <w:p w14:paraId="5A43C0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default" w:ascii="Times New Roman" w:hAnsi="Times New Roman" w:cs="Times New Roman" w:eastAsiaTheme="minorEastAsia"/>
                <w:b/>
                <w:bCs/>
                <w:color w:val="auto"/>
                <w:kern w:val="0"/>
                <w:sz w:val="21"/>
                <w:szCs w:val="21"/>
                <w:highlight w:val="none"/>
                <w:lang w:bidi="ar"/>
              </w:rPr>
              <w:t>平均堆积高度（m）</w:t>
            </w:r>
          </w:p>
        </w:tc>
        <w:tc>
          <w:tcPr>
            <w:tcW w:w="883" w:type="pct"/>
            <w:noWrap/>
            <w:vAlign w:val="center"/>
          </w:tcPr>
          <w:p w14:paraId="086E5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default" w:ascii="Times New Roman" w:hAnsi="Times New Roman" w:cs="Times New Roman" w:eastAsiaTheme="minorEastAsia"/>
                <w:b/>
                <w:bCs/>
                <w:color w:val="auto"/>
                <w:kern w:val="0"/>
                <w:sz w:val="21"/>
                <w:szCs w:val="21"/>
                <w:highlight w:val="none"/>
                <w:lang w:bidi="ar"/>
              </w:rPr>
              <w:t>堆积量</w:t>
            </w:r>
          </w:p>
          <w:p w14:paraId="09129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eastAsia" w:cs="Times New Roman" w:eastAsiaTheme="minorEastAsia"/>
                <w:b/>
                <w:bCs/>
                <w:color w:val="auto"/>
                <w:kern w:val="0"/>
                <w:sz w:val="21"/>
                <w:szCs w:val="21"/>
                <w:highlight w:val="none"/>
                <w:lang w:eastAsia="zh-CN" w:bidi="ar"/>
              </w:rPr>
              <w:t>(</w:t>
            </w:r>
            <w:r>
              <w:rPr>
                <w:rFonts w:hint="default" w:ascii="Times New Roman" w:hAnsi="Times New Roman" w:cs="Times New Roman" w:eastAsiaTheme="minorEastAsia"/>
                <w:b/>
                <w:bCs/>
                <w:color w:val="auto"/>
                <w:kern w:val="0"/>
                <w:sz w:val="21"/>
                <w:szCs w:val="21"/>
                <w:highlight w:val="none"/>
                <w:lang w:bidi="ar"/>
              </w:rPr>
              <w:t>m³</w:t>
            </w:r>
            <w:r>
              <w:rPr>
                <w:rFonts w:hint="eastAsia" w:cs="Times New Roman" w:eastAsiaTheme="minorEastAsia"/>
                <w:b/>
                <w:bCs/>
                <w:color w:val="auto"/>
                <w:kern w:val="0"/>
                <w:sz w:val="21"/>
                <w:szCs w:val="21"/>
                <w:highlight w:val="none"/>
                <w:lang w:eastAsia="zh-CN" w:bidi="ar"/>
              </w:rPr>
              <w:t>)</w:t>
            </w:r>
          </w:p>
        </w:tc>
        <w:tc>
          <w:tcPr>
            <w:tcW w:w="1116" w:type="pct"/>
            <w:noWrap/>
            <w:vAlign w:val="center"/>
          </w:tcPr>
          <w:p w14:paraId="5E938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default" w:ascii="Times New Roman" w:hAnsi="Times New Roman" w:cs="Times New Roman" w:eastAsiaTheme="minorEastAsia"/>
                <w:b/>
                <w:bCs/>
                <w:color w:val="auto"/>
                <w:kern w:val="0"/>
                <w:sz w:val="21"/>
                <w:szCs w:val="21"/>
                <w:highlight w:val="none"/>
                <w:lang w:bidi="ar"/>
              </w:rPr>
              <w:t>堆场位置</w:t>
            </w:r>
          </w:p>
        </w:tc>
        <w:tc>
          <w:tcPr>
            <w:tcW w:w="670" w:type="pct"/>
            <w:noWrap/>
            <w:vAlign w:val="center"/>
          </w:tcPr>
          <w:p w14:paraId="5E4661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color w:val="auto"/>
                <w:kern w:val="0"/>
                <w:sz w:val="21"/>
                <w:szCs w:val="21"/>
                <w:highlight w:val="none"/>
                <w:lang w:bidi="ar"/>
              </w:rPr>
            </w:pPr>
            <w:r>
              <w:rPr>
                <w:rFonts w:hint="default" w:ascii="Times New Roman" w:hAnsi="Times New Roman" w:cs="Times New Roman" w:eastAsiaTheme="minorEastAsia"/>
                <w:b/>
                <w:bCs/>
                <w:color w:val="auto"/>
                <w:kern w:val="0"/>
                <w:sz w:val="21"/>
                <w:szCs w:val="21"/>
                <w:highlight w:val="none"/>
                <w:lang w:bidi="ar"/>
              </w:rPr>
              <w:t>距离（km）</w:t>
            </w:r>
          </w:p>
        </w:tc>
      </w:tr>
      <w:tr w14:paraId="31CCEB4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56BA56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01</w:t>
            </w:r>
          </w:p>
        </w:tc>
        <w:tc>
          <w:tcPr>
            <w:tcW w:w="746" w:type="pct"/>
            <w:noWrap/>
            <w:vAlign w:val="center"/>
          </w:tcPr>
          <w:p w14:paraId="37230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3200</w:t>
            </w:r>
          </w:p>
        </w:tc>
        <w:tc>
          <w:tcPr>
            <w:tcW w:w="921" w:type="pct"/>
            <w:noWrap/>
            <w:vAlign w:val="center"/>
          </w:tcPr>
          <w:p w14:paraId="685F3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5.5</w:t>
            </w:r>
          </w:p>
        </w:tc>
        <w:tc>
          <w:tcPr>
            <w:tcW w:w="883" w:type="pct"/>
            <w:noWrap/>
            <w:vAlign w:val="center"/>
          </w:tcPr>
          <w:p w14:paraId="32134A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w:t>
            </w:r>
          </w:p>
        </w:tc>
        <w:tc>
          <w:tcPr>
            <w:tcW w:w="1116" w:type="pct"/>
            <w:noWrap/>
            <w:vAlign w:val="center"/>
          </w:tcPr>
          <w:p w14:paraId="0B1E1F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水库上游左岸支沟</w:t>
            </w:r>
          </w:p>
        </w:tc>
        <w:tc>
          <w:tcPr>
            <w:tcW w:w="670" w:type="pct"/>
            <w:noWrap/>
            <w:vAlign w:val="center"/>
          </w:tcPr>
          <w:p w14:paraId="0B2806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0.2</w:t>
            </w:r>
          </w:p>
        </w:tc>
      </w:tr>
      <w:tr w14:paraId="6E19E9B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4F6B7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02</w:t>
            </w:r>
          </w:p>
        </w:tc>
        <w:tc>
          <w:tcPr>
            <w:tcW w:w="746" w:type="pct"/>
            <w:noWrap/>
            <w:vAlign w:val="center"/>
          </w:tcPr>
          <w:p w14:paraId="0AC124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12900</w:t>
            </w:r>
          </w:p>
        </w:tc>
        <w:tc>
          <w:tcPr>
            <w:tcW w:w="921" w:type="pct"/>
            <w:noWrap/>
            <w:vAlign w:val="center"/>
          </w:tcPr>
          <w:p w14:paraId="3098A5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5.5</w:t>
            </w:r>
          </w:p>
        </w:tc>
        <w:tc>
          <w:tcPr>
            <w:tcW w:w="883" w:type="pct"/>
            <w:noWrap/>
            <w:vAlign w:val="center"/>
          </w:tcPr>
          <w:p w14:paraId="6AD183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11.5</w:t>
            </w:r>
          </w:p>
        </w:tc>
        <w:tc>
          <w:tcPr>
            <w:tcW w:w="1116" w:type="pct"/>
            <w:noWrap/>
            <w:vAlign w:val="center"/>
          </w:tcPr>
          <w:p w14:paraId="665AF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水库上游左岸凹岸</w:t>
            </w:r>
          </w:p>
        </w:tc>
        <w:tc>
          <w:tcPr>
            <w:tcW w:w="670" w:type="pct"/>
            <w:noWrap/>
            <w:vAlign w:val="center"/>
          </w:tcPr>
          <w:p w14:paraId="29241F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0.5</w:t>
            </w:r>
          </w:p>
        </w:tc>
      </w:tr>
      <w:tr w14:paraId="26DFFAA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61111E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03</w:t>
            </w:r>
          </w:p>
        </w:tc>
        <w:tc>
          <w:tcPr>
            <w:tcW w:w="746" w:type="pct"/>
            <w:noWrap/>
            <w:vAlign w:val="center"/>
          </w:tcPr>
          <w:p w14:paraId="265EEC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33300</w:t>
            </w:r>
          </w:p>
        </w:tc>
        <w:tc>
          <w:tcPr>
            <w:tcW w:w="921" w:type="pct"/>
            <w:noWrap/>
            <w:vAlign w:val="center"/>
          </w:tcPr>
          <w:p w14:paraId="338CA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10</w:t>
            </w:r>
          </w:p>
        </w:tc>
        <w:tc>
          <w:tcPr>
            <w:tcW w:w="883" w:type="pct"/>
            <w:noWrap/>
            <w:vAlign w:val="center"/>
          </w:tcPr>
          <w:p w14:paraId="2E378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18.5</w:t>
            </w:r>
          </w:p>
        </w:tc>
        <w:tc>
          <w:tcPr>
            <w:tcW w:w="1116" w:type="pct"/>
            <w:noWrap/>
            <w:vAlign w:val="center"/>
          </w:tcPr>
          <w:p w14:paraId="3BDC63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水库上游左岸凹岸</w:t>
            </w:r>
          </w:p>
        </w:tc>
        <w:tc>
          <w:tcPr>
            <w:tcW w:w="670" w:type="pct"/>
            <w:noWrap/>
            <w:vAlign w:val="center"/>
          </w:tcPr>
          <w:p w14:paraId="7B2CB3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1.5</w:t>
            </w:r>
          </w:p>
        </w:tc>
      </w:tr>
      <w:tr w14:paraId="47A3D3C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6162B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04</w:t>
            </w:r>
          </w:p>
        </w:tc>
        <w:tc>
          <w:tcPr>
            <w:tcW w:w="746" w:type="pct"/>
            <w:noWrap/>
            <w:vAlign w:val="center"/>
          </w:tcPr>
          <w:p w14:paraId="4ADB9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37500</w:t>
            </w:r>
          </w:p>
        </w:tc>
        <w:tc>
          <w:tcPr>
            <w:tcW w:w="921" w:type="pct"/>
            <w:noWrap/>
            <w:vAlign w:val="center"/>
          </w:tcPr>
          <w:p w14:paraId="02A36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7.5</w:t>
            </w:r>
          </w:p>
        </w:tc>
        <w:tc>
          <w:tcPr>
            <w:tcW w:w="883" w:type="pct"/>
            <w:noWrap/>
            <w:vAlign w:val="center"/>
          </w:tcPr>
          <w:p w14:paraId="2CBD1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30.5</w:t>
            </w:r>
          </w:p>
        </w:tc>
        <w:tc>
          <w:tcPr>
            <w:tcW w:w="1116" w:type="pct"/>
            <w:noWrap/>
            <w:vAlign w:val="center"/>
          </w:tcPr>
          <w:p w14:paraId="024592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水库上游左岸凹岸</w:t>
            </w:r>
          </w:p>
        </w:tc>
        <w:tc>
          <w:tcPr>
            <w:tcW w:w="670" w:type="pct"/>
            <w:noWrap/>
            <w:vAlign w:val="center"/>
          </w:tcPr>
          <w:p w14:paraId="18573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w:t>
            </w:r>
          </w:p>
        </w:tc>
      </w:tr>
      <w:tr w14:paraId="75C546B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31533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05</w:t>
            </w:r>
          </w:p>
        </w:tc>
        <w:tc>
          <w:tcPr>
            <w:tcW w:w="746" w:type="pct"/>
            <w:noWrap/>
            <w:vAlign w:val="center"/>
          </w:tcPr>
          <w:p w14:paraId="08CE75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22500</w:t>
            </w:r>
          </w:p>
        </w:tc>
        <w:tc>
          <w:tcPr>
            <w:tcW w:w="921" w:type="pct"/>
            <w:noWrap/>
            <w:vAlign w:val="center"/>
          </w:tcPr>
          <w:p w14:paraId="70FEEF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12</w:t>
            </w:r>
          </w:p>
        </w:tc>
        <w:tc>
          <w:tcPr>
            <w:tcW w:w="883" w:type="pct"/>
            <w:noWrap/>
            <w:vAlign w:val="center"/>
          </w:tcPr>
          <w:p w14:paraId="749A4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32.5</w:t>
            </w:r>
          </w:p>
        </w:tc>
        <w:tc>
          <w:tcPr>
            <w:tcW w:w="1116" w:type="pct"/>
            <w:noWrap/>
            <w:vAlign w:val="center"/>
          </w:tcPr>
          <w:p w14:paraId="77DDD9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水库上游左岸凹岸</w:t>
            </w:r>
          </w:p>
        </w:tc>
        <w:tc>
          <w:tcPr>
            <w:tcW w:w="670" w:type="pct"/>
            <w:noWrap/>
            <w:vAlign w:val="center"/>
          </w:tcPr>
          <w:p w14:paraId="231C2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4.5</w:t>
            </w:r>
          </w:p>
        </w:tc>
      </w:tr>
      <w:tr w14:paraId="014168B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0342C0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06</w:t>
            </w:r>
          </w:p>
        </w:tc>
        <w:tc>
          <w:tcPr>
            <w:tcW w:w="746" w:type="pct"/>
            <w:noWrap/>
            <w:vAlign w:val="center"/>
          </w:tcPr>
          <w:p w14:paraId="367BD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36000</w:t>
            </w:r>
          </w:p>
        </w:tc>
        <w:tc>
          <w:tcPr>
            <w:tcW w:w="921" w:type="pct"/>
            <w:noWrap/>
            <w:vAlign w:val="center"/>
          </w:tcPr>
          <w:p w14:paraId="6F29A5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13</w:t>
            </w:r>
          </w:p>
        </w:tc>
        <w:tc>
          <w:tcPr>
            <w:tcW w:w="883" w:type="pct"/>
            <w:noWrap/>
            <w:vAlign w:val="center"/>
          </w:tcPr>
          <w:p w14:paraId="7724E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30.2</w:t>
            </w:r>
          </w:p>
        </w:tc>
        <w:tc>
          <w:tcPr>
            <w:tcW w:w="1116" w:type="pct"/>
            <w:noWrap/>
            <w:vAlign w:val="center"/>
          </w:tcPr>
          <w:p w14:paraId="5A08AA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水库上游左岸凹岸</w:t>
            </w:r>
          </w:p>
        </w:tc>
        <w:tc>
          <w:tcPr>
            <w:tcW w:w="670" w:type="pct"/>
            <w:noWrap/>
            <w:vAlign w:val="center"/>
          </w:tcPr>
          <w:p w14:paraId="29482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5</w:t>
            </w:r>
          </w:p>
        </w:tc>
      </w:tr>
      <w:tr w14:paraId="204F006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03F2D5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07</w:t>
            </w:r>
          </w:p>
        </w:tc>
        <w:tc>
          <w:tcPr>
            <w:tcW w:w="746" w:type="pct"/>
            <w:noWrap/>
            <w:vAlign w:val="center"/>
          </w:tcPr>
          <w:p w14:paraId="4B8EC9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18000</w:t>
            </w:r>
          </w:p>
        </w:tc>
        <w:tc>
          <w:tcPr>
            <w:tcW w:w="921" w:type="pct"/>
            <w:noWrap/>
            <w:vAlign w:val="center"/>
          </w:tcPr>
          <w:p w14:paraId="40DE42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8</w:t>
            </w:r>
          </w:p>
        </w:tc>
        <w:tc>
          <w:tcPr>
            <w:tcW w:w="883" w:type="pct"/>
            <w:noWrap/>
            <w:vAlign w:val="center"/>
          </w:tcPr>
          <w:p w14:paraId="3F780B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10.5</w:t>
            </w:r>
          </w:p>
        </w:tc>
        <w:tc>
          <w:tcPr>
            <w:tcW w:w="1116" w:type="pct"/>
            <w:noWrap/>
            <w:vAlign w:val="center"/>
          </w:tcPr>
          <w:p w14:paraId="4215DD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水库上游左岸支沟</w:t>
            </w:r>
          </w:p>
        </w:tc>
        <w:tc>
          <w:tcPr>
            <w:tcW w:w="670" w:type="pct"/>
            <w:noWrap/>
            <w:vAlign w:val="center"/>
          </w:tcPr>
          <w:p w14:paraId="5DA1FD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5.5</w:t>
            </w:r>
          </w:p>
        </w:tc>
      </w:tr>
      <w:tr w14:paraId="120E0BE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2" w:type="pct"/>
            <w:noWrap/>
            <w:vAlign w:val="center"/>
          </w:tcPr>
          <w:p w14:paraId="65EBA6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合  计</w:t>
            </w:r>
          </w:p>
        </w:tc>
        <w:tc>
          <w:tcPr>
            <w:tcW w:w="746" w:type="pct"/>
            <w:noWrap/>
            <w:vAlign w:val="center"/>
          </w:tcPr>
          <w:p w14:paraId="6475B3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p>
        </w:tc>
        <w:tc>
          <w:tcPr>
            <w:tcW w:w="921" w:type="pct"/>
            <w:noWrap/>
            <w:vAlign w:val="center"/>
          </w:tcPr>
          <w:p w14:paraId="48A177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p>
        </w:tc>
        <w:tc>
          <w:tcPr>
            <w:tcW w:w="883" w:type="pct"/>
            <w:noWrap/>
            <w:vAlign w:val="center"/>
          </w:tcPr>
          <w:p w14:paraId="353DD3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kern w:val="0"/>
                <w:sz w:val="21"/>
                <w:szCs w:val="21"/>
                <w:highlight w:val="none"/>
                <w:lang w:bidi="ar"/>
              </w:rPr>
              <w:t>136.7</w:t>
            </w:r>
          </w:p>
        </w:tc>
        <w:tc>
          <w:tcPr>
            <w:tcW w:w="1116" w:type="pct"/>
            <w:noWrap/>
            <w:vAlign w:val="center"/>
          </w:tcPr>
          <w:p w14:paraId="4F5B31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p>
        </w:tc>
        <w:tc>
          <w:tcPr>
            <w:tcW w:w="670" w:type="pct"/>
            <w:noWrap/>
            <w:vAlign w:val="center"/>
          </w:tcPr>
          <w:p w14:paraId="3D6CF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21"/>
                <w:szCs w:val="21"/>
                <w:highlight w:val="none"/>
                <w:lang w:bidi="ar"/>
              </w:rPr>
            </w:pPr>
          </w:p>
        </w:tc>
      </w:tr>
    </w:tbl>
    <w:p w14:paraId="7E74926A">
      <w:pPr>
        <w:spacing w:line="240" w:lineRule="exact"/>
        <w:ind w:firstLine="480" w:firstLineChars="200"/>
        <w:rPr>
          <w:rFonts w:hint="default" w:ascii="Times New Roman" w:hAnsi="Times New Roman" w:cs="Times New Roman"/>
          <w:color w:val="auto"/>
          <w:sz w:val="24"/>
          <w:highlight w:val="none"/>
        </w:rPr>
      </w:pPr>
    </w:p>
    <w:p w14:paraId="4A0A0967">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（3）护脚设计</w:t>
      </w:r>
    </w:p>
    <w:p w14:paraId="1C69507B">
      <w:pPr>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由于护脚基础坐落在淤积体上，本次设置护脚采用土料填筑，护脚顶宽4m，高3m，迎水侧坡比为1:3，堆场侧坡比为1:1.5。并对护脚迎水面采用格宾防护，格宾坡式护岸材料采用</w:t>
      </w:r>
      <w:r>
        <w:rPr>
          <w:rFonts w:hint="eastAsia" w:cs="Times New Roman"/>
          <w:color w:val="auto"/>
          <w:sz w:val="24"/>
          <w:szCs w:val="20"/>
          <w:highlight w:val="none"/>
          <w:lang w:eastAsia="zh-CN"/>
        </w:rPr>
        <w:t>“</w:t>
      </w:r>
      <w:r>
        <w:rPr>
          <w:rFonts w:hint="default" w:ascii="Times New Roman" w:hAnsi="Times New Roman" w:cs="Times New Roman"/>
          <w:color w:val="auto"/>
          <w:sz w:val="24"/>
          <w:szCs w:val="20"/>
          <w:highlight w:val="none"/>
        </w:rPr>
        <w:t>低碳钢丝+（锌-5%铝</w:t>
      </w:r>
      <w:r>
        <w:rPr>
          <w:rFonts w:hint="eastAsia" w:cs="Times New Roman"/>
          <w:color w:val="auto"/>
          <w:sz w:val="24"/>
          <w:szCs w:val="20"/>
          <w:highlight w:val="none"/>
          <w:lang w:eastAsia="zh-CN"/>
        </w:rPr>
        <w:t>－</w:t>
      </w:r>
      <w:r>
        <w:rPr>
          <w:rFonts w:hint="default" w:ascii="Times New Roman" w:hAnsi="Times New Roman" w:cs="Times New Roman"/>
          <w:color w:val="auto"/>
          <w:sz w:val="24"/>
          <w:szCs w:val="20"/>
          <w:highlight w:val="none"/>
        </w:rPr>
        <w:t>稀土合金镀层）</w:t>
      </w:r>
      <w:r>
        <w:rPr>
          <w:rFonts w:hint="eastAsia" w:cs="Times New Roman"/>
          <w:color w:val="auto"/>
          <w:sz w:val="24"/>
          <w:szCs w:val="20"/>
          <w:highlight w:val="none"/>
          <w:lang w:eastAsia="zh-CN"/>
        </w:rPr>
        <w:t>”</w:t>
      </w:r>
      <w:r>
        <w:rPr>
          <w:rFonts w:hint="default" w:ascii="Times New Roman" w:hAnsi="Times New Roman" w:cs="Times New Roman"/>
          <w:color w:val="auto"/>
          <w:sz w:val="24"/>
          <w:szCs w:val="20"/>
          <w:highlight w:val="none"/>
        </w:rPr>
        <w:t>，边坡厚度0.3m，高2.0m，格宾网箱基础宽1.0m，深度1.0m，分</w:t>
      </w:r>
      <w:r>
        <w:rPr>
          <w:rFonts w:hint="eastAsia" w:cs="Times New Roman"/>
          <w:color w:val="auto"/>
          <w:sz w:val="24"/>
          <w:szCs w:val="20"/>
          <w:highlight w:val="none"/>
          <w:lang w:eastAsia="zh-CN"/>
        </w:rPr>
        <w:t>两层</w:t>
      </w:r>
      <w:r>
        <w:rPr>
          <w:rFonts w:hint="default" w:ascii="Times New Roman" w:hAnsi="Times New Roman" w:cs="Times New Roman"/>
          <w:color w:val="auto"/>
          <w:sz w:val="24"/>
          <w:szCs w:val="20"/>
          <w:highlight w:val="none"/>
        </w:rPr>
        <w:t>布置。格宾网箱内填充块石料，格宾体与地基土之间，铺设聚酯长纤无纺布（200g/m</w:t>
      </w:r>
      <w:r>
        <w:rPr>
          <w:rFonts w:hint="default" w:ascii="Times New Roman" w:hAnsi="Times New Roman" w:cs="Times New Roman"/>
          <w:color w:val="auto"/>
          <w:sz w:val="24"/>
          <w:szCs w:val="20"/>
          <w:highlight w:val="none"/>
          <w:vertAlign w:val="superscript"/>
        </w:rPr>
        <w:t>2</w:t>
      </w:r>
      <w:r>
        <w:rPr>
          <w:rFonts w:hint="default" w:ascii="Times New Roman" w:hAnsi="Times New Roman" w:cs="Times New Roman"/>
          <w:color w:val="auto"/>
          <w:sz w:val="24"/>
          <w:szCs w:val="20"/>
          <w:highlight w:val="none"/>
        </w:rPr>
        <w:t>），起到反滤作用。</w:t>
      </w:r>
    </w:p>
    <w:p w14:paraId="21CFAFDE">
      <w:pPr>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为确保护</w:t>
      </w:r>
      <w:r>
        <w:rPr>
          <w:rFonts w:hint="eastAsia" w:cs="Times New Roman"/>
          <w:color w:val="auto"/>
          <w:sz w:val="24"/>
          <w:szCs w:val="20"/>
          <w:highlight w:val="none"/>
          <w:lang w:eastAsia="zh-CN"/>
        </w:rPr>
        <w:t>脚</w:t>
      </w:r>
      <w:r>
        <w:rPr>
          <w:rFonts w:hint="default" w:ascii="Times New Roman" w:hAnsi="Times New Roman" w:cs="Times New Roman"/>
          <w:color w:val="auto"/>
          <w:sz w:val="24"/>
          <w:szCs w:val="20"/>
          <w:highlight w:val="none"/>
        </w:rPr>
        <w:t>能</w:t>
      </w:r>
      <w:r>
        <w:rPr>
          <w:rFonts w:hint="eastAsia" w:cs="Times New Roman"/>
          <w:color w:val="auto"/>
          <w:sz w:val="24"/>
          <w:szCs w:val="20"/>
          <w:highlight w:val="none"/>
          <w:lang w:eastAsia="zh-CN"/>
        </w:rPr>
        <w:t>有效地</w:t>
      </w:r>
      <w:r>
        <w:rPr>
          <w:rFonts w:hint="default" w:ascii="Times New Roman" w:hAnsi="Times New Roman" w:cs="Times New Roman"/>
          <w:color w:val="auto"/>
          <w:sz w:val="24"/>
          <w:szCs w:val="20"/>
          <w:highlight w:val="none"/>
        </w:rPr>
        <w:t>将堆场内淤积物中的水排出，本次设计在护脚与现状淤泥处设置一道排水滤层，排水滤层</w:t>
      </w:r>
      <w:r>
        <w:rPr>
          <w:rFonts w:hint="default" w:ascii="Times New Roman" w:hAnsi="Times New Roman" w:cs="Times New Roman"/>
          <w:color w:val="auto"/>
          <w:sz w:val="24"/>
          <w:szCs w:val="20"/>
          <w:highlight w:val="none"/>
          <w:lang w:val="zh-CN"/>
        </w:rPr>
        <w:t>为</w:t>
      </w:r>
      <w:r>
        <w:rPr>
          <w:rFonts w:hint="default" w:ascii="Times New Roman" w:hAnsi="Times New Roman" w:cs="Times New Roman"/>
          <w:color w:val="auto"/>
          <w:sz w:val="24"/>
          <w:szCs w:val="20"/>
          <w:highlight w:val="none"/>
          <w:lang w:val="eu-ES"/>
        </w:rPr>
        <w:t>0.</w:t>
      </w:r>
      <w:r>
        <w:rPr>
          <w:rFonts w:hint="default" w:ascii="Times New Roman" w:hAnsi="Times New Roman" w:cs="Times New Roman"/>
          <w:color w:val="auto"/>
          <w:sz w:val="24"/>
          <w:szCs w:val="20"/>
          <w:highlight w:val="none"/>
          <w:lang w:val="en-US" w:eastAsia="zh-CN"/>
        </w:rPr>
        <w:t>5</w:t>
      </w:r>
      <w:r>
        <w:rPr>
          <w:rFonts w:hint="default" w:ascii="Times New Roman" w:hAnsi="Times New Roman" w:cs="Times New Roman"/>
          <w:color w:val="auto"/>
          <w:sz w:val="24"/>
          <w:szCs w:val="20"/>
          <w:highlight w:val="none"/>
          <w:lang w:val="eu-ES"/>
        </w:rPr>
        <w:t>m厚</w:t>
      </w:r>
      <w:r>
        <w:rPr>
          <w:rFonts w:hint="default" w:ascii="Times New Roman" w:hAnsi="Times New Roman" w:cs="Times New Roman"/>
          <w:color w:val="auto"/>
          <w:sz w:val="24"/>
          <w:szCs w:val="20"/>
          <w:highlight w:val="none"/>
          <w:lang w:val="zh-CN"/>
        </w:rPr>
        <w:t>天然级配砂砾混合料，砂砾中部铺设一层7.5mm厚T型复合导流网，粒径0.5mm～20mm，相对密实度不低于</w:t>
      </w:r>
      <w:r>
        <w:rPr>
          <w:rFonts w:hint="default" w:ascii="Times New Roman" w:hAnsi="Times New Roman" w:cs="Times New Roman"/>
          <w:color w:val="auto"/>
          <w:sz w:val="24"/>
          <w:szCs w:val="20"/>
          <w:highlight w:val="none"/>
          <w:lang w:val="eu-ES"/>
        </w:rPr>
        <w:t>0.75。</w:t>
      </w:r>
      <w:r>
        <w:rPr>
          <w:rFonts w:hint="default" w:ascii="Times New Roman" w:hAnsi="Times New Roman" w:cs="Times New Roman"/>
          <w:color w:val="auto"/>
          <w:sz w:val="24"/>
          <w:szCs w:val="20"/>
          <w:highlight w:val="none"/>
          <w:lang w:val="zh-CN"/>
        </w:rPr>
        <w:t>在砂砾底部铺设2道φ</w:t>
      </w:r>
      <w:r>
        <w:rPr>
          <w:rFonts w:hint="default" w:ascii="Times New Roman" w:hAnsi="Times New Roman" w:cs="Times New Roman"/>
          <w:color w:val="auto"/>
          <w:sz w:val="24"/>
          <w:szCs w:val="20"/>
          <w:highlight w:val="none"/>
        </w:rPr>
        <w:t>110</w:t>
      </w:r>
      <w:r>
        <w:rPr>
          <w:rFonts w:hint="default" w:ascii="Times New Roman" w:hAnsi="Times New Roman" w:cs="Times New Roman"/>
          <w:color w:val="auto"/>
          <w:sz w:val="24"/>
          <w:szCs w:val="20"/>
          <w:highlight w:val="none"/>
          <w:lang w:val="zh-CN"/>
        </w:rPr>
        <w:t>PE排水花管，用以导排淤泥底部的渗水</w:t>
      </w:r>
      <w:r>
        <w:rPr>
          <w:rFonts w:hint="default" w:ascii="Times New Roman" w:hAnsi="Times New Roman" w:cs="Times New Roman"/>
          <w:color w:val="auto"/>
          <w:sz w:val="24"/>
          <w:szCs w:val="20"/>
          <w:highlight w:val="none"/>
        </w:rPr>
        <w:t>。</w:t>
      </w:r>
    </w:p>
    <w:p w14:paraId="3C67DA48">
      <w:pPr>
        <w:spacing w:line="360" w:lineRule="auto"/>
        <w:ind w:firstLine="480" w:firstLineChars="200"/>
        <w:rPr>
          <w:rFonts w:hint="default" w:ascii="Times New Roman" w:hAnsi="Times New Roman" w:cs="Times New Roman"/>
          <w:color w:val="auto"/>
          <w:sz w:val="24"/>
          <w:szCs w:val="20"/>
          <w:highlight w:val="none"/>
          <w:lang w:val="en-US" w:eastAsia="zh-CN"/>
        </w:rPr>
      </w:pPr>
      <w:r>
        <w:rPr>
          <w:rFonts w:hint="eastAsia" w:ascii="Times New Roman" w:hAnsi="Times New Roman" w:cs="Times New Roman"/>
          <w:color w:val="auto"/>
          <w:sz w:val="24"/>
          <w:szCs w:val="20"/>
          <w:highlight w:val="none"/>
          <w:lang w:val="en-US" w:eastAsia="zh-CN"/>
        </w:rPr>
        <w:t>堆场平面布置</w:t>
      </w:r>
      <w:r>
        <w:rPr>
          <w:rFonts w:hint="eastAsia" w:cs="Times New Roman"/>
          <w:color w:val="auto"/>
          <w:sz w:val="24"/>
          <w:szCs w:val="20"/>
          <w:highlight w:val="none"/>
          <w:lang w:val="en-US" w:eastAsia="zh-CN"/>
        </w:rPr>
        <w:t>详见附图7.2堆场平面布置图。</w:t>
      </w:r>
    </w:p>
    <w:p w14:paraId="66E26152">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（4）护岸高度</w:t>
      </w:r>
    </w:p>
    <w:p w14:paraId="7BFB2352">
      <w:pPr>
        <w:adjustRightInd w:val="0"/>
        <w:snapToGrid w:val="0"/>
        <w:spacing w:line="360" w:lineRule="auto"/>
        <w:ind w:firstLine="480" w:firstLineChars="200"/>
        <w:rPr>
          <w:rFonts w:hint="default" w:ascii="Times New Roman" w:hAnsi="Times New Roman" w:eastAsia="宋体" w:cs="Times New Roman"/>
          <w:color w:val="auto"/>
          <w:sz w:val="24"/>
          <w:szCs w:val="28"/>
          <w:highlight w:val="none"/>
          <w:lang w:val="en-US" w:eastAsia="zh-CN"/>
        </w:rPr>
        <w:sectPr>
          <w:pgSz w:w="11905" w:h="16838"/>
          <w:pgMar w:top="1701" w:right="1701" w:bottom="1701" w:left="1701" w:header="1304" w:footer="1304"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highlight w:val="none"/>
          <w:lang w:eastAsia="zh-CN"/>
        </w:rPr>
        <w:t>石头崾岘水库库尾清淤堆场护岸高度见表</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5-4</w:t>
      </w:r>
      <w:r>
        <w:rPr>
          <w:rFonts w:hint="default" w:ascii="Times New Roman" w:hAnsi="Times New Roman" w:cs="Times New Roman"/>
          <w:color w:val="auto"/>
          <w:highlight w:val="none"/>
          <w:lang w:val="en-US" w:eastAsia="zh-CN"/>
        </w:rPr>
        <w:t>。</w:t>
      </w:r>
    </w:p>
    <w:p w14:paraId="6BF7474E">
      <w:pPr>
        <w:spacing w:line="276"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eastAsia" w:cs="Times New Roman"/>
          <w:b/>
          <w:color w:val="auto"/>
          <w:szCs w:val="21"/>
          <w:highlight w:val="none"/>
          <w:lang w:val="en-US" w:eastAsia="zh-CN"/>
        </w:rPr>
        <w:t>5-4</w:t>
      </w:r>
      <w:r>
        <w:rPr>
          <w:rFonts w:hint="default" w:ascii="Times New Roman" w:hAnsi="Times New Roman" w:cs="Times New Roman"/>
          <w:b/>
          <w:color w:val="auto"/>
          <w:szCs w:val="21"/>
          <w:highlight w:val="none"/>
        </w:rPr>
        <w:t xml:space="preserve">  石头崾岘清淤堆场护岸高度表</w:t>
      </w:r>
    </w:p>
    <w:tbl>
      <w:tblPr>
        <w:tblStyle w:val="31"/>
        <w:tblW w:w="4997" w:type="pct"/>
        <w:tblInd w:w="0" w:type="dxa"/>
        <w:tblLayout w:type="fixed"/>
        <w:tblCellMar>
          <w:top w:w="0" w:type="dxa"/>
          <w:left w:w="108" w:type="dxa"/>
          <w:bottom w:w="0" w:type="dxa"/>
          <w:right w:w="108" w:type="dxa"/>
        </w:tblCellMar>
      </w:tblPr>
      <w:tblGrid>
        <w:gridCol w:w="1010"/>
        <w:gridCol w:w="1300"/>
        <w:gridCol w:w="1084"/>
        <w:gridCol w:w="1167"/>
        <w:gridCol w:w="878"/>
        <w:gridCol w:w="753"/>
        <w:gridCol w:w="667"/>
        <w:gridCol w:w="915"/>
        <w:gridCol w:w="915"/>
        <w:gridCol w:w="915"/>
        <w:gridCol w:w="915"/>
        <w:gridCol w:w="1057"/>
        <w:gridCol w:w="1150"/>
        <w:gridCol w:w="918"/>
      </w:tblGrid>
      <w:tr w14:paraId="25DDB2E9">
        <w:tblPrEx>
          <w:tblCellMar>
            <w:top w:w="0" w:type="dxa"/>
            <w:left w:w="108" w:type="dxa"/>
            <w:bottom w:w="0" w:type="dxa"/>
            <w:right w:w="108" w:type="dxa"/>
          </w:tblCellMar>
        </w:tblPrEx>
        <w:trPr>
          <w:trHeight w:val="340" w:hRule="atLeast"/>
        </w:trPr>
        <w:tc>
          <w:tcPr>
            <w:tcW w:w="370" w:type="pct"/>
            <w:tcBorders>
              <w:top w:val="single" w:color="000000" w:sz="12" w:space="0"/>
              <w:left w:val="single" w:color="000000" w:sz="12" w:space="0"/>
              <w:bottom w:val="single" w:color="000000" w:sz="8" w:space="0"/>
              <w:right w:val="single" w:color="000000" w:sz="8" w:space="0"/>
            </w:tcBorders>
            <w:shd w:val="clear" w:color="auto" w:fill="FFFFFF"/>
            <w:noWrap w:val="0"/>
            <w:vAlign w:val="center"/>
          </w:tcPr>
          <w:p w14:paraId="6FBA4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河道段落</w:t>
            </w:r>
          </w:p>
        </w:tc>
        <w:tc>
          <w:tcPr>
            <w:tcW w:w="476"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3426C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河道中心桩号（km+m</w:t>
            </w:r>
            <w:r>
              <w:rPr>
                <w:rFonts w:hint="eastAsia" w:cs="Times New Roman"/>
                <w:b/>
                <w:bCs/>
                <w:color w:val="auto"/>
                <w:kern w:val="0"/>
                <w:sz w:val="18"/>
                <w:szCs w:val="18"/>
                <w:highlight w:val="none"/>
                <w:lang w:eastAsia="zh-CN" w:bidi="ar"/>
              </w:rPr>
              <w:t>）</w:t>
            </w:r>
          </w:p>
        </w:tc>
        <w:tc>
          <w:tcPr>
            <w:tcW w:w="397"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2D0B7D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设计沟底高程</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m</w:t>
            </w:r>
            <w:r>
              <w:rPr>
                <w:rFonts w:hint="eastAsia" w:cs="Times New Roman"/>
                <w:b/>
                <w:bCs/>
                <w:color w:val="auto"/>
                <w:kern w:val="0"/>
                <w:sz w:val="18"/>
                <w:szCs w:val="18"/>
                <w:highlight w:val="none"/>
                <w:lang w:eastAsia="zh-CN" w:bidi="ar"/>
              </w:rPr>
              <w:t>）</w:t>
            </w:r>
          </w:p>
        </w:tc>
        <w:tc>
          <w:tcPr>
            <w:tcW w:w="427"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1F1BA8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流量</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m</w:t>
            </w:r>
            <w:r>
              <w:rPr>
                <w:rFonts w:hint="default" w:ascii="Times New Roman" w:hAnsi="Times New Roman" w:cs="Times New Roman"/>
                <w:b/>
                <w:bCs/>
                <w:color w:val="auto"/>
                <w:kern w:val="0"/>
                <w:sz w:val="18"/>
                <w:szCs w:val="18"/>
                <w:highlight w:val="none"/>
                <w:vertAlign w:val="superscript"/>
                <w:lang w:bidi="ar"/>
              </w:rPr>
              <w:t>3</w:t>
            </w:r>
            <w:r>
              <w:rPr>
                <w:rFonts w:hint="default" w:ascii="Times New Roman" w:hAnsi="Times New Roman" w:cs="Times New Roman"/>
                <w:b/>
                <w:bCs/>
                <w:color w:val="auto"/>
                <w:kern w:val="0"/>
                <w:sz w:val="18"/>
                <w:szCs w:val="18"/>
                <w:highlight w:val="none"/>
                <w:lang w:bidi="ar"/>
              </w:rPr>
              <w:t>/s</w:t>
            </w:r>
            <w:r>
              <w:rPr>
                <w:rFonts w:hint="eastAsia" w:cs="Times New Roman"/>
                <w:b/>
                <w:bCs/>
                <w:color w:val="auto"/>
                <w:kern w:val="0"/>
                <w:sz w:val="18"/>
                <w:szCs w:val="18"/>
                <w:highlight w:val="none"/>
                <w:lang w:eastAsia="zh-CN" w:bidi="ar"/>
              </w:rPr>
              <w:t>）</w:t>
            </w:r>
          </w:p>
        </w:tc>
        <w:tc>
          <w:tcPr>
            <w:tcW w:w="321"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1DE27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河宽</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m</w:t>
            </w:r>
            <w:r>
              <w:rPr>
                <w:rFonts w:hint="eastAsia" w:cs="Times New Roman"/>
                <w:b/>
                <w:bCs/>
                <w:color w:val="auto"/>
                <w:kern w:val="0"/>
                <w:sz w:val="18"/>
                <w:szCs w:val="18"/>
                <w:highlight w:val="none"/>
                <w:lang w:eastAsia="zh-CN" w:bidi="ar"/>
              </w:rPr>
              <w:t>）</w:t>
            </w:r>
          </w:p>
        </w:tc>
        <w:tc>
          <w:tcPr>
            <w:tcW w:w="520" w:type="pct"/>
            <w:gridSpan w:val="2"/>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45D84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边坡</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1：m</w:t>
            </w:r>
            <w:r>
              <w:rPr>
                <w:rFonts w:hint="eastAsia" w:cs="Times New Roman"/>
                <w:b/>
                <w:bCs/>
                <w:color w:val="auto"/>
                <w:kern w:val="0"/>
                <w:sz w:val="18"/>
                <w:szCs w:val="18"/>
                <w:highlight w:val="none"/>
                <w:lang w:eastAsia="zh-CN" w:bidi="ar"/>
              </w:rPr>
              <w:t>）</w:t>
            </w:r>
          </w:p>
        </w:tc>
        <w:tc>
          <w:tcPr>
            <w:tcW w:w="335"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2A4B3A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糙率</w:t>
            </w:r>
          </w:p>
        </w:tc>
        <w:tc>
          <w:tcPr>
            <w:tcW w:w="335"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62A6F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比降</w:t>
            </w:r>
          </w:p>
        </w:tc>
        <w:tc>
          <w:tcPr>
            <w:tcW w:w="335"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4B5417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流速</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m/s</w:t>
            </w:r>
            <w:r>
              <w:rPr>
                <w:rFonts w:hint="eastAsia" w:cs="Times New Roman"/>
                <w:b/>
                <w:bCs/>
                <w:color w:val="auto"/>
                <w:kern w:val="0"/>
                <w:sz w:val="18"/>
                <w:szCs w:val="18"/>
                <w:highlight w:val="none"/>
                <w:lang w:eastAsia="zh-CN" w:bidi="ar"/>
              </w:rPr>
              <w:t>）</w:t>
            </w:r>
          </w:p>
        </w:tc>
        <w:tc>
          <w:tcPr>
            <w:tcW w:w="335"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2118BA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水深</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m</w:t>
            </w:r>
            <w:r>
              <w:rPr>
                <w:rFonts w:hint="eastAsia" w:cs="Times New Roman"/>
                <w:b/>
                <w:bCs/>
                <w:color w:val="auto"/>
                <w:kern w:val="0"/>
                <w:sz w:val="18"/>
                <w:szCs w:val="18"/>
                <w:highlight w:val="none"/>
                <w:lang w:eastAsia="zh-CN" w:bidi="ar"/>
              </w:rPr>
              <w:t>）</w:t>
            </w:r>
          </w:p>
        </w:tc>
        <w:tc>
          <w:tcPr>
            <w:tcW w:w="387"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2BAB40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过水面积</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m</w:t>
            </w:r>
            <w:r>
              <w:rPr>
                <w:rFonts w:hint="default" w:ascii="Times New Roman" w:hAnsi="Times New Roman" w:cs="Times New Roman"/>
                <w:b/>
                <w:bCs/>
                <w:color w:val="auto"/>
                <w:kern w:val="0"/>
                <w:sz w:val="18"/>
                <w:szCs w:val="18"/>
                <w:highlight w:val="none"/>
                <w:vertAlign w:val="superscript"/>
                <w:lang w:bidi="ar"/>
              </w:rPr>
              <w:t>2</w:t>
            </w:r>
            <w:r>
              <w:rPr>
                <w:rFonts w:hint="eastAsia" w:cs="Times New Roman"/>
                <w:b/>
                <w:bCs/>
                <w:color w:val="auto"/>
                <w:kern w:val="0"/>
                <w:sz w:val="18"/>
                <w:szCs w:val="18"/>
                <w:highlight w:val="none"/>
                <w:vertAlign w:val="superscript"/>
                <w:lang w:eastAsia="zh-CN" w:bidi="ar"/>
              </w:rPr>
              <w:t>）</w:t>
            </w:r>
          </w:p>
        </w:tc>
        <w:tc>
          <w:tcPr>
            <w:tcW w:w="421"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3F81A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设计水位</w:t>
            </w:r>
            <w:r>
              <w:rPr>
                <w:rFonts w:hint="eastAsia" w:cs="Times New Roman"/>
                <w:b/>
                <w:bCs/>
                <w:color w:val="auto"/>
                <w:kern w:val="0"/>
                <w:sz w:val="18"/>
                <w:szCs w:val="18"/>
                <w:highlight w:val="none"/>
                <w:lang w:eastAsia="zh-CN" w:bidi="ar"/>
              </w:rPr>
              <w:t>（</w:t>
            </w:r>
            <w:r>
              <w:rPr>
                <w:rFonts w:hint="default" w:ascii="Times New Roman" w:hAnsi="Times New Roman" w:cs="Times New Roman"/>
                <w:b/>
                <w:bCs/>
                <w:color w:val="auto"/>
                <w:kern w:val="0"/>
                <w:sz w:val="18"/>
                <w:szCs w:val="18"/>
                <w:highlight w:val="none"/>
                <w:lang w:bidi="ar"/>
              </w:rPr>
              <w:t>m</w:t>
            </w:r>
            <w:r>
              <w:rPr>
                <w:rFonts w:hint="eastAsia" w:cs="Times New Roman"/>
                <w:b/>
                <w:bCs/>
                <w:color w:val="auto"/>
                <w:kern w:val="0"/>
                <w:sz w:val="18"/>
                <w:szCs w:val="18"/>
                <w:highlight w:val="none"/>
                <w:lang w:eastAsia="zh-CN" w:bidi="ar"/>
              </w:rPr>
              <w:t>）</w:t>
            </w:r>
          </w:p>
        </w:tc>
        <w:tc>
          <w:tcPr>
            <w:tcW w:w="336" w:type="pct"/>
            <w:tcBorders>
              <w:top w:val="single" w:color="000000" w:sz="12" w:space="0"/>
              <w:left w:val="single" w:color="000000" w:sz="8" w:space="0"/>
              <w:bottom w:val="single" w:color="000000" w:sz="8" w:space="0"/>
              <w:right w:val="single" w:color="000000" w:sz="8" w:space="0"/>
            </w:tcBorders>
            <w:shd w:val="clear" w:color="auto" w:fill="FFFFFF"/>
            <w:noWrap w:val="0"/>
            <w:vAlign w:val="center"/>
          </w:tcPr>
          <w:p w14:paraId="22689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kern w:val="0"/>
                <w:sz w:val="18"/>
                <w:szCs w:val="18"/>
                <w:highlight w:val="none"/>
                <w:lang w:bidi="ar"/>
              </w:rPr>
              <w:t>设计护岸高程（m）</w:t>
            </w:r>
          </w:p>
        </w:tc>
      </w:tr>
      <w:tr w14:paraId="1EDD3CD1">
        <w:tblPrEx>
          <w:tblCellMar>
            <w:top w:w="0" w:type="dxa"/>
            <w:left w:w="108" w:type="dxa"/>
            <w:bottom w:w="0" w:type="dxa"/>
            <w:right w:w="108" w:type="dxa"/>
          </w:tblCellMar>
        </w:tblPrEx>
        <w:trPr>
          <w:trHeight w:val="340" w:hRule="atLeast"/>
        </w:trPr>
        <w:tc>
          <w:tcPr>
            <w:tcW w:w="370" w:type="pct"/>
            <w:vMerge w:val="restart"/>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3A8CF7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石头崾岘水库库尾堆场</w:t>
            </w: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E6214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9D69F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F928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23D6C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2571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18"/>
                <w:szCs w:val="18"/>
                <w:highlight w:val="none"/>
              </w:rPr>
            </w:pPr>
            <w:r>
              <w:rPr>
                <w:rFonts w:hint="default" w:ascii="Times New Roman" w:hAnsi="Times New Roman" w:eastAsia="等线" w:cs="Times New Roman"/>
                <w:color w:val="auto"/>
                <w:kern w:val="0"/>
                <w:sz w:val="18"/>
                <w:szCs w:val="18"/>
                <w:highlight w:val="none"/>
                <w:lang w:bidi="ar"/>
              </w:rPr>
              <w:t>左</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A43E3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18"/>
                <w:szCs w:val="18"/>
                <w:highlight w:val="none"/>
              </w:rPr>
            </w:pPr>
            <w:r>
              <w:rPr>
                <w:rFonts w:hint="default" w:ascii="Times New Roman" w:hAnsi="Times New Roman" w:eastAsia="等线" w:cs="Times New Roman"/>
                <w:color w:val="auto"/>
                <w:kern w:val="0"/>
                <w:sz w:val="18"/>
                <w:szCs w:val="18"/>
                <w:highlight w:val="none"/>
                <w:lang w:bidi="ar"/>
              </w:rPr>
              <w:t>右</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DD741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CB41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8475F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76D26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6D44F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3E902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3AA4C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highlight w:val="none"/>
              </w:rPr>
            </w:pPr>
          </w:p>
        </w:tc>
      </w:tr>
      <w:tr w14:paraId="35478E98">
        <w:tblPrEx>
          <w:tblCellMar>
            <w:top w:w="0" w:type="dxa"/>
            <w:left w:w="108" w:type="dxa"/>
            <w:bottom w:w="0" w:type="dxa"/>
            <w:right w:w="108" w:type="dxa"/>
          </w:tblCellMar>
        </w:tblPrEx>
        <w:trPr>
          <w:trHeight w:val="340" w:hRule="atLeast"/>
        </w:trPr>
        <w:tc>
          <w:tcPr>
            <w:tcW w:w="370" w:type="pct"/>
            <w:vMerge w:val="continue"/>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7E2D6A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等线" w:cs="Times New Roman"/>
                <w:color w:val="auto"/>
                <w:sz w:val="18"/>
                <w:szCs w:val="18"/>
                <w:highlight w:val="none"/>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E3C0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堆场</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34636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1472.86</w:t>
            </w: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C6D9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599</w:t>
            </w: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F0E5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235</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7EF43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C8920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6A7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0.035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33C3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1/640</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05847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1.55 </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67D0F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1.63 </w:t>
            </w: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1181C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387.33 </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63587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1474.49 </w:t>
            </w: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91BF1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r>
      <w:tr w14:paraId="031F1086">
        <w:tblPrEx>
          <w:tblCellMar>
            <w:top w:w="0" w:type="dxa"/>
            <w:left w:w="108" w:type="dxa"/>
            <w:bottom w:w="0" w:type="dxa"/>
            <w:right w:w="108" w:type="dxa"/>
          </w:tblCellMar>
        </w:tblPrEx>
        <w:trPr>
          <w:trHeight w:val="340" w:hRule="atLeast"/>
        </w:trPr>
        <w:tc>
          <w:tcPr>
            <w:tcW w:w="370" w:type="pct"/>
            <w:vMerge w:val="continue"/>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0A0B4D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等线" w:cs="Times New Roman"/>
                <w:color w:val="auto"/>
                <w:sz w:val="18"/>
                <w:szCs w:val="18"/>
                <w:highlight w:val="none"/>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2F9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堆场</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CEF1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1472.6</w:t>
            </w: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954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599</w:t>
            </w: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71DC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220</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91BC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8475C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64DA5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0.035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D37C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1/640</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3024C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1.59 </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9D383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1.70 </w:t>
            </w: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6725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377.65 </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E8A9D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1474.30 </w:t>
            </w: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4F7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r>
      <w:tr w14:paraId="16957D7C">
        <w:tblPrEx>
          <w:tblCellMar>
            <w:top w:w="0" w:type="dxa"/>
            <w:left w:w="108" w:type="dxa"/>
            <w:bottom w:w="0" w:type="dxa"/>
            <w:right w:w="108" w:type="dxa"/>
          </w:tblCellMar>
        </w:tblPrEx>
        <w:trPr>
          <w:trHeight w:val="340" w:hRule="atLeast"/>
        </w:trPr>
        <w:tc>
          <w:tcPr>
            <w:tcW w:w="370" w:type="pct"/>
            <w:vMerge w:val="continue"/>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67CD9A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等线" w:cs="Times New Roman"/>
                <w:color w:val="auto"/>
                <w:sz w:val="18"/>
                <w:szCs w:val="18"/>
                <w:highlight w:val="none"/>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9CCD1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堆场</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9EB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1473.37</w:t>
            </w: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87A0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599</w:t>
            </w: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245A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225</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0638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6A02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906D4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0.035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CCA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1/640</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E0AAE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1.57 </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01B35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1.67 </w:t>
            </w: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4F573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380.92 </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FF0A5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1475.04 </w:t>
            </w: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5FB41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r>
      <w:tr w14:paraId="02A14E56">
        <w:tblPrEx>
          <w:tblCellMar>
            <w:top w:w="0" w:type="dxa"/>
            <w:left w:w="108" w:type="dxa"/>
            <w:bottom w:w="0" w:type="dxa"/>
            <w:right w:w="108" w:type="dxa"/>
          </w:tblCellMar>
        </w:tblPrEx>
        <w:trPr>
          <w:trHeight w:val="340" w:hRule="atLeast"/>
        </w:trPr>
        <w:tc>
          <w:tcPr>
            <w:tcW w:w="370" w:type="pct"/>
            <w:vMerge w:val="continue"/>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6F6404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等线" w:cs="Times New Roman"/>
                <w:color w:val="auto"/>
                <w:sz w:val="18"/>
                <w:szCs w:val="18"/>
                <w:highlight w:val="none"/>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CED59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4</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堆场</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25EF2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1474.75</w:t>
            </w: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E8AE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599</w:t>
            </w: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1E89C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277</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94CDC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42952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4C5E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0.035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46463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1/640</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55D1D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1.45 </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1F86D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1.48 </w:t>
            </w: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06F7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412.73 </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15166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1476.23 </w:t>
            </w: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40E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r>
      <w:tr w14:paraId="38F9987F">
        <w:tblPrEx>
          <w:tblCellMar>
            <w:top w:w="0" w:type="dxa"/>
            <w:left w:w="108" w:type="dxa"/>
            <w:bottom w:w="0" w:type="dxa"/>
            <w:right w:w="108" w:type="dxa"/>
          </w:tblCellMar>
        </w:tblPrEx>
        <w:trPr>
          <w:trHeight w:val="340" w:hRule="atLeast"/>
        </w:trPr>
        <w:tc>
          <w:tcPr>
            <w:tcW w:w="370" w:type="pct"/>
            <w:vMerge w:val="continue"/>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6A2E82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等线" w:cs="Times New Roman"/>
                <w:color w:val="auto"/>
                <w:sz w:val="18"/>
                <w:szCs w:val="18"/>
                <w:highlight w:val="none"/>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4D331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堆场</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327EF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1475.1</w:t>
            </w: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59755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599</w:t>
            </w: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6E4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271</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F9CA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CCE9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175CE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0.035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FE83A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1/640</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3FBD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1.46 </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7D908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1.50 </w:t>
            </w: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E8AE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409.24 </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CB0C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1476.60 </w:t>
            </w: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61DA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r>
      <w:tr w14:paraId="5DC78535">
        <w:tblPrEx>
          <w:tblCellMar>
            <w:top w:w="0" w:type="dxa"/>
            <w:left w:w="108" w:type="dxa"/>
            <w:bottom w:w="0" w:type="dxa"/>
            <w:right w:w="108" w:type="dxa"/>
          </w:tblCellMar>
        </w:tblPrEx>
        <w:trPr>
          <w:trHeight w:val="340" w:hRule="atLeast"/>
        </w:trPr>
        <w:tc>
          <w:tcPr>
            <w:tcW w:w="370" w:type="pct"/>
            <w:vMerge w:val="continue"/>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5474CD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等线" w:cs="Times New Roman"/>
                <w:color w:val="auto"/>
                <w:sz w:val="18"/>
                <w:szCs w:val="18"/>
                <w:highlight w:val="none"/>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1A22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6</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堆场</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406B1C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1475.7</w:t>
            </w: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7661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599</w:t>
            </w: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D53FE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313</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05DA7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EE91C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4C2D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0.035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356F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1/640</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4FB07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1.38 </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3E53A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1.37 </w:t>
            </w: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CDB0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432.82 </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F955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1477.07 </w:t>
            </w: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F2D0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r>
      <w:tr w14:paraId="1918719B">
        <w:tblPrEx>
          <w:tblCellMar>
            <w:top w:w="0" w:type="dxa"/>
            <w:left w:w="108" w:type="dxa"/>
            <w:bottom w:w="0" w:type="dxa"/>
            <w:right w:w="108" w:type="dxa"/>
          </w:tblCellMar>
        </w:tblPrEx>
        <w:trPr>
          <w:trHeight w:val="340" w:hRule="atLeast"/>
        </w:trPr>
        <w:tc>
          <w:tcPr>
            <w:tcW w:w="370" w:type="pct"/>
            <w:vMerge w:val="continue"/>
            <w:tcBorders>
              <w:top w:val="single" w:color="000000" w:sz="8" w:space="0"/>
              <w:left w:val="single" w:color="000000" w:sz="12" w:space="0"/>
              <w:bottom w:val="single" w:color="000000" w:sz="8" w:space="0"/>
              <w:right w:val="single" w:color="000000" w:sz="8" w:space="0"/>
            </w:tcBorders>
            <w:shd w:val="clear" w:color="auto" w:fill="FFFFFF"/>
            <w:noWrap w:val="0"/>
            <w:vAlign w:val="center"/>
          </w:tcPr>
          <w:p w14:paraId="123600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等线" w:cs="Times New Roman"/>
                <w:color w:val="auto"/>
                <w:sz w:val="18"/>
                <w:szCs w:val="18"/>
                <w:highlight w:val="none"/>
              </w:rPr>
            </w:pPr>
          </w:p>
        </w:tc>
        <w:tc>
          <w:tcPr>
            <w:tcW w:w="47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79FA85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7</w:t>
            </w:r>
            <w:r>
              <w:rPr>
                <w:rFonts w:hint="eastAsia" w:cs="Times New Roman"/>
                <w:color w:val="auto"/>
                <w:kern w:val="0"/>
                <w:sz w:val="18"/>
                <w:szCs w:val="18"/>
                <w:highlight w:val="none"/>
                <w:vertAlign w:val="superscript"/>
                <w:lang w:eastAsia="zh-CN" w:bidi="ar"/>
              </w:rPr>
              <w:t>#</w:t>
            </w:r>
            <w:r>
              <w:rPr>
                <w:rFonts w:hint="default" w:ascii="Times New Roman" w:hAnsi="Times New Roman" w:cs="Times New Roman"/>
                <w:color w:val="auto"/>
                <w:kern w:val="0"/>
                <w:sz w:val="18"/>
                <w:szCs w:val="18"/>
                <w:highlight w:val="none"/>
                <w:lang w:bidi="ar"/>
              </w:rPr>
              <w:t>堆场</w:t>
            </w:r>
          </w:p>
        </w:tc>
        <w:tc>
          <w:tcPr>
            <w:tcW w:w="39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6F86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1476.1</w:t>
            </w:r>
          </w:p>
        </w:tc>
        <w:tc>
          <w:tcPr>
            <w:tcW w:w="427"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7DBA9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599</w:t>
            </w:r>
          </w:p>
        </w:tc>
        <w:tc>
          <w:tcPr>
            <w:tcW w:w="321"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6FD97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320</w:t>
            </w:r>
          </w:p>
        </w:tc>
        <w:tc>
          <w:tcPr>
            <w:tcW w:w="27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B1FAC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244"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064B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E0B1E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0.035</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C499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1/640</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5120D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1.37 </w:t>
            </w:r>
          </w:p>
        </w:tc>
        <w:tc>
          <w:tcPr>
            <w:tcW w:w="335"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DE02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1.36 </w:t>
            </w:r>
          </w:p>
        </w:tc>
        <w:tc>
          <w:tcPr>
            <w:tcW w:w="387"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E385D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436.57 </w:t>
            </w:r>
          </w:p>
        </w:tc>
        <w:tc>
          <w:tcPr>
            <w:tcW w:w="421"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F4E7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 xml:space="preserve">1477.46 </w:t>
            </w:r>
          </w:p>
        </w:tc>
        <w:tc>
          <w:tcPr>
            <w:tcW w:w="336" w:type="pct"/>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222F9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w:t>
            </w:r>
          </w:p>
        </w:tc>
      </w:tr>
    </w:tbl>
    <w:p w14:paraId="33F6DA0F">
      <w:pPr>
        <w:adjustRightInd w:val="0"/>
        <w:snapToGrid w:val="0"/>
        <w:spacing w:line="360" w:lineRule="auto"/>
        <w:ind w:firstLine="480" w:firstLineChars="200"/>
        <w:rPr>
          <w:rFonts w:hint="default" w:ascii="Times New Roman" w:hAnsi="Times New Roman" w:cs="Times New Roman"/>
          <w:color w:val="auto"/>
          <w:sz w:val="24"/>
          <w:szCs w:val="28"/>
          <w:highlight w:val="none"/>
        </w:rPr>
      </w:pPr>
    </w:p>
    <w:p w14:paraId="07028A65">
      <w:pPr>
        <w:adjustRightInd w:val="0"/>
        <w:snapToGrid w:val="0"/>
        <w:spacing w:line="360" w:lineRule="auto"/>
        <w:ind w:firstLine="480" w:firstLineChars="200"/>
        <w:rPr>
          <w:rFonts w:hint="default" w:ascii="Times New Roman" w:hAnsi="Times New Roman" w:cs="Times New Roman"/>
          <w:color w:val="auto"/>
          <w:sz w:val="24"/>
          <w:szCs w:val="28"/>
          <w:highlight w:val="none"/>
        </w:rPr>
        <w:sectPr>
          <w:pgSz w:w="16838" w:h="11905" w:orient="landscape"/>
          <w:pgMar w:top="1701" w:right="1701" w:bottom="1701" w:left="1701" w:header="1304" w:footer="1304" w:gutter="0"/>
          <w:pgBorders>
            <w:top w:val="none" w:sz="0" w:space="0"/>
            <w:left w:val="none" w:sz="0" w:space="0"/>
            <w:bottom w:val="none" w:sz="0" w:space="0"/>
            <w:right w:val="none" w:sz="0" w:space="0"/>
          </w:pgBorders>
          <w:pgNumType w:fmt="decimal"/>
          <w:cols w:space="720" w:num="1"/>
          <w:docGrid w:linePitch="312" w:charSpace="0"/>
        </w:sectPr>
      </w:pPr>
    </w:p>
    <w:p w14:paraId="7F24276D">
      <w:pPr>
        <w:pStyle w:val="4"/>
        <w:outlineLvl w:val="1"/>
        <w:rPr>
          <w:rFonts w:hint="default" w:ascii="Times New Roman" w:hAnsi="Times New Roman" w:cs="Times New Roman"/>
          <w:color w:val="auto"/>
          <w:sz w:val="28"/>
          <w:szCs w:val="28"/>
          <w:highlight w:val="none"/>
        </w:rPr>
      </w:pPr>
      <w:bookmarkStart w:id="3058" w:name="_Toc17750"/>
      <w:bookmarkStart w:id="3059" w:name="_Toc27503"/>
      <w:bookmarkStart w:id="3060" w:name="_Toc20718"/>
      <w:bookmarkStart w:id="3061" w:name="_Toc12088"/>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公用工程</w:t>
      </w:r>
      <w:bookmarkEnd w:id="3058"/>
      <w:bookmarkEnd w:id="3059"/>
      <w:bookmarkEnd w:id="3060"/>
      <w:bookmarkEnd w:id="3061"/>
    </w:p>
    <w:p w14:paraId="0A8C77E7">
      <w:pPr>
        <w:pStyle w:val="6"/>
        <w:rPr>
          <w:rFonts w:hint="default" w:ascii="Times New Roman" w:hAnsi="Times New Roman" w:cs="Times New Roman"/>
          <w:color w:val="auto"/>
          <w:sz w:val="28"/>
          <w:szCs w:val="28"/>
          <w:highlight w:val="none"/>
        </w:rPr>
      </w:pPr>
      <w:bookmarkStart w:id="3062" w:name="_Toc25988"/>
      <w:bookmarkStart w:id="3063" w:name="_Toc25262"/>
      <w:bookmarkStart w:id="3064" w:name="_Toc31423"/>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.1给排水</w:t>
      </w:r>
      <w:bookmarkEnd w:id="3062"/>
      <w:bookmarkEnd w:id="3063"/>
      <w:bookmarkEnd w:id="3064"/>
    </w:p>
    <w:p w14:paraId="10A99293">
      <w:pPr>
        <w:jc w:val="both"/>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给</w:t>
      </w:r>
      <w:r>
        <w:rPr>
          <w:rFonts w:hint="default" w:ascii="Times New Roman" w:hAnsi="Times New Roman" w:cs="Times New Roman"/>
          <w:color w:val="auto"/>
          <w:sz w:val="24"/>
          <w:szCs w:val="24"/>
          <w:highlight w:val="none"/>
          <w:lang w:val="en-US" w:eastAsia="zh-CN"/>
        </w:rPr>
        <w:t>水</w:t>
      </w:r>
    </w:p>
    <w:p w14:paraId="5036E994">
      <w:pPr>
        <w:jc w:val="both"/>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项目区施工期施工用水主要</w:t>
      </w:r>
      <w:r>
        <w:rPr>
          <w:rFonts w:hint="default" w:ascii="Times New Roman" w:hAnsi="Times New Roman" w:eastAsia="宋体" w:cs="Times New Roman"/>
          <w:color w:val="auto"/>
          <w:sz w:val="24"/>
          <w:szCs w:val="24"/>
          <w:highlight w:val="none"/>
        </w:rPr>
        <w:t>采用</w:t>
      </w:r>
      <w:r>
        <w:rPr>
          <w:rFonts w:hint="default" w:ascii="Times New Roman" w:hAnsi="Times New Roman" w:eastAsia="宋体" w:cs="Times New Roman"/>
          <w:color w:val="auto"/>
          <w:sz w:val="24"/>
          <w:szCs w:val="24"/>
          <w:highlight w:val="none"/>
          <w:lang w:val="en-US" w:eastAsia="zh-CN"/>
        </w:rPr>
        <w:t>茹河地表水，</w:t>
      </w:r>
      <w:r>
        <w:rPr>
          <w:rFonts w:hint="default" w:ascii="Times New Roman" w:hAnsi="Times New Roman" w:eastAsia="宋体" w:cs="Times New Roman"/>
          <w:color w:val="auto"/>
          <w:sz w:val="24"/>
          <w:szCs w:val="24"/>
          <w:highlight w:val="none"/>
        </w:rPr>
        <w:t>在没有地表水的情况下，施工用水采用水车拉运。由于本工程项目区绝大多数处在干旱半干旱地区，拉水运距较远，普遍在5</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10km。在各主要施工点设30m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的钢板水箱存蓄水。</w:t>
      </w:r>
    </w:p>
    <w:p w14:paraId="607415C1">
      <w:pPr>
        <w:jc w:val="both"/>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项目施工人员租用附近民房，生活</w:t>
      </w:r>
      <w:r>
        <w:rPr>
          <w:rFonts w:hint="default" w:ascii="Times New Roman" w:hAnsi="Times New Roman" w:cs="Times New Roman"/>
          <w:color w:val="auto"/>
          <w:sz w:val="24"/>
          <w:szCs w:val="24"/>
          <w:highlight w:val="none"/>
          <w:lang w:eastAsia="zh-CN"/>
        </w:rPr>
        <w:t>用水</w:t>
      </w:r>
      <w:r>
        <w:rPr>
          <w:rFonts w:hint="default" w:ascii="Times New Roman" w:hAnsi="Times New Roman" w:eastAsia="宋体" w:cs="Times New Roman"/>
          <w:color w:val="auto"/>
          <w:sz w:val="24"/>
          <w:szCs w:val="24"/>
          <w:highlight w:val="none"/>
          <w:lang w:eastAsia="zh-CN"/>
        </w:rPr>
        <w:t>依托民房</w:t>
      </w:r>
      <w:r>
        <w:rPr>
          <w:rFonts w:hint="default" w:ascii="Times New Roman" w:hAnsi="Times New Roman" w:cs="Times New Roman"/>
          <w:color w:val="auto"/>
          <w:sz w:val="24"/>
          <w:szCs w:val="24"/>
          <w:highlight w:val="none"/>
          <w:lang w:eastAsia="zh-CN"/>
        </w:rPr>
        <w:t>周边水源地供水</w:t>
      </w:r>
      <w:r>
        <w:rPr>
          <w:rFonts w:hint="default" w:ascii="Times New Roman" w:hAnsi="Times New Roman" w:eastAsia="宋体" w:cs="Times New Roman"/>
          <w:color w:val="auto"/>
          <w:sz w:val="24"/>
          <w:szCs w:val="24"/>
          <w:highlight w:val="none"/>
          <w:lang w:eastAsia="zh-CN"/>
        </w:rPr>
        <w:t>。</w:t>
      </w:r>
    </w:p>
    <w:p w14:paraId="23478E97">
      <w:pPr>
        <w:jc w:val="both"/>
        <w:outlineLvl w:val="9"/>
        <w:rPr>
          <w:rFonts w:hint="default" w:ascii="Times New Roman" w:hAnsi="Times New Roman" w:cs="Times New Roman" w:eastAsiaTheme="minorEastAsia"/>
          <w:snapToGrid w:val="0"/>
          <w:color w:val="auto"/>
          <w:kern w:val="0"/>
          <w:sz w:val="24"/>
          <w:highlight w:val="none"/>
          <w:lang w:val="en-US" w:eastAsia="zh-CN"/>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施工人员约</w:t>
      </w:r>
      <w:r>
        <w:rPr>
          <w:rFonts w:hint="default" w:ascii="Times New Roman" w:hAnsi="Times New Roman" w:cs="Times New Roman"/>
          <w:color w:val="auto"/>
          <w:sz w:val="24"/>
          <w:szCs w:val="24"/>
          <w:highlight w:val="none"/>
          <w:lang w:val="en-US" w:eastAsia="zh-CN"/>
        </w:rPr>
        <w:t>100人，施工时长14个月，</w:t>
      </w:r>
      <w:r>
        <w:rPr>
          <w:rFonts w:hint="default" w:ascii="Times New Roman" w:hAnsi="Times New Roman" w:cs="Times New Roman" w:eastAsiaTheme="minorEastAsia"/>
          <w:snapToGrid w:val="0"/>
          <w:color w:val="auto"/>
          <w:kern w:val="0"/>
          <w:sz w:val="24"/>
          <w:highlight w:val="none"/>
          <w:lang w:val="zh-CN"/>
        </w:rPr>
        <w:t>用水量按60L/人·d计，施工期生活</w:t>
      </w:r>
      <w:r>
        <w:rPr>
          <w:rFonts w:hint="eastAsia" w:ascii="Times New Roman" w:hAnsi="Times New Roman" w:cs="Times New Roman" w:eastAsiaTheme="minorEastAsia"/>
          <w:snapToGrid w:val="0"/>
          <w:color w:val="auto"/>
          <w:kern w:val="0"/>
          <w:sz w:val="24"/>
          <w:highlight w:val="none"/>
          <w:lang w:val="zh-CN"/>
        </w:rPr>
        <w:t>用</w:t>
      </w:r>
      <w:r>
        <w:rPr>
          <w:rFonts w:hint="default" w:ascii="Times New Roman" w:hAnsi="Times New Roman" w:cs="Times New Roman" w:eastAsiaTheme="minorEastAsia"/>
          <w:snapToGrid w:val="0"/>
          <w:color w:val="auto"/>
          <w:kern w:val="0"/>
          <w:sz w:val="24"/>
          <w:highlight w:val="none"/>
          <w:lang w:val="zh-CN"/>
        </w:rPr>
        <w:t>水量约</w:t>
      </w:r>
      <w:r>
        <w:rPr>
          <w:rFonts w:hint="default" w:ascii="Times New Roman" w:hAnsi="Times New Roman" w:cs="Times New Roman" w:eastAsiaTheme="minorEastAsia"/>
          <w:snapToGrid w:val="0"/>
          <w:color w:val="auto"/>
          <w:kern w:val="0"/>
          <w:sz w:val="24"/>
          <w:highlight w:val="none"/>
          <w:lang w:val="en-US" w:eastAsia="zh-CN"/>
        </w:rPr>
        <w:t>252</w:t>
      </w:r>
      <w:r>
        <w:rPr>
          <w:rFonts w:hint="eastAsia" w:ascii="Times New Roman" w:hAnsi="Times New Roman" w:cs="Times New Roman" w:eastAsiaTheme="minorEastAsia"/>
          <w:snapToGrid w:val="0"/>
          <w:color w:val="auto"/>
          <w:kern w:val="0"/>
          <w:sz w:val="24"/>
          <w:highlight w:val="none"/>
          <w:lang w:val="en-US" w:eastAsia="zh-CN"/>
        </w:rPr>
        <w:t>0</w:t>
      </w:r>
      <w:r>
        <w:rPr>
          <w:rFonts w:hint="default" w:ascii="Times New Roman" w:hAnsi="Times New Roman" w:cs="Times New Roman" w:eastAsiaTheme="minorEastAsia"/>
          <w:snapToGrid w:val="0"/>
          <w:color w:val="auto"/>
          <w:kern w:val="0"/>
          <w:sz w:val="24"/>
          <w:highlight w:val="none"/>
          <w:lang w:val="en-US" w:eastAsia="zh-CN"/>
        </w:rPr>
        <w:t>m</w:t>
      </w:r>
      <w:r>
        <w:rPr>
          <w:rFonts w:hint="default" w:ascii="Times New Roman" w:hAnsi="Times New Roman" w:cs="Times New Roman" w:eastAsiaTheme="minorEastAsia"/>
          <w:snapToGrid w:val="0"/>
          <w:color w:val="auto"/>
          <w:kern w:val="0"/>
          <w:sz w:val="24"/>
          <w:highlight w:val="none"/>
          <w:vertAlign w:val="superscript"/>
          <w:lang w:val="en-US" w:eastAsia="zh-CN"/>
        </w:rPr>
        <w:t>3</w:t>
      </w:r>
      <w:r>
        <w:rPr>
          <w:rFonts w:hint="default" w:ascii="Times New Roman" w:hAnsi="Times New Roman" w:cs="Times New Roman" w:eastAsiaTheme="minorEastAsia"/>
          <w:snapToGrid w:val="0"/>
          <w:color w:val="auto"/>
          <w:kern w:val="0"/>
          <w:sz w:val="24"/>
          <w:highlight w:val="none"/>
          <w:lang w:val="en-US" w:eastAsia="zh-CN"/>
        </w:rPr>
        <w:t>。</w:t>
      </w:r>
    </w:p>
    <w:p w14:paraId="3DE81D2E">
      <w:pPr>
        <w:jc w:val="both"/>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（2）排水</w:t>
      </w:r>
    </w:p>
    <w:p w14:paraId="3A41FD15">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①生活污水</w:t>
      </w:r>
    </w:p>
    <w:p w14:paraId="6F47FED5">
      <w:pPr>
        <w:jc w:val="both"/>
        <w:outlineLvl w:val="9"/>
        <w:rPr>
          <w:rFonts w:hint="default" w:ascii="Times New Roman" w:hAnsi="Times New Roman" w:cs="Times New Roman" w:eastAsiaTheme="minorEastAsia"/>
          <w:snapToGrid w:val="0"/>
          <w:color w:val="auto"/>
          <w:kern w:val="0"/>
          <w:sz w:val="24"/>
          <w:highlight w:val="none"/>
          <w:lang w:val="en-US" w:eastAsia="zh-CN"/>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生活污水依托租用民房的旱厕，定期清掏绿化</w:t>
      </w:r>
      <w:r>
        <w:rPr>
          <w:rFonts w:hint="default" w:ascii="Times New Roman" w:hAnsi="Times New Roman" w:cs="Times New Roman" w:eastAsiaTheme="minorEastAsia"/>
          <w:snapToGrid w:val="0"/>
          <w:color w:val="auto"/>
          <w:kern w:val="0"/>
          <w:sz w:val="24"/>
          <w:highlight w:val="none"/>
          <w:lang w:val="zh-CN"/>
        </w:rPr>
        <w:t>，施工期生活污水量约</w:t>
      </w:r>
      <w:r>
        <w:rPr>
          <w:rFonts w:hint="eastAsia" w:cs="Times New Roman" w:eastAsiaTheme="minorEastAsia"/>
          <w:snapToGrid w:val="0"/>
          <w:color w:val="auto"/>
          <w:kern w:val="0"/>
          <w:sz w:val="24"/>
          <w:highlight w:val="none"/>
          <w:lang w:val="en-US" w:eastAsia="zh-CN"/>
        </w:rPr>
        <w:t>2016</w:t>
      </w:r>
      <w:r>
        <w:rPr>
          <w:rFonts w:hint="default" w:ascii="Times New Roman" w:hAnsi="Times New Roman" w:cs="Times New Roman" w:eastAsiaTheme="minorEastAsia"/>
          <w:snapToGrid w:val="0"/>
          <w:color w:val="auto"/>
          <w:kern w:val="0"/>
          <w:sz w:val="24"/>
          <w:highlight w:val="none"/>
          <w:lang w:val="en-US" w:eastAsia="zh-CN"/>
        </w:rPr>
        <w:t>m</w:t>
      </w:r>
      <w:r>
        <w:rPr>
          <w:rFonts w:hint="default" w:ascii="Times New Roman" w:hAnsi="Times New Roman" w:cs="Times New Roman" w:eastAsiaTheme="minorEastAsia"/>
          <w:snapToGrid w:val="0"/>
          <w:color w:val="auto"/>
          <w:kern w:val="0"/>
          <w:sz w:val="24"/>
          <w:highlight w:val="none"/>
          <w:vertAlign w:val="superscript"/>
          <w:lang w:val="en-US" w:eastAsia="zh-CN"/>
        </w:rPr>
        <w:t>3</w:t>
      </w:r>
      <w:r>
        <w:rPr>
          <w:rFonts w:hint="default" w:ascii="Times New Roman" w:hAnsi="Times New Roman" w:cs="Times New Roman" w:eastAsiaTheme="minorEastAsia"/>
          <w:snapToGrid w:val="0"/>
          <w:color w:val="auto"/>
          <w:kern w:val="0"/>
          <w:sz w:val="24"/>
          <w:highlight w:val="none"/>
          <w:lang w:val="en-US" w:eastAsia="zh-CN"/>
        </w:rPr>
        <w:t>。</w:t>
      </w:r>
    </w:p>
    <w:p w14:paraId="715F4CE6">
      <w:pPr>
        <w:bidi w:val="0"/>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施工废水</w:t>
      </w:r>
    </w:p>
    <w:p w14:paraId="26AF5FE9">
      <w:pPr>
        <w:bidi w:val="0"/>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本工程施工废水主要包括混凝土养护废水、施工机械和车辆冲洗废水和</w:t>
      </w:r>
      <w:r>
        <w:rPr>
          <w:rFonts w:hint="default" w:ascii="Times New Roman" w:hAnsi="Times New Roman" w:cs="Times New Roman"/>
          <w:color w:val="auto"/>
          <w:sz w:val="24"/>
          <w:szCs w:val="24"/>
          <w:highlight w:val="none"/>
          <w:lang w:eastAsia="zh-CN"/>
        </w:rPr>
        <w:t>施工导流</w:t>
      </w:r>
      <w:r>
        <w:rPr>
          <w:rFonts w:hint="default" w:ascii="Times New Roman" w:hAnsi="Times New Roman" w:cs="Times New Roman"/>
          <w:color w:val="auto"/>
          <w:sz w:val="24"/>
          <w:szCs w:val="24"/>
          <w:highlight w:val="none"/>
        </w:rPr>
        <w:t>。</w:t>
      </w:r>
    </w:p>
    <w:p w14:paraId="78A1684F">
      <w:pPr>
        <w:bidi w:val="0"/>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①混凝土养护废水</w:t>
      </w:r>
    </w:p>
    <w:p w14:paraId="36141333">
      <w:pPr>
        <w:bidi w:val="0"/>
        <w:spacing w:line="360" w:lineRule="auto"/>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工程施工采用商品混凝土，主体工程现浇混凝土养护产生少量废水。本工程混凝土工程量总计</w:t>
      </w:r>
      <w:r>
        <w:rPr>
          <w:rFonts w:hint="default" w:ascii="Times New Roman" w:hAnsi="Times New Roman" w:cs="Times New Roman"/>
          <w:color w:val="auto"/>
          <w:sz w:val="24"/>
          <w:szCs w:val="24"/>
          <w:highlight w:val="none"/>
          <w:lang w:val="en-US" w:eastAsia="zh-CN"/>
        </w:rPr>
        <w:t>99.8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，按养护1m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混凝土约产生废水0.35m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计算，则施工期共产生混凝土养护废水</w:t>
      </w:r>
      <w:r>
        <w:rPr>
          <w:rFonts w:hint="default" w:ascii="Times New Roman" w:hAnsi="Times New Roman" w:cs="Times New Roman"/>
          <w:color w:val="auto"/>
          <w:sz w:val="24"/>
          <w:szCs w:val="24"/>
          <w:highlight w:val="none"/>
          <w:lang w:val="en-US" w:eastAsia="zh-CN"/>
        </w:rPr>
        <w:t>34.93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。各混凝土现浇施工区设置沉淀池，沉淀后回用于混凝土养护用水</w:t>
      </w:r>
      <w:r>
        <w:rPr>
          <w:rFonts w:hint="eastAsia" w:ascii="Times New Roman" w:hAnsi="Times New Roman" w:cs="Times New Roman"/>
          <w:color w:val="auto"/>
          <w:sz w:val="24"/>
          <w:szCs w:val="24"/>
          <w:highlight w:val="none"/>
          <w:lang w:eastAsia="zh-CN"/>
        </w:rPr>
        <w:t>，不外排</w:t>
      </w:r>
      <w:r>
        <w:rPr>
          <w:rFonts w:hint="default" w:ascii="Times New Roman" w:hAnsi="Times New Roman" w:cs="Times New Roman"/>
          <w:color w:val="auto"/>
          <w:sz w:val="24"/>
          <w:szCs w:val="24"/>
          <w:highlight w:val="none"/>
        </w:rPr>
        <w:t>。</w:t>
      </w:r>
    </w:p>
    <w:p w14:paraId="3D76EE8E">
      <w:pPr>
        <w:bidi w:val="0"/>
        <w:spacing w:line="360" w:lineRule="auto"/>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②施工机械和车辆冲洗废水</w:t>
      </w:r>
    </w:p>
    <w:p w14:paraId="16B6ADD7">
      <w:pPr>
        <w:bidi w:val="0"/>
        <w:spacing w:line="360" w:lineRule="auto"/>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本工程仅设置一般性的机械和车辆保养服务，机械车辆冲洗保养过程中将产生少量含油废水。</w:t>
      </w:r>
      <w:r>
        <w:rPr>
          <w:rFonts w:hint="eastAsia" w:cs="Times New Roman"/>
          <w:color w:val="auto"/>
          <w:sz w:val="24"/>
          <w:szCs w:val="24"/>
          <w:highlight w:val="none"/>
          <w:lang w:eastAsia="zh-CN"/>
        </w:rPr>
        <w:t>经</w:t>
      </w:r>
      <w:r>
        <w:rPr>
          <w:rFonts w:hint="default" w:ascii="Times New Roman" w:hAnsi="Times New Roman" w:cs="Times New Roman"/>
          <w:color w:val="auto"/>
          <w:sz w:val="24"/>
          <w:szCs w:val="24"/>
          <w:highlight w:val="none"/>
          <w:lang w:eastAsia="zh-CN"/>
        </w:rPr>
        <w:t>施工区设置</w:t>
      </w:r>
      <w:r>
        <w:rPr>
          <w:rFonts w:hint="eastAsia" w:cs="Times New Roman"/>
          <w:color w:val="auto"/>
          <w:sz w:val="24"/>
          <w:szCs w:val="24"/>
          <w:highlight w:val="none"/>
          <w:lang w:eastAsia="zh-CN"/>
        </w:rPr>
        <w:t>临时隔油沉淀池沉淀后</w:t>
      </w:r>
      <w:r>
        <w:rPr>
          <w:rFonts w:hint="eastAsia"/>
          <w:snapToGrid w:val="0"/>
          <w:color w:val="auto"/>
          <w:sz w:val="24"/>
          <w:highlight w:val="none"/>
        </w:rPr>
        <w:t>用于洒水抑尘</w:t>
      </w:r>
      <w:r>
        <w:rPr>
          <w:rFonts w:hint="eastAsia"/>
          <w:snapToGrid w:val="0"/>
          <w:color w:val="auto"/>
          <w:sz w:val="24"/>
          <w:highlight w:val="none"/>
          <w:lang w:eastAsia="zh-CN"/>
        </w:rPr>
        <w:t>，</w:t>
      </w:r>
      <w:r>
        <w:rPr>
          <w:rFonts w:hint="default" w:ascii="Times New Roman" w:hAnsi="Times New Roman" w:eastAsia="宋体" w:cs="Times New Roman"/>
          <w:color w:val="auto"/>
          <w:sz w:val="24"/>
          <w:szCs w:val="28"/>
          <w:highlight w:val="none"/>
        </w:rPr>
        <w:t>收集的废油定期交由有资质的单位处理。</w:t>
      </w:r>
    </w:p>
    <w:p w14:paraId="421018FF">
      <w:pPr>
        <w:pStyle w:val="6"/>
        <w:rPr>
          <w:rFonts w:hint="default" w:ascii="Times New Roman" w:hAnsi="Times New Roman" w:eastAsia="宋体" w:cs="Times New Roman"/>
          <w:color w:val="auto"/>
          <w:sz w:val="28"/>
          <w:szCs w:val="28"/>
          <w:highlight w:val="none"/>
        </w:rPr>
      </w:pPr>
      <w:bookmarkStart w:id="3065" w:name="_Toc31414"/>
      <w:r>
        <w:rPr>
          <w:rFonts w:hint="default" w:ascii="Times New Roman" w:hAnsi="Times New Roman" w:eastAsia="宋体" w:cs="Times New Roman"/>
          <w:color w:val="auto"/>
          <w:sz w:val="28"/>
          <w:szCs w:val="28"/>
          <w:highlight w:val="none"/>
          <w:lang w:val="en-US" w:eastAsia="zh-CN"/>
        </w:rPr>
        <w:t>2.</w:t>
      </w:r>
      <w:r>
        <w:rPr>
          <w:rFonts w:hint="eastAsia"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施工导流</w:t>
      </w:r>
      <w:bookmarkEnd w:id="3065"/>
    </w:p>
    <w:p w14:paraId="1C28108C">
      <w:pPr>
        <w:pStyle w:val="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.2.1小河治理部分</w:t>
      </w:r>
    </w:p>
    <w:p w14:paraId="69E1C10E">
      <w:pPr>
        <w:jc w:val="both"/>
        <w:outlineLvl w:val="9"/>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茹河</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川口河</w:t>
      </w:r>
      <w:r>
        <w:rPr>
          <w:rFonts w:hint="default" w:ascii="Times New Roman" w:hAnsi="Times New Roman" w:cs="Times New Roman"/>
          <w:color w:val="auto"/>
          <w:sz w:val="24"/>
          <w:szCs w:val="24"/>
          <w:highlight w:val="none"/>
          <w:lang w:eastAsia="zh-CN"/>
        </w:rPr>
        <w:t>段</w:t>
      </w:r>
      <w:r>
        <w:rPr>
          <w:rFonts w:hint="default" w:ascii="Times New Roman" w:hAnsi="Times New Roman" w:eastAsia="宋体" w:cs="Times New Roman"/>
          <w:color w:val="auto"/>
          <w:sz w:val="24"/>
          <w:szCs w:val="24"/>
          <w:highlight w:val="none"/>
        </w:rPr>
        <w:t>为季节性河流，河道岸坡砌护工程，以枯水期施工为主。</w:t>
      </w:r>
      <w:r>
        <w:rPr>
          <w:rFonts w:hint="default" w:ascii="Times New Roman" w:hAnsi="Times New Roman" w:cs="Times New Roman"/>
          <w:color w:val="auto"/>
          <w:sz w:val="24"/>
          <w:szCs w:val="24"/>
          <w:highlight w:val="none"/>
          <w:lang w:eastAsia="zh-CN"/>
        </w:rPr>
        <w:t>茹河</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小河</w:t>
      </w:r>
      <w:r>
        <w:rPr>
          <w:rFonts w:hint="default" w:ascii="Times New Roman" w:hAnsi="Times New Roman" w:cs="Times New Roman"/>
          <w:color w:val="auto"/>
          <w:sz w:val="24"/>
          <w:szCs w:val="24"/>
          <w:highlight w:val="none"/>
          <w:lang w:eastAsia="zh-CN"/>
        </w:rPr>
        <w:t>段</w:t>
      </w:r>
      <w:r>
        <w:rPr>
          <w:rFonts w:hint="default" w:ascii="Times New Roman" w:hAnsi="Times New Roman" w:eastAsia="宋体" w:cs="Times New Roman"/>
          <w:color w:val="auto"/>
          <w:sz w:val="24"/>
          <w:szCs w:val="24"/>
          <w:highlight w:val="none"/>
        </w:rPr>
        <w:t>为非季节性河流，河道岸坡砌护工程，以枯水期施工为主，河道非汛期有常流水，对于河道</w:t>
      </w:r>
      <w:r>
        <w:rPr>
          <w:rFonts w:hint="eastAsia" w:cs="Times New Roman"/>
          <w:color w:val="auto"/>
          <w:sz w:val="24"/>
          <w:szCs w:val="24"/>
          <w:highlight w:val="none"/>
          <w:lang w:eastAsia="zh-CN"/>
        </w:rPr>
        <w:t>较窄</w:t>
      </w:r>
      <w:r>
        <w:rPr>
          <w:rFonts w:hint="default" w:ascii="Times New Roman" w:hAnsi="Times New Roman" w:eastAsia="宋体" w:cs="Times New Roman"/>
          <w:color w:val="auto"/>
          <w:sz w:val="24"/>
          <w:szCs w:val="24"/>
          <w:highlight w:val="none"/>
        </w:rPr>
        <w:t>的河段，需开挖导流明渠。对于较宽河段利用开挖土方挡水，形成施工空间。导流明渠底宽按1.0m考虑，水深0.5m，安全超高取0.3m，明渠深0.8m，内边坡为1:0.5，此段新建导流明渠1.0km。</w:t>
      </w:r>
    </w:p>
    <w:p w14:paraId="7CDBA1B8">
      <w:pPr>
        <w:pStyle w:val="7"/>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.2.2石头崾岘水库清淤部分</w:t>
      </w:r>
    </w:p>
    <w:p w14:paraId="41BF1C6C">
      <w:pPr>
        <w:spacing w:line="360" w:lineRule="auto"/>
        <w:ind w:firstLine="480" w:firstLineChars="200"/>
        <w:jc w:val="both"/>
        <w:textAlignment w:val="center"/>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该分项工程清淤工程主要在水库库区，为便于清淤，安排在冬季淤泥固结时施工，为枯水期，无长流水，施工前开挖导流槽（临时道路处埋设DN1200混凝土导流管），除用于临时导流外还可降低库区淤泥水位，导流槽底宽2.0m，深2.0m，边坡1:1，共3条，总长1300m，DN1200混凝土导流管60m。</w:t>
      </w:r>
    </w:p>
    <w:p w14:paraId="2C056BB8">
      <w:pPr>
        <w:pStyle w:val="6"/>
        <w:rPr>
          <w:rFonts w:hint="default" w:ascii="Times New Roman" w:hAnsi="Times New Roman" w:cs="Times New Roman"/>
          <w:color w:val="auto"/>
          <w:sz w:val="28"/>
          <w:szCs w:val="28"/>
          <w:highlight w:val="none"/>
        </w:rPr>
      </w:pPr>
      <w:bookmarkStart w:id="3066" w:name="_Toc1478"/>
      <w:bookmarkStart w:id="3067" w:name="_Toc10063"/>
      <w:bookmarkStart w:id="3068" w:name="_Toc19518"/>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供电</w:t>
      </w:r>
      <w:bookmarkEnd w:id="3066"/>
      <w:bookmarkEnd w:id="3067"/>
      <w:bookmarkEnd w:id="3068"/>
    </w:p>
    <w:p w14:paraId="013692DB">
      <w:pPr>
        <w:jc w:val="both"/>
        <w:outlineLvl w:val="9"/>
        <w:rPr>
          <w:rFonts w:hint="default" w:ascii="Times New Roman" w:hAnsi="Times New Roman" w:cs="Times New Roman"/>
          <w:color w:val="auto"/>
          <w:sz w:val="24"/>
          <w:szCs w:val="24"/>
          <w:highlight w:val="none"/>
        </w:rPr>
      </w:pPr>
      <w:bookmarkStart w:id="3069" w:name="_Toc5067"/>
      <w:bookmarkStart w:id="3070" w:name="_Toc27862"/>
      <w:r>
        <w:rPr>
          <w:rFonts w:hint="default" w:ascii="Times New Roman" w:hAnsi="Times New Roman" w:cs="Times New Roman"/>
          <w:color w:val="auto"/>
          <w:kern w:val="0"/>
          <w:sz w:val="24"/>
          <w:highlight w:val="none"/>
          <w:lang w:bidi="ar"/>
        </w:rPr>
        <w:t>工程区域内有多条输电线路，项目区周围有居民区</w:t>
      </w:r>
      <w:r>
        <w:rPr>
          <w:rFonts w:hint="default"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电力基础设施完善，完全能够满足施工和生活用电，电力供应充足。</w:t>
      </w:r>
    </w:p>
    <w:p w14:paraId="359FFD99">
      <w:pPr>
        <w:pStyle w:val="6"/>
        <w:rPr>
          <w:rFonts w:hint="default" w:ascii="Times New Roman" w:hAnsi="Times New Roman" w:cs="Times New Roman"/>
          <w:color w:val="auto"/>
          <w:sz w:val="28"/>
          <w:szCs w:val="28"/>
          <w:highlight w:val="none"/>
        </w:rPr>
      </w:pPr>
      <w:bookmarkStart w:id="3071" w:name="_Toc4599"/>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3供热</w:t>
      </w:r>
      <w:bookmarkEnd w:id="3069"/>
      <w:bookmarkEnd w:id="3070"/>
      <w:bookmarkEnd w:id="3071"/>
    </w:p>
    <w:p w14:paraId="366D4269">
      <w:pP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项目不涉及供热</w:t>
      </w:r>
      <w:r>
        <w:rPr>
          <w:rFonts w:hint="default" w:ascii="Times New Roman" w:hAnsi="Times New Roman" w:eastAsia="宋体" w:cs="Times New Roman"/>
          <w:color w:val="auto"/>
          <w:sz w:val="24"/>
          <w:szCs w:val="24"/>
          <w:highlight w:val="none"/>
        </w:rPr>
        <w:t>。</w:t>
      </w:r>
    </w:p>
    <w:p w14:paraId="1D733C89">
      <w:pPr>
        <w:pStyle w:val="4"/>
        <w:rPr>
          <w:rFonts w:hint="default" w:ascii="Times New Roman" w:hAnsi="Times New Roman" w:cs="Times New Roman"/>
          <w:color w:val="auto"/>
          <w:sz w:val="28"/>
          <w:szCs w:val="28"/>
          <w:highlight w:val="none"/>
        </w:rPr>
      </w:pPr>
      <w:bookmarkStart w:id="3072" w:name="_Toc29863"/>
      <w:bookmarkStart w:id="3073" w:name="_Toc27162"/>
      <w:bookmarkStart w:id="3074" w:name="_Toc31244"/>
      <w:bookmarkStart w:id="3075" w:name="_Toc2250"/>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rPr>
        <w:t>施工组织设计</w:t>
      </w:r>
      <w:bookmarkEnd w:id="3072"/>
      <w:bookmarkEnd w:id="3073"/>
      <w:bookmarkEnd w:id="3074"/>
      <w:bookmarkEnd w:id="3075"/>
    </w:p>
    <w:p w14:paraId="4EF9AD70">
      <w:pPr>
        <w:pStyle w:val="6"/>
        <w:rPr>
          <w:rFonts w:hint="default" w:ascii="Times New Roman" w:hAnsi="Times New Roman" w:cs="Times New Roman"/>
          <w:color w:val="auto"/>
          <w:sz w:val="28"/>
          <w:szCs w:val="28"/>
          <w:highlight w:val="none"/>
        </w:rPr>
      </w:pPr>
      <w:bookmarkStart w:id="3076" w:name="_Toc10123"/>
      <w:bookmarkStart w:id="3077" w:name="_Toc18619"/>
      <w:bookmarkStart w:id="3078" w:name="_Toc8649"/>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rPr>
        <w:t>.1施工条件</w:t>
      </w:r>
      <w:bookmarkEnd w:id="3076"/>
      <w:bookmarkEnd w:id="3077"/>
      <w:bookmarkEnd w:id="3078"/>
    </w:p>
    <w:p w14:paraId="57EC8210">
      <w:pPr>
        <w:jc w:val="both"/>
        <w:outlineLvl w:val="9"/>
        <w:rPr>
          <w:rFonts w:hint="default" w:ascii="Times New Roman" w:hAnsi="Times New Roman" w:eastAsia="宋体" w:cs="Times New Roman"/>
          <w:color w:val="auto"/>
          <w:sz w:val="24"/>
          <w:szCs w:val="24"/>
          <w:highlight w:val="none"/>
        </w:rPr>
      </w:pPr>
      <w:bookmarkStart w:id="3079" w:name="_Toc29622"/>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工程条件</w:t>
      </w:r>
      <w:bookmarkEnd w:id="3079"/>
    </w:p>
    <w:p w14:paraId="5215D8BA">
      <w:pPr>
        <w:jc w:val="both"/>
        <w:outlineLvl w:val="9"/>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沿茹河两岸进行岸坡砌护及沟道清淤，</w:t>
      </w:r>
      <w:r>
        <w:rPr>
          <w:rFonts w:hint="default" w:ascii="Times New Roman" w:hAnsi="Times New Roman" w:cs="Times New Roman"/>
          <w:color w:val="auto"/>
          <w:sz w:val="24"/>
          <w:szCs w:val="24"/>
          <w:highlight w:val="none"/>
        </w:rPr>
        <w:t>工程</w:t>
      </w:r>
      <w:r>
        <w:rPr>
          <w:rFonts w:hint="default" w:ascii="Times New Roman" w:hAnsi="Times New Roman" w:cs="Times New Roman"/>
          <w:color w:val="auto"/>
          <w:sz w:val="24"/>
          <w:szCs w:val="24"/>
          <w:highlight w:val="none"/>
          <w:lang w:eastAsia="zh-CN"/>
        </w:rPr>
        <w:t>跨度较大，施工场地依据</w:t>
      </w:r>
      <w:r>
        <w:rPr>
          <w:rFonts w:hint="default" w:ascii="Times New Roman" w:hAnsi="Times New Roman" w:cs="Times New Roman"/>
          <w:color w:val="auto"/>
          <w:sz w:val="24"/>
          <w:szCs w:val="24"/>
          <w:highlight w:val="none"/>
        </w:rPr>
        <w:t>现有交通道路灵活布置，施工场地条件较好。地形相对平缓，交通道路灵活布置，施工场地条件较好。</w:t>
      </w:r>
    </w:p>
    <w:p w14:paraId="60187703">
      <w:pPr>
        <w:jc w:val="both"/>
        <w:outlineLvl w:val="9"/>
        <w:rPr>
          <w:rFonts w:hint="default" w:ascii="Times New Roman" w:hAnsi="Times New Roman" w:cs="Times New Roman"/>
          <w:color w:val="auto"/>
          <w:sz w:val="24"/>
          <w:szCs w:val="24"/>
          <w:highlight w:val="none"/>
        </w:rPr>
      </w:pPr>
      <w:bookmarkStart w:id="3080" w:name="_Toc7061"/>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交通运输条件</w:t>
      </w:r>
      <w:bookmarkEnd w:id="3080"/>
    </w:p>
    <w:p w14:paraId="118405D8">
      <w:pPr>
        <w:jc w:val="both"/>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项目区对外交通有彭石公路、袁穆公路及川麻路等，入河道有乡村道路，交通较方便。完全满足工程施工时各种车辆的通行</w:t>
      </w:r>
      <w:r>
        <w:rPr>
          <w:rFonts w:hint="default" w:ascii="Times New Roman" w:hAnsi="Times New Roman" w:cs="Times New Roman"/>
          <w:color w:val="auto"/>
          <w:sz w:val="24"/>
          <w:szCs w:val="24"/>
          <w:highlight w:val="none"/>
        </w:rPr>
        <w:t>。</w:t>
      </w:r>
    </w:p>
    <w:p w14:paraId="6C0CD8EC">
      <w:pPr>
        <w:jc w:val="both"/>
        <w:outlineLvl w:val="9"/>
        <w:rPr>
          <w:rFonts w:hint="default" w:ascii="Times New Roman" w:hAnsi="Times New Roman" w:cs="Times New Roman"/>
          <w:color w:val="auto"/>
          <w:sz w:val="24"/>
          <w:szCs w:val="24"/>
          <w:highlight w:val="none"/>
        </w:rPr>
      </w:pPr>
      <w:bookmarkStart w:id="3081" w:name="_Toc3635"/>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水、电供应条件</w:t>
      </w:r>
      <w:bookmarkEnd w:id="3081"/>
    </w:p>
    <w:p w14:paraId="74717DC0">
      <w:pPr>
        <w:jc w:val="both"/>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项目施工用水主要</w:t>
      </w:r>
      <w:r>
        <w:rPr>
          <w:rFonts w:hint="default" w:ascii="Times New Roman" w:hAnsi="Times New Roman" w:eastAsia="宋体" w:cs="Times New Roman"/>
          <w:color w:val="auto"/>
          <w:sz w:val="24"/>
          <w:szCs w:val="24"/>
          <w:highlight w:val="none"/>
        </w:rPr>
        <w:t>采用</w:t>
      </w:r>
      <w:r>
        <w:rPr>
          <w:rFonts w:hint="default" w:ascii="Times New Roman" w:hAnsi="Times New Roman" w:eastAsia="宋体" w:cs="Times New Roman"/>
          <w:color w:val="auto"/>
          <w:sz w:val="24"/>
          <w:szCs w:val="24"/>
          <w:highlight w:val="none"/>
          <w:lang w:val="en-US" w:eastAsia="zh-CN"/>
        </w:rPr>
        <w:t>茹河地表水，</w:t>
      </w:r>
      <w:r>
        <w:rPr>
          <w:rFonts w:hint="default" w:ascii="Times New Roman" w:hAnsi="Times New Roman" w:eastAsia="宋体" w:cs="Times New Roman"/>
          <w:color w:val="auto"/>
          <w:sz w:val="24"/>
          <w:szCs w:val="24"/>
          <w:highlight w:val="none"/>
        </w:rPr>
        <w:t>在没有地表水的情况下，采用水车拉运。</w:t>
      </w:r>
      <w:r>
        <w:rPr>
          <w:rFonts w:hint="default" w:ascii="Times New Roman" w:hAnsi="Times New Roman" w:eastAsia="宋体" w:cs="Times New Roman"/>
          <w:color w:val="auto"/>
          <w:sz w:val="24"/>
          <w:szCs w:val="24"/>
          <w:highlight w:val="none"/>
          <w:lang w:eastAsia="zh-CN"/>
        </w:rPr>
        <w:t>项目施工人员租用附近民房，生活用水依托民房周边水源地供水。</w:t>
      </w:r>
    </w:p>
    <w:p w14:paraId="3A9AD7B2">
      <w:pPr>
        <w:jc w:val="both"/>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施工用电可就近利用</w:t>
      </w:r>
      <w:r>
        <w:rPr>
          <w:rFonts w:hint="default" w:ascii="Times New Roman" w:hAnsi="Times New Roman" w:cs="Times New Roman"/>
          <w:color w:val="auto"/>
          <w:sz w:val="24"/>
          <w:szCs w:val="24"/>
          <w:highlight w:val="none"/>
          <w:lang w:eastAsia="zh-CN"/>
        </w:rPr>
        <w:t>河道两岸</w:t>
      </w:r>
      <w:r>
        <w:rPr>
          <w:rFonts w:hint="default" w:ascii="Times New Roman" w:hAnsi="Times New Roman" w:cs="Times New Roman"/>
          <w:color w:val="auto"/>
          <w:sz w:val="24"/>
          <w:szCs w:val="24"/>
          <w:highlight w:val="none"/>
        </w:rPr>
        <w:t>现有网电。</w:t>
      </w:r>
    </w:p>
    <w:p w14:paraId="637DB7A6">
      <w:pPr>
        <w:pStyle w:val="6"/>
        <w:rPr>
          <w:rFonts w:hint="default" w:ascii="Times New Roman" w:hAnsi="Times New Roman" w:cs="Times New Roman"/>
          <w:color w:val="auto"/>
          <w:sz w:val="28"/>
          <w:szCs w:val="28"/>
          <w:highlight w:val="none"/>
        </w:rPr>
      </w:pPr>
      <w:bookmarkStart w:id="3082" w:name="_Toc10082"/>
      <w:bookmarkStart w:id="3083" w:name="_Toc25886"/>
      <w:bookmarkStart w:id="3084" w:name="_Toc10210"/>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rPr>
        <w:t>.2料场的选择与开采</w:t>
      </w:r>
      <w:bookmarkEnd w:id="3082"/>
      <w:bookmarkEnd w:id="3083"/>
      <w:bookmarkEnd w:id="3084"/>
    </w:p>
    <w:p w14:paraId="25CD6C34">
      <w:pPr>
        <w:jc w:val="both"/>
        <w:outlineLvl w:val="9"/>
        <w:rPr>
          <w:rFonts w:hint="default" w:ascii="Times New Roman" w:hAnsi="Times New Roman" w:cs="Times New Roman"/>
          <w:color w:val="auto"/>
          <w:sz w:val="24"/>
          <w:szCs w:val="24"/>
          <w:highlight w:val="none"/>
        </w:rPr>
      </w:pPr>
      <w:bookmarkStart w:id="3085" w:name="_Toc15623"/>
      <w:r>
        <w:rPr>
          <w:rFonts w:hint="default" w:ascii="Times New Roman" w:hAnsi="Times New Roman" w:cs="Times New Roman"/>
          <w:color w:val="auto"/>
          <w:sz w:val="24"/>
          <w:szCs w:val="24"/>
          <w:highlight w:val="none"/>
        </w:rPr>
        <w:t>（</w:t>
      </w:r>
      <w:bookmarkEnd w:id="3085"/>
      <w:bookmarkStart w:id="3086" w:name="_Toc2365"/>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）块石料</w:t>
      </w:r>
      <w:bookmarkEnd w:id="3086"/>
    </w:p>
    <w:p w14:paraId="46FB397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块石料选用头营张崖料场，距离项目区80km，岩性为侏罗系（J</w:t>
      </w:r>
      <w:r>
        <w:rPr>
          <w:rFonts w:hint="default" w:ascii="Times New Roman" w:hAnsi="Times New Roman" w:cs="Times New Roman"/>
          <w:color w:val="auto"/>
          <w:sz w:val="24"/>
          <w:highlight w:val="none"/>
          <w:vertAlign w:val="subscript"/>
        </w:rPr>
        <w:t>1-2</w:t>
      </w:r>
      <w:r>
        <w:rPr>
          <w:rFonts w:hint="default" w:ascii="Times New Roman" w:hAnsi="Times New Roman" w:cs="Times New Roman"/>
          <w:color w:val="auto"/>
          <w:sz w:val="24"/>
          <w:highlight w:val="none"/>
        </w:rPr>
        <w:t>）中细粒砂岩夹碳质页岩、砾岩，灰色、灰白色，致密坚硬，砂质胶结，层状结构，块状构造，岩体较完整，单层厚度0.5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1m，中厚层</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厚层状。强风化层厚度0.5m，风化裂隙发育，岩体破碎。产状170</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∠25-28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料场长度3km，开采面长度50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100m，高度5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8m，储量大于100万m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，开采条件良好，有便道与银平公路相连，交通便利。</w:t>
      </w:r>
    </w:p>
    <w:p w14:paraId="5221EADF">
      <w:pPr>
        <w:tabs>
          <w:tab w:val="left" w:pos="1003"/>
        </w:tabs>
        <w:jc w:val="both"/>
        <w:outlineLvl w:val="9"/>
        <w:rPr>
          <w:rFonts w:hint="default" w:ascii="Times New Roman" w:hAnsi="Times New Roman" w:cs="Times New Roman"/>
          <w:color w:val="auto"/>
          <w:sz w:val="24"/>
          <w:szCs w:val="24"/>
          <w:highlight w:val="none"/>
        </w:rPr>
      </w:pPr>
      <w:bookmarkStart w:id="3087" w:name="_Toc11927"/>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）粗骨料</w:t>
      </w:r>
      <w:bookmarkEnd w:id="3087"/>
    </w:p>
    <w:p w14:paraId="220CAE2C">
      <w:pPr>
        <w:adjustRightInd w:val="0"/>
        <w:snapToGrid w:val="0"/>
        <w:spacing w:line="360" w:lineRule="auto"/>
        <w:ind w:firstLine="480" w:firstLineChars="200"/>
        <w:rPr>
          <w:rFonts w:hint="default" w:ascii="Times New Roman" w:hAnsi="Times New Roman" w:cs="Times New Roman"/>
          <w:color w:val="auto"/>
          <w:sz w:val="24"/>
          <w:highlight w:val="none"/>
        </w:rPr>
      </w:pPr>
      <w:bookmarkStart w:id="3088" w:name="_Toc22981"/>
      <w:r>
        <w:rPr>
          <w:rFonts w:hint="default" w:ascii="Times New Roman" w:hAnsi="Times New Roman" w:cs="Times New Roman"/>
          <w:color w:val="auto"/>
          <w:sz w:val="24"/>
          <w:highlight w:val="none"/>
        </w:rPr>
        <w:t>粗骨料选用头营张崖料场，距离项目区80km。岩性为奥陶系三道沟组灰岩（O3），灰色，厚层状，致密，坚硬，露天开采，储量满足要求，而且材料质量等各项指标符合《水利水电工程天然建筑材料勘察规范》SL251-2000中的规定。现料场开采已形成一定规模，交通方便，属外购料。</w:t>
      </w:r>
    </w:p>
    <w:p w14:paraId="1B41F3EB">
      <w:pPr>
        <w:jc w:val="both"/>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）细骨料</w:t>
      </w:r>
      <w:bookmarkEnd w:id="3088"/>
    </w:p>
    <w:p w14:paraId="6BA5D7FA">
      <w:pPr>
        <w:adjustRightInd w:val="0"/>
        <w:snapToGrid w:val="0"/>
        <w:spacing w:line="360" w:lineRule="auto"/>
        <w:ind w:firstLine="480" w:firstLineChars="200"/>
        <w:rPr>
          <w:rFonts w:hint="default" w:ascii="Times New Roman" w:hAnsi="Times New Roman" w:cs="Times New Roman"/>
          <w:color w:val="auto"/>
          <w:sz w:val="24"/>
          <w:highlight w:val="none"/>
        </w:rPr>
      </w:pPr>
      <w:bookmarkStart w:id="3089" w:name="_Toc26056"/>
      <w:bookmarkStart w:id="3090" w:name="_Toc6908"/>
      <w:r>
        <w:rPr>
          <w:rFonts w:hint="default" w:ascii="Times New Roman" w:hAnsi="Times New Roman" w:cs="Times New Roman"/>
          <w:color w:val="auto"/>
          <w:sz w:val="24"/>
          <w:highlight w:val="none"/>
        </w:rPr>
        <w:t>细骨料选用头营张崖料场，距离项目区80km，岩性为第四系全新统冲积粗细砂及砾石，表层一般有1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2m的壤土覆盖，下部属砂、砾混合料场，厚度大于2.0m，其中砂料占40%，储量10万m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bookmarkEnd w:id="3089"/>
    <w:bookmarkEnd w:id="3090"/>
    <w:p w14:paraId="72243415">
      <w:pPr>
        <w:pStyle w:val="4"/>
        <w:bidi w:val="0"/>
        <w:rPr>
          <w:rFonts w:hint="default" w:ascii="Times New Roman" w:hAnsi="Times New Roman" w:cs="Times New Roman"/>
          <w:color w:val="auto"/>
          <w:sz w:val="28"/>
          <w:szCs w:val="28"/>
          <w:highlight w:val="none"/>
        </w:rPr>
      </w:pPr>
      <w:bookmarkStart w:id="3091" w:name="_Toc23397"/>
      <w:bookmarkStart w:id="3092" w:name="_Toc9172"/>
      <w:bookmarkStart w:id="3093" w:name="_Toc4167"/>
      <w:bookmarkStart w:id="3094" w:name="_Toc14913"/>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主体工程施工</w:t>
      </w:r>
      <w:bookmarkEnd w:id="3091"/>
      <w:bookmarkEnd w:id="3092"/>
      <w:bookmarkEnd w:id="3093"/>
      <w:bookmarkEnd w:id="3094"/>
    </w:p>
    <w:p w14:paraId="20D461EE">
      <w:pPr>
        <w:pStyle w:val="6"/>
        <w:rPr>
          <w:rFonts w:hint="default" w:ascii="Times New Roman" w:hAnsi="Times New Roman" w:cs="Times New Roman"/>
          <w:color w:val="auto"/>
          <w:kern w:val="2"/>
          <w:highlight w:val="none"/>
        </w:rPr>
      </w:pPr>
      <w:bookmarkStart w:id="3095" w:name="_Toc6366"/>
      <w:bookmarkStart w:id="3096" w:name="_Toc104"/>
      <w:bookmarkStart w:id="3097" w:name="_Toc8977"/>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.1</w:t>
      </w:r>
      <w:bookmarkEnd w:id="3095"/>
      <w:bookmarkEnd w:id="3096"/>
      <w:bookmarkStart w:id="3098" w:name="_Toc454121756"/>
      <w:bookmarkStart w:id="3099" w:name="_Toc502655924"/>
      <w:bookmarkStart w:id="3100" w:name="_Toc205566024"/>
      <w:bookmarkStart w:id="3101" w:name="_Toc60580862"/>
      <w:bookmarkStart w:id="3102" w:name="_Toc34636587"/>
      <w:r>
        <w:rPr>
          <w:rFonts w:hint="default" w:ascii="Times New Roman" w:hAnsi="Times New Roman" w:cs="Times New Roman"/>
          <w:color w:val="auto"/>
          <w:kern w:val="2"/>
          <w:highlight w:val="none"/>
        </w:rPr>
        <w:t>土方工程</w:t>
      </w:r>
      <w:bookmarkEnd w:id="3097"/>
      <w:bookmarkEnd w:id="3098"/>
      <w:bookmarkEnd w:id="3099"/>
      <w:bookmarkEnd w:id="3100"/>
      <w:bookmarkEnd w:id="3101"/>
      <w:bookmarkEnd w:id="3102"/>
    </w:p>
    <w:p w14:paraId="0CD23F2C">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土方开挖</w:t>
      </w:r>
    </w:p>
    <w:p w14:paraId="28B02474">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土方开挖主要是：护岸工程、河道整修工程。采用机械开挖为主，人工开挖为辅，推土机推运和自卸车转运的方法。人工开挖主要是边坡整修，基础开挖等。</w:t>
      </w:r>
      <w:bookmarkStart w:id="3103" w:name="_Toc205566026"/>
    </w:p>
    <w:p w14:paraId="397534F6">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）土方回填</w:t>
      </w:r>
      <w:bookmarkEnd w:id="3103"/>
    </w:p>
    <w:p w14:paraId="21459C6A">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回填、夯填土方前，应彻底清除基地表面草皮、垃圾、树根、表面浮土、孔洞、裂隙等。分段填筑，每层接缝处应做成斜坡形，碾迹重叠0.5～1.0m，上下层接缝应错开不小于1.0m，填方可根据工程性质、填方高度、填料种类、压实系数和地基情况预留沉降量，沉降量一般不超过高度的3％。填方取土应在填方体坡脚线30m以外取料，取土坑的坡度应根据土质而定。</w:t>
      </w:r>
    </w:p>
    <w:p w14:paraId="7F2FA266">
      <w:pPr>
        <w:pStyle w:val="6"/>
        <w:rPr>
          <w:rFonts w:hint="default" w:ascii="Times New Roman" w:hAnsi="Times New Roman" w:cs="Times New Roman"/>
          <w:color w:val="auto"/>
          <w:kern w:val="2"/>
          <w:highlight w:val="none"/>
        </w:rPr>
      </w:pPr>
      <w:bookmarkStart w:id="3104" w:name="_Toc23467"/>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lang w:val="en-US" w:eastAsia="zh-CN"/>
        </w:rPr>
        <w:t>2</w:t>
      </w:r>
      <w:bookmarkStart w:id="3105" w:name="_Toc34636588"/>
      <w:bookmarkStart w:id="3106" w:name="_Toc18155"/>
      <w:bookmarkStart w:id="3107" w:name="_Toc60580863"/>
      <w:bookmarkStart w:id="3108" w:name="_Toc205566027"/>
      <w:bookmarkStart w:id="3109" w:name="_Toc21105"/>
      <w:r>
        <w:rPr>
          <w:rFonts w:hint="default" w:ascii="Times New Roman" w:hAnsi="Times New Roman" w:cs="Times New Roman"/>
          <w:color w:val="auto"/>
          <w:kern w:val="2"/>
          <w:highlight w:val="none"/>
        </w:rPr>
        <w:t>砌石工程</w:t>
      </w:r>
      <w:bookmarkEnd w:id="3104"/>
      <w:bookmarkEnd w:id="3105"/>
      <w:bookmarkEnd w:id="3106"/>
      <w:bookmarkEnd w:id="3107"/>
      <w:bookmarkEnd w:id="3108"/>
      <w:bookmarkEnd w:id="3109"/>
    </w:p>
    <w:p w14:paraId="045C35FD">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rPr>
      </w:pPr>
      <w:bookmarkStart w:id="3110" w:name="_Toc24377"/>
      <w:bookmarkStart w:id="3111" w:name="_Toc18073"/>
      <w:r>
        <w:rPr>
          <w:rFonts w:hint="default" w:ascii="Times New Roman" w:hAnsi="Times New Roman" w:eastAsia="宋体" w:cs="Times New Roman"/>
          <w:color w:val="auto"/>
          <w:sz w:val="24"/>
          <w:highlight w:val="none"/>
        </w:rPr>
        <w:t>砌筑方法采用铺浆法。用较大的平毛石，先砌转角处、交接处，再向中 间砌筑。砌前应先度摆，使石料大小搭配，大面平放朝下，外露表面要平齐，斜口朝内，逐块卧砌坐浆，使砂浆饱满。石块间较大的空隙应先堵塞砂浆，后用碎石嵌实。砌筑时，石块上下皮应互相错缝，内外交错搭砌，避免出现重缝、干缝、空缝和孔洞，同时应注意摆放石块，以免砌体承重后发生错位、劈裂、外鼓等现象。在转角及交接处应用较大和较规整的垛石相互搭砌，并同时砌筑，必要时设置钢筋结条。如不能同时砌筑，应留阶梯形斜槎，其高度不应超过1.2m不得留锯齿形直槎。</w:t>
      </w:r>
    </w:p>
    <w:p w14:paraId="6107F374">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料石的砌筑方法与混凝土砌块基本相同，砌筑形式有全顺、丁顺叠砌丁顺组砌等方式，第一皮及每个楼层的最上一皮丁砌。组砌前应按石料及灰缝平均厚度计算层数，立皮数杆。砌筑时，上下皮应错缝搭接；砌体转角交接处，石块应相互搭接。料石宜用</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铺浆法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砌浆，铺浆厚度20～30mm，垂直缝填满砂浆并插捣至溢出为止。灰缝厚度为10～20mm。如在墙转角或交接处石块搭砌有困难时，则应每隔1.0～1.5m 高度设置钢筋网或钢筋拉结条。</w:t>
      </w:r>
    </w:p>
    <w:p w14:paraId="53FCECC3">
      <w:pPr>
        <w:adjustRightInd w:val="0"/>
        <w:snapToGrid w:val="0"/>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石墙勾缝应保持砌合的自然缝，一般采用平缝或凸缝。勾缝前应先剔缝，将灰浆刮深20～30mm，墙面用水湿润，再用1</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1.5～3.0 水泥砂浆勾缝。缝条应均匀一致，深浅相同，十字、丁字形搭接处应平整通顺。</w:t>
      </w:r>
    </w:p>
    <w:p w14:paraId="198BCC49">
      <w:pPr>
        <w:pStyle w:val="6"/>
        <w:rPr>
          <w:rFonts w:hint="default" w:ascii="Times New Roman" w:hAnsi="Times New Roman" w:cs="Times New Roman"/>
          <w:color w:val="auto"/>
          <w:kern w:val="2"/>
          <w:highlight w:val="none"/>
        </w:rPr>
      </w:pPr>
      <w:bookmarkStart w:id="3112" w:name="_Toc5548"/>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w:t>
      </w:r>
      <w:bookmarkEnd w:id="3110"/>
      <w:bookmarkEnd w:id="3111"/>
      <w:r>
        <w:rPr>
          <w:rFonts w:hint="default" w:ascii="Times New Roman" w:hAnsi="Times New Roman" w:cs="Times New Roman"/>
          <w:color w:val="auto"/>
          <w:sz w:val="28"/>
          <w:szCs w:val="28"/>
          <w:highlight w:val="none"/>
          <w:lang w:val="en-US" w:eastAsia="zh-CN"/>
        </w:rPr>
        <w:t>3</w:t>
      </w:r>
      <w:bookmarkStart w:id="3113" w:name="_Toc205566028"/>
      <w:r>
        <w:rPr>
          <w:rFonts w:hint="default" w:ascii="Times New Roman" w:hAnsi="Times New Roman" w:cs="Times New Roman"/>
          <w:color w:val="auto"/>
          <w:kern w:val="2"/>
          <w:highlight w:val="none"/>
        </w:rPr>
        <w:t>格宾施工</w:t>
      </w:r>
      <w:bookmarkEnd w:id="3112"/>
      <w:bookmarkEnd w:id="3113"/>
    </w:p>
    <w:p w14:paraId="4469FBE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格宾网垫、网箱应在坡面整修和基槽开挖验收合格后进行铺设安装，其工序流程详见图</w:t>
      </w:r>
      <w:r>
        <w:rPr>
          <w:rFonts w:hint="default" w:ascii="Times New Roman" w:hAnsi="Times New Roman" w:cs="Times New Roman"/>
          <w:color w:val="auto"/>
          <w:sz w:val="24"/>
          <w:highlight w:val="none"/>
          <w:lang w:val="en-US" w:eastAsia="zh-CN"/>
        </w:rPr>
        <w:t>2.7-1</w:t>
      </w:r>
      <w:r>
        <w:rPr>
          <w:rFonts w:hint="default" w:ascii="Times New Roman" w:hAnsi="Times New Roman" w:cs="Times New Roman"/>
          <w:color w:val="auto"/>
          <w:sz w:val="24"/>
          <w:highlight w:val="none"/>
        </w:rPr>
        <w:t>。</w:t>
      </w:r>
    </w:p>
    <w:p w14:paraId="32EAC0D6">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3556000" cy="848995"/>
            <wp:effectExtent l="0" t="0" r="6350" b="8255"/>
            <wp:docPr id="36" name="图片 5" descr="QQ截图2018061013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QQ截图20180610134449"/>
                    <pic:cNvPicPr>
                      <a:picLocks noChangeAspect="1"/>
                    </pic:cNvPicPr>
                  </pic:nvPicPr>
                  <pic:blipFill>
                    <a:blip r:embed="rId37"/>
                    <a:stretch>
                      <a:fillRect/>
                    </a:stretch>
                  </pic:blipFill>
                  <pic:spPr>
                    <a:xfrm>
                      <a:off x="0" y="0"/>
                      <a:ext cx="3556000" cy="848995"/>
                    </a:xfrm>
                    <a:prstGeom prst="rect">
                      <a:avLst/>
                    </a:prstGeom>
                    <a:noFill/>
                    <a:ln>
                      <a:noFill/>
                    </a:ln>
                  </pic:spPr>
                </pic:pic>
              </a:graphicData>
            </a:graphic>
          </wp:inline>
        </w:drawing>
      </w:r>
    </w:p>
    <w:p w14:paraId="1FD5A9CB">
      <w:pPr>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图</w:t>
      </w:r>
      <w:r>
        <w:rPr>
          <w:rFonts w:hint="default" w:ascii="Times New Roman" w:hAnsi="Times New Roman" w:cs="Times New Roman"/>
          <w:b/>
          <w:color w:val="auto"/>
          <w:sz w:val="24"/>
          <w:highlight w:val="none"/>
          <w:lang w:val="en-US" w:eastAsia="zh-CN"/>
        </w:rPr>
        <w:t>2.</w:t>
      </w:r>
      <w:r>
        <w:rPr>
          <w:rFonts w:hint="eastAsia" w:cs="Times New Roman"/>
          <w:b/>
          <w:color w:val="auto"/>
          <w:sz w:val="24"/>
          <w:highlight w:val="none"/>
          <w:lang w:val="en-US" w:eastAsia="zh-CN"/>
        </w:rPr>
        <w:t>8</w:t>
      </w: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格宾网垫（网箱）安装流程图</w:t>
      </w:r>
    </w:p>
    <w:p w14:paraId="71BA4DD4">
      <w:pPr>
        <w:spacing w:line="360" w:lineRule="auto"/>
        <w:ind w:firstLine="480" w:firstLineChars="200"/>
        <w:rPr>
          <w:rFonts w:hint="default" w:ascii="Times New Roman" w:hAnsi="Times New Roman" w:cs="Times New Roman"/>
          <w:color w:val="auto"/>
          <w:sz w:val="24"/>
          <w:highlight w:val="none"/>
        </w:rPr>
      </w:pPr>
      <w:bookmarkStart w:id="3114" w:name="_Toc31503"/>
      <w:bookmarkStart w:id="3115" w:name="_Toc4093"/>
      <w:r>
        <w:rPr>
          <w:rFonts w:hint="eastAsia" w:cs="Times New Roman"/>
          <w:color w:val="auto"/>
          <w:sz w:val="24"/>
          <w:highlight w:val="none"/>
          <w:lang w:eastAsia="zh-CN"/>
        </w:rPr>
        <w:t>1.</w:t>
      </w:r>
      <w:r>
        <w:rPr>
          <w:rFonts w:hint="default" w:ascii="Times New Roman" w:hAnsi="Times New Roman" w:cs="Times New Roman"/>
          <w:color w:val="auto"/>
          <w:sz w:val="24"/>
          <w:highlight w:val="none"/>
        </w:rPr>
        <w:t>网垫组装</w:t>
      </w:r>
    </w:p>
    <w:p w14:paraId="05A231E2">
      <w:pPr>
        <w:spacing w:line="360" w:lineRule="auto"/>
        <w:ind w:firstLine="360" w:firstLineChars="150"/>
        <w:rPr>
          <w:rFonts w:hint="default" w:ascii="Times New Roman" w:hAnsi="Times New Roman" w:cs="Times New Roman"/>
          <w:color w:val="auto"/>
          <w:sz w:val="23"/>
          <w:szCs w:val="23"/>
          <w:highlight w:val="none"/>
        </w:rPr>
      </w:pPr>
      <w:r>
        <w:rPr>
          <w:rFonts w:hint="default" w:ascii="Times New Roman" w:hAnsi="Times New Roman" w:cs="Times New Roman"/>
          <w:color w:val="auto"/>
          <w:sz w:val="24"/>
          <w:highlight w:val="none"/>
        </w:rPr>
        <w:t>首先在河道工程的坡面地基上，或坡面附近的场地上，将网垫半成品的隔片与网身调整成90°，其次按规定的绑扎间距要求用绑扎丝绑扎，在设计坡面位置上组装成单个网垫。在隔网与网身的四处交角各绑扎一道。在隔网与网身交接处，每间隔15cm绑扎一道。宁夏水利工程格宾在顺水流方向（B向）的单个网垫宽度一般为200cm，在其按设计要求摆放到位后，要将相邻（左、右）网垫的边丝按规定的间距用绑扎丝绑扎，组</w:t>
      </w:r>
      <w:bookmarkStart w:id="3116" w:name="_Toc348149767"/>
      <w:bookmarkStart w:id="3117" w:name="_Toc345337733"/>
      <w:r>
        <w:rPr>
          <w:rFonts w:hint="default" w:ascii="Times New Roman" w:hAnsi="Times New Roman" w:cs="Times New Roman"/>
          <w:color w:val="auto"/>
          <w:sz w:val="24"/>
          <w:highlight w:val="none"/>
        </w:rPr>
        <w:t>成</w:t>
      </w:r>
      <w:bookmarkEnd w:id="3116"/>
      <w:bookmarkEnd w:id="3117"/>
      <w:r>
        <w:rPr>
          <w:rFonts w:hint="default" w:ascii="Times New Roman" w:hAnsi="Times New Roman" w:cs="Times New Roman"/>
          <w:color w:val="auto"/>
          <w:sz w:val="24"/>
          <w:highlight w:val="none"/>
        </w:rPr>
        <w:t>坡</w:t>
      </w:r>
      <w:bookmarkStart w:id="3118" w:name="_Toc345337734"/>
      <w:bookmarkStart w:id="3119" w:name="_Toc348149768"/>
      <w:r>
        <w:rPr>
          <w:rFonts w:hint="default" w:ascii="Times New Roman" w:hAnsi="Times New Roman" w:cs="Times New Roman"/>
          <w:color w:val="auto"/>
          <w:sz w:val="24"/>
          <w:highlight w:val="none"/>
        </w:rPr>
        <w:t>面的连续</w:t>
      </w:r>
      <w:bookmarkEnd w:id="3118"/>
      <w:r>
        <w:rPr>
          <w:rFonts w:hint="default" w:ascii="Times New Roman" w:hAnsi="Times New Roman" w:cs="Times New Roman"/>
          <w:color w:val="auto"/>
          <w:sz w:val="24"/>
          <w:highlight w:val="none"/>
        </w:rPr>
        <w:t>网垫。</w:t>
      </w:r>
    </w:p>
    <w:bookmarkEnd w:id="3119"/>
    <w:p w14:paraId="22210FD6">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2.</w:t>
      </w:r>
      <w:r>
        <w:rPr>
          <w:rFonts w:hint="default" w:ascii="Times New Roman" w:hAnsi="Times New Roman" w:cs="Times New Roman"/>
          <w:color w:val="auto"/>
          <w:sz w:val="24"/>
          <w:highlight w:val="none"/>
        </w:rPr>
        <w:t>网垫填料</w:t>
      </w:r>
    </w:p>
    <w:p w14:paraId="0CEE7CC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由于网垫厚度一般为30cm，为了保证施工质量，坡面网垫宜采用人工方式摆放填料。网垫填料时，应由网垫下部向上部逐</w:t>
      </w:r>
      <w:bookmarkStart w:id="3120" w:name="_Toc348149769"/>
      <w:bookmarkStart w:id="3121" w:name="_Toc345337735"/>
      <w:r>
        <w:rPr>
          <w:rFonts w:hint="default" w:ascii="Times New Roman" w:hAnsi="Times New Roman" w:cs="Times New Roman"/>
          <w:color w:val="auto"/>
          <w:sz w:val="24"/>
          <w:highlight w:val="none"/>
        </w:rPr>
        <w:t>一向</w:t>
      </w:r>
      <w:bookmarkEnd w:id="3120"/>
      <w:bookmarkEnd w:id="3121"/>
      <w:r>
        <w:rPr>
          <w:rFonts w:hint="default" w:ascii="Times New Roman" w:hAnsi="Times New Roman" w:cs="Times New Roman"/>
          <w:color w:val="auto"/>
          <w:sz w:val="24"/>
          <w:highlight w:val="none"/>
        </w:rPr>
        <w:t>各网格内填料。填料粒径大小要均匀摆放，相互搭接平稳，以满足填充料密度要求。填料预留压缩变形高度一般取3cm（高出网垫）。</w:t>
      </w:r>
    </w:p>
    <w:p w14:paraId="29DE49C3">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3.</w:t>
      </w:r>
      <w:r>
        <w:rPr>
          <w:rFonts w:hint="default" w:ascii="Times New Roman" w:hAnsi="Times New Roman" w:cs="Times New Roman"/>
          <w:color w:val="auto"/>
          <w:sz w:val="24"/>
          <w:highlight w:val="none"/>
        </w:rPr>
        <w:t>网垫封盖</w:t>
      </w:r>
    </w:p>
    <w:p w14:paraId="54063EF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当单个网垫填料完成后</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即可将网盖与网垫边丝、相邻（左、右）网垫之间的边丝按要求相互绑扎在一起，绑扎间距15～20cm。</w:t>
      </w:r>
    </w:p>
    <w:p w14:paraId="49963FD0">
      <w:pPr>
        <w:pStyle w:val="6"/>
        <w:rPr>
          <w:rFonts w:hint="default" w:ascii="Times New Roman" w:hAnsi="Times New Roman" w:cs="Times New Roman"/>
          <w:color w:val="auto"/>
          <w:kern w:val="2"/>
          <w:highlight w:val="none"/>
        </w:rPr>
      </w:pPr>
      <w:bookmarkStart w:id="3122" w:name="_Toc24668"/>
      <w:bookmarkStart w:id="3123" w:name="_Toc34636589"/>
      <w:bookmarkStart w:id="3124" w:name="_Toc60580864"/>
      <w:bookmarkStart w:id="3125" w:name="_Toc205566029"/>
      <w:bookmarkStart w:id="3126" w:name="_Toc16742"/>
      <w:bookmarkStart w:id="3127" w:name="_Toc12518"/>
      <w:r>
        <w:rPr>
          <w:rFonts w:hint="default" w:ascii="Times New Roman" w:hAnsi="Times New Roman" w:cs="Times New Roman"/>
          <w:color w:val="auto"/>
          <w:kern w:val="2"/>
          <w:highlight w:val="none"/>
          <w:lang w:val="en-US" w:eastAsia="zh-CN"/>
        </w:rPr>
        <w:t>2.</w:t>
      </w:r>
      <w:r>
        <w:rPr>
          <w:rFonts w:hint="eastAsia" w:cs="Times New Roman"/>
          <w:color w:val="auto"/>
          <w:kern w:val="2"/>
          <w:highlight w:val="none"/>
          <w:lang w:val="en-US" w:eastAsia="zh-CN"/>
        </w:rPr>
        <w:t>8</w:t>
      </w:r>
      <w:r>
        <w:rPr>
          <w:rFonts w:hint="default" w:ascii="Times New Roman" w:hAnsi="Times New Roman" w:cs="Times New Roman"/>
          <w:color w:val="auto"/>
          <w:kern w:val="2"/>
          <w:highlight w:val="none"/>
          <w:lang w:val="en-US" w:eastAsia="zh-CN"/>
        </w:rPr>
        <w:t>.4</w:t>
      </w:r>
      <w:r>
        <w:rPr>
          <w:rFonts w:hint="default" w:ascii="Times New Roman" w:hAnsi="Times New Roman" w:cs="Times New Roman"/>
          <w:color w:val="auto"/>
          <w:kern w:val="2"/>
          <w:highlight w:val="none"/>
        </w:rPr>
        <w:t>混凝土工程</w:t>
      </w:r>
      <w:bookmarkEnd w:id="3122"/>
      <w:bookmarkEnd w:id="3123"/>
      <w:bookmarkEnd w:id="3124"/>
      <w:bookmarkEnd w:id="3125"/>
      <w:bookmarkEnd w:id="3126"/>
      <w:bookmarkEnd w:id="3127"/>
    </w:p>
    <w:p w14:paraId="65E99D06">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项目外购商用混凝土，</w:t>
      </w:r>
      <w:r>
        <w:rPr>
          <w:rFonts w:hint="default" w:ascii="Times New Roman" w:hAnsi="Times New Roman" w:eastAsia="宋体" w:cs="Times New Roman"/>
          <w:color w:val="auto"/>
          <w:sz w:val="24"/>
          <w:highlight w:val="none"/>
        </w:rPr>
        <w:t>清除混凝土结构物地基淤泥</w:t>
      </w:r>
      <w:r>
        <w:rPr>
          <w:rFonts w:hint="default" w:ascii="Times New Roman" w:hAnsi="Times New Roman" w:eastAsia="宋体" w:cs="Times New Roman"/>
          <w:color w:val="auto"/>
          <w:sz w:val="24"/>
          <w:highlight w:val="none"/>
          <w:lang w:eastAsia="zh-CN"/>
        </w:rPr>
        <w:t>。</w:t>
      </w:r>
    </w:p>
    <w:p w14:paraId="14F23C47">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混凝土浇筑</w:t>
      </w:r>
      <w:r>
        <w:rPr>
          <w:rFonts w:hint="default" w:ascii="Times New Roman" w:hAnsi="Times New Roman" w:eastAsia="宋体" w:cs="Times New Roman"/>
          <w:color w:val="auto"/>
          <w:sz w:val="24"/>
          <w:highlight w:val="none"/>
        </w:rPr>
        <w:t>应按一定厚度、次序、方向，分层进行。</w:t>
      </w:r>
      <w:r>
        <w:rPr>
          <w:rFonts w:hint="default" w:ascii="Times New Roman" w:hAnsi="Times New Roman" w:eastAsia="宋体" w:cs="Times New Roman"/>
          <w:color w:val="auto"/>
          <w:sz w:val="24"/>
          <w:highlight w:val="none"/>
          <w:lang w:eastAsia="zh-CN"/>
        </w:rPr>
        <w:t>采</w:t>
      </w:r>
      <w:r>
        <w:rPr>
          <w:rFonts w:hint="default" w:ascii="Times New Roman" w:hAnsi="Times New Roman" w:eastAsia="宋体" w:cs="Times New Roman"/>
          <w:color w:val="auto"/>
          <w:sz w:val="24"/>
          <w:highlight w:val="none"/>
        </w:rPr>
        <w:t>用</w:t>
      </w:r>
      <w:r>
        <w:rPr>
          <w:rFonts w:hint="eastAsia" w:cs="Times New Roman"/>
          <w:color w:val="auto"/>
          <w:sz w:val="24"/>
          <w:highlight w:val="none"/>
          <w:lang w:eastAsia="zh-CN"/>
        </w:rPr>
        <w:t>振捣器振捣</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混凝土振捣</w:t>
      </w:r>
      <w:r>
        <w:rPr>
          <w:rFonts w:hint="default" w:ascii="Times New Roman" w:hAnsi="Times New Roman" w:eastAsia="宋体" w:cs="Times New Roman"/>
          <w:color w:val="auto"/>
          <w:sz w:val="24"/>
          <w:highlight w:val="none"/>
        </w:rPr>
        <w:t>时间以混凝土不再明显下沉、不出现气泡、并开始泛浆为止。混凝土表面应用压力水、风砂枪或刷毛机等加工成毛面并清洗干净，排除积水</w:t>
      </w:r>
      <w:r>
        <w:rPr>
          <w:rFonts w:hint="default" w:ascii="Times New Roman" w:hAnsi="Times New Roman" w:eastAsia="宋体" w:cs="Times New Roman"/>
          <w:color w:val="auto"/>
          <w:sz w:val="24"/>
          <w:highlight w:val="none"/>
          <w:lang w:eastAsia="zh-CN"/>
        </w:rPr>
        <w:t>。</w:t>
      </w:r>
    </w:p>
    <w:p w14:paraId="261C62BF">
      <w:pPr>
        <w:pStyle w:val="6"/>
        <w:rPr>
          <w:rFonts w:hint="default" w:ascii="Times New Roman" w:hAnsi="Times New Roman" w:eastAsia="宋体" w:cs="Times New Roman"/>
          <w:color w:val="auto"/>
          <w:kern w:val="2"/>
          <w:highlight w:val="none"/>
        </w:rPr>
      </w:pPr>
      <w:bookmarkStart w:id="3128" w:name="_Toc205566030"/>
      <w:bookmarkStart w:id="3129" w:name="_Toc32386"/>
      <w:r>
        <w:rPr>
          <w:rFonts w:hint="default" w:ascii="Times New Roman" w:hAnsi="Times New Roman" w:eastAsia="宋体" w:cs="Times New Roman"/>
          <w:color w:val="auto"/>
          <w:kern w:val="2"/>
          <w:highlight w:val="none"/>
          <w:lang w:val="en-US" w:eastAsia="zh-CN"/>
        </w:rPr>
        <w:t>2.</w:t>
      </w:r>
      <w:r>
        <w:rPr>
          <w:rFonts w:hint="eastAsia" w:cs="Times New Roman"/>
          <w:color w:val="auto"/>
          <w:kern w:val="2"/>
          <w:highlight w:val="none"/>
          <w:lang w:val="en-US" w:eastAsia="zh-CN"/>
        </w:rPr>
        <w:t>8</w:t>
      </w:r>
      <w:r>
        <w:rPr>
          <w:rFonts w:hint="default" w:ascii="Times New Roman" w:hAnsi="Times New Roman" w:eastAsia="宋体" w:cs="Times New Roman"/>
          <w:color w:val="auto"/>
          <w:kern w:val="2"/>
          <w:highlight w:val="none"/>
          <w:lang w:val="en-US" w:eastAsia="zh-CN"/>
        </w:rPr>
        <w:t>.5</w:t>
      </w:r>
      <w:r>
        <w:rPr>
          <w:rFonts w:hint="default" w:ascii="Times New Roman" w:hAnsi="Times New Roman" w:eastAsia="宋体" w:cs="Times New Roman"/>
          <w:color w:val="auto"/>
          <w:kern w:val="2"/>
          <w:highlight w:val="none"/>
        </w:rPr>
        <w:t>生态护坡</w:t>
      </w:r>
      <w:bookmarkEnd w:id="3128"/>
      <w:bookmarkEnd w:id="3129"/>
    </w:p>
    <w:p w14:paraId="1F20BD9A">
      <w:pPr>
        <w:pStyle w:val="30"/>
        <w:spacing w:after="0"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工程生态护坡种植冰草、披碱草、紫花苜蓿三种作物混合种植，混合比例为1:1:2。作物在4-5月份种植，播种方法采用散播，播种宜浅，首先对护坡表层10cm进行松土，然后撒草籽，撒完草籽后进行翻耕，对于坡面为砂砾石的河堤，需进行10cm左右的覆土再进行播种，播种量为35kg/公顷，播种后进行拉水浇灌，采用微喷灌，禁止用水管直冲，并要保证草种生育期在干旱月份的洒水，设计一年灌水5次，保证成活率在90%以上，不满足成活率的</w:t>
      </w:r>
      <w:r>
        <w:rPr>
          <w:rFonts w:hint="eastAsia" w:cs="Times New Roman"/>
          <w:color w:val="auto"/>
          <w:sz w:val="24"/>
          <w:highlight w:val="none"/>
          <w:lang w:eastAsia="zh-CN"/>
        </w:rPr>
        <w:t>需要</w:t>
      </w:r>
      <w:r>
        <w:rPr>
          <w:rFonts w:hint="default" w:ascii="Times New Roman" w:hAnsi="Times New Roman" w:cs="Times New Roman"/>
          <w:color w:val="auto"/>
          <w:sz w:val="24"/>
          <w:highlight w:val="none"/>
        </w:rPr>
        <w:t>进行补种。</w:t>
      </w:r>
    </w:p>
    <w:p w14:paraId="6D5749D8">
      <w:pPr>
        <w:pStyle w:val="6"/>
        <w:rPr>
          <w:rFonts w:hint="default" w:ascii="Times New Roman" w:hAnsi="Times New Roman" w:eastAsia="宋体" w:cs="Times New Roman"/>
          <w:color w:val="auto"/>
          <w:kern w:val="2"/>
          <w:highlight w:val="none"/>
          <w:lang w:val="en-US" w:eastAsia="zh-CN"/>
        </w:rPr>
      </w:pPr>
      <w:bookmarkStart w:id="3130" w:name="_Toc190853372"/>
      <w:bookmarkStart w:id="3131" w:name="_Toc31721"/>
      <w:bookmarkStart w:id="3132" w:name="_Toc27420"/>
      <w:bookmarkStart w:id="3133" w:name="_Toc182235355"/>
      <w:bookmarkStart w:id="3134" w:name="_Toc205566031"/>
      <w:r>
        <w:rPr>
          <w:rFonts w:hint="default" w:ascii="Times New Roman" w:hAnsi="Times New Roman" w:eastAsia="宋体" w:cs="Times New Roman"/>
          <w:color w:val="auto"/>
          <w:kern w:val="2"/>
          <w:highlight w:val="none"/>
          <w:lang w:val="en-US" w:eastAsia="zh-CN"/>
        </w:rPr>
        <w:t>2.</w:t>
      </w:r>
      <w:r>
        <w:rPr>
          <w:rFonts w:hint="eastAsia" w:cs="Times New Roman"/>
          <w:color w:val="auto"/>
          <w:kern w:val="2"/>
          <w:highlight w:val="none"/>
          <w:lang w:val="en-US" w:eastAsia="zh-CN"/>
        </w:rPr>
        <w:t>8</w:t>
      </w:r>
      <w:r>
        <w:rPr>
          <w:rFonts w:hint="default" w:ascii="Times New Roman" w:hAnsi="Times New Roman" w:eastAsia="宋体" w:cs="Times New Roman"/>
          <w:color w:val="auto"/>
          <w:kern w:val="2"/>
          <w:highlight w:val="none"/>
          <w:lang w:val="en-US" w:eastAsia="zh-CN"/>
        </w:rPr>
        <w:t>.6库内清淤施工</w:t>
      </w:r>
      <w:bookmarkEnd w:id="3130"/>
      <w:bookmarkEnd w:id="3131"/>
      <w:bookmarkEnd w:id="3132"/>
      <w:bookmarkEnd w:id="3133"/>
      <w:bookmarkEnd w:id="3134"/>
    </w:p>
    <w:p w14:paraId="28A7BA17">
      <w:pPr>
        <w:pStyle w:val="30"/>
        <w:spacing w:after="0"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水库清淤前提前两个月将水库放空，考虑到淤泥在冬季固结状态下便于施工，设计采用冬季施工</w:t>
      </w:r>
      <w:r>
        <w:rPr>
          <w:rFonts w:hint="eastAsia" w:cs="Times New Roman"/>
          <w:color w:val="auto"/>
          <w:sz w:val="24"/>
          <w:highlight w:val="none"/>
          <w:lang w:eastAsia="zh-CN"/>
        </w:rPr>
        <w:t>，在</w:t>
      </w:r>
      <w:r>
        <w:rPr>
          <w:rFonts w:hint="default" w:ascii="Times New Roman" w:hAnsi="Times New Roman" w:eastAsia="宋体" w:cs="Times New Roman"/>
          <w:color w:val="auto"/>
          <w:sz w:val="24"/>
          <w:highlight w:val="none"/>
        </w:rPr>
        <w:t>库区开挖网状排水沟，经排水固结后，在库区堆填施工道路，利用长臂挖掘机挖泥、自卸汽车运输。</w:t>
      </w:r>
    </w:p>
    <w:p w14:paraId="76094447">
      <w:pPr>
        <w:pStyle w:val="30"/>
        <w:spacing w:after="0"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库区按100m×100m布置方格网，坝前距前坝坡50m为起坡点，库区岸线及库尾向库区延伸30m为起坡点，淤泥开挖边坡为1:10，平均开挖深度按2.0m控制</w:t>
      </w:r>
      <w:r>
        <w:rPr>
          <w:rFonts w:hint="default" w:ascii="Times New Roman" w:hAnsi="Times New Roman" w:cs="Times New Roman"/>
          <w:color w:val="auto"/>
          <w:kern w:val="0"/>
          <w:highlight w:val="none"/>
        </w:rPr>
        <w:t>。</w:t>
      </w:r>
    </w:p>
    <w:p w14:paraId="01AEE430">
      <w:pPr>
        <w:pStyle w:val="6"/>
        <w:rPr>
          <w:rFonts w:hint="default" w:ascii="Times New Roman" w:hAnsi="Times New Roman" w:cs="Times New Roman"/>
          <w:color w:val="auto"/>
          <w:highlight w:val="none"/>
        </w:rPr>
      </w:pPr>
      <w:bookmarkStart w:id="3135" w:name="_Toc19888"/>
      <w:r>
        <w:rPr>
          <w:rFonts w:hint="default" w:ascii="Times New Roman" w:hAnsi="Times New Roman" w:eastAsia="宋体" w:cs="Times New Roman"/>
          <w:color w:val="auto"/>
          <w:kern w:val="2"/>
          <w:highlight w:val="none"/>
          <w:lang w:val="en-US" w:eastAsia="zh-CN"/>
        </w:rPr>
        <w:t>2.</w:t>
      </w:r>
      <w:r>
        <w:rPr>
          <w:rFonts w:hint="eastAsia" w:cs="Times New Roman"/>
          <w:color w:val="auto"/>
          <w:kern w:val="2"/>
          <w:highlight w:val="none"/>
          <w:lang w:val="en-US" w:eastAsia="zh-CN"/>
        </w:rPr>
        <w:t>8</w:t>
      </w:r>
      <w:r>
        <w:rPr>
          <w:rFonts w:hint="default" w:ascii="Times New Roman" w:hAnsi="Times New Roman" w:eastAsia="宋体" w:cs="Times New Roman"/>
          <w:color w:val="auto"/>
          <w:kern w:val="2"/>
          <w:highlight w:val="none"/>
          <w:lang w:val="en-US" w:eastAsia="zh-CN"/>
        </w:rPr>
        <w:t>.7</w:t>
      </w:r>
      <w:bookmarkStart w:id="3136" w:name="_Toc205566032"/>
      <w:bookmarkStart w:id="3137" w:name="_Toc190853373"/>
      <w:bookmarkStart w:id="3138" w:name="_Toc182235356"/>
      <w:bookmarkStart w:id="3139" w:name="_Toc16622"/>
      <w:r>
        <w:rPr>
          <w:rFonts w:hint="default" w:ascii="Times New Roman" w:hAnsi="Times New Roman" w:cs="Times New Roman"/>
          <w:color w:val="auto"/>
          <w:highlight w:val="none"/>
        </w:rPr>
        <w:t>淤泥堆填施工</w:t>
      </w:r>
      <w:bookmarkEnd w:id="3135"/>
      <w:bookmarkEnd w:id="3136"/>
      <w:bookmarkEnd w:id="3137"/>
      <w:bookmarkEnd w:id="3138"/>
      <w:bookmarkEnd w:id="3139"/>
    </w:p>
    <w:p w14:paraId="775E6DAF">
      <w:pPr>
        <w:spacing w:line="360" w:lineRule="auto"/>
        <w:ind w:firstLine="56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本次设计</w:t>
      </w:r>
      <w:r>
        <w:rPr>
          <w:rFonts w:hint="eastAsia" w:cs="Times New Roman"/>
          <w:color w:val="auto"/>
          <w:sz w:val="24"/>
          <w:highlight w:val="none"/>
          <w:lang w:val="zh-CN"/>
        </w:rPr>
        <w:t>将淤泥在库底自然晾干后运至</w:t>
      </w:r>
      <w:r>
        <w:rPr>
          <w:rFonts w:hint="eastAsia" w:cs="Times New Roman"/>
          <w:color w:val="auto"/>
          <w:sz w:val="24"/>
          <w:highlight w:val="none"/>
          <w:lang w:val="en-US" w:eastAsia="zh-CN"/>
        </w:rPr>
        <w:t>7处</w:t>
      </w:r>
      <w:r>
        <w:rPr>
          <w:rFonts w:hint="eastAsia" w:cs="Times New Roman"/>
          <w:color w:val="auto"/>
          <w:sz w:val="24"/>
          <w:highlight w:val="none"/>
          <w:lang w:val="zh-CN"/>
        </w:rPr>
        <w:t>堆场</w:t>
      </w:r>
      <w:r>
        <w:rPr>
          <w:rFonts w:hint="eastAsia" w:cs="Times New Roman"/>
          <w:color w:val="auto"/>
          <w:sz w:val="24"/>
          <w:highlight w:val="none"/>
          <w:lang w:val="en-US" w:eastAsia="zh-CN"/>
        </w:rPr>
        <w:t>。</w:t>
      </w:r>
      <w:r>
        <w:rPr>
          <w:rFonts w:hint="eastAsia" w:cs="Times New Roman"/>
          <w:color w:val="auto"/>
          <w:sz w:val="24"/>
          <w:highlight w:val="none"/>
          <w:lang w:val="zh-CN"/>
        </w:rPr>
        <w:t>将</w:t>
      </w:r>
      <w:r>
        <w:rPr>
          <w:rFonts w:hint="default" w:ascii="Times New Roman" w:hAnsi="Times New Roman" w:cs="Times New Roman"/>
          <w:color w:val="auto"/>
          <w:sz w:val="24"/>
          <w:highlight w:val="none"/>
          <w:lang w:val="zh-CN"/>
        </w:rPr>
        <w:t>淤泥填入堆场内，同时堆填</w:t>
      </w:r>
      <w:r>
        <w:rPr>
          <w:rFonts w:hint="eastAsia" w:cs="Times New Roman"/>
          <w:color w:val="auto"/>
          <w:sz w:val="24"/>
          <w:highlight w:val="none"/>
          <w:lang w:val="zh-CN"/>
        </w:rPr>
        <w:t>。</w:t>
      </w:r>
      <w:r>
        <w:rPr>
          <w:rFonts w:hint="default" w:ascii="Times New Roman" w:hAnsi="Times New Roman" w:cs="Times New Roman"/>
          <w:color w:val="auto"/>
          <w:sz w:val="24"/>
          <w:highlight w:val="none"/>
          <w:lang w:val="zh-CN"/>
        </w:rPr>
        <w:t>堆填应在拦泥坝施工完成并验收合格之后进行，堆填过程中严格控制堆填速率，随时监测坝坡、岸坡、沟道两岸岸坡状态，如有滑动迹象及时停止施工，并调整堆填速率和下游堆泥坡比。</w:t>
      </w:r>
    </w:p>
    <w:p w14:paraId="085BEB48">
      <w:pPr>
        <w:spacing w:line="360" w:lineRule="auto"/>
        <w:ind w:firstLine="560"/>
        <w:jc w:val="both"/>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鉴于沟道两侧岸坡高程不同，最大高差约</w:t>
      </w:r>
      <w:r>
        <w:rPr>
          <w:rFonts w:hint="default" w:ascii="Times New Roman" w:hAnsi="Times New Roman" w:cs="Times New Roman"/>
          <w:color w:val="auto"/>
          <w:sz w:val="24"/>
          <w:highlight w:val="none"/>
        </w:rPr>
        <w:t>12</w:t>
      </w:r>
      <w:r>
        <w:rPr>
          <w:rFonts w:hint="default" w:ascii="Times New Roman" w:hAnsi="Times New Roman" w:cs="Times New Roman"/>
          <w:color w:val="auto"/>
          <w:sz w:val="24"/>
          <w:highlight w:val="none"/>
          <w:lang w:val="zh-CN"/>
        </w:rPr>
        <w:t>m，设计在堆填至低岸岸坡顶1.0m时，将淤泥平整后，顶部铺设干土厚度不低于1.0m，结合两岸地形，每隔100m左右设置1道土隔坎，垂直沟道走向布置，坎高0.5m，顶宽2.0m，边坡1:1.0，以拦蓄坡面降雨，防止洪水对填泥再次冲刷引发次生灾害。</w:t>
      </w:r>
      <w:r>
        <w:rPr>
          <w:rFonts w:hint="eastAsia" w:cs="Times New Roman"/>
          <w:color w:val="auto"/>
          <w:sz w:val="24"/>
          <w:highlight w:val="none"/>
          <w:lang w:val="zh-CN"/>
        </w:rPr>
        <w:t>汛期</w:t>
      </w:r>
      <w:r>
        <w:rPr>
          <w:rFonts w:hint="default" w:ascii="Times New Roman" w:hAnsi="Times New Roman" w:cs="Times New Roman"/>
          <w:color w:val="auto"/>
          <w:sz w:val="24"/>
          <w:highlight w:val="none"/>
          <w:lang w:val="zh-CN"/>
        </w:rPr>
        <w:t>应加强巡查，土坎出现冲沟或者塌陷时应及时修整。</w:t>
      </w:r>
    </w:p>
    <w:p w14:paraId="1758C201">
      <w:pPr>
        <w:pStyle w:val="4"/>
        <w:bidi w:val="0"/>
        <w:rPr>
          <w:rFonts w:hint="default" w:ascii="Times New Roman" w:hAnsi="Times New Roman" w:cs="Times New Roman"/>
          <w:color w:val="auto"/>
          <w:sz w:val="28"/>
          <w:szCs w:val="28"/>
          <w:highlight w:val="none"/>
        </w:rPr>
      </w:pPr>
      <w:bookmarkStart w:id="3140" w:name="_Toc473"/>
      <w:bookmarkStart w:id="3141" w:name="_Toc16473"/>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施工总布置</w:t>
      </w:r>
      <w:bookmarkEnd w:id="3114"/>
      <w:bookmarkEnd w:id="3115"/>
      <w:bookmarkEnd w:id="3140"/>
      <w:bookmarkEnd w:id="3141"/>
    </w:p>
    <w:p w14:paraId="52FDD792">
      <w:pP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（1）施工总布置原则</w:t>
      </w:r>
    </w:p>
    <w:p w14:paraId="71428887">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本工程沿线有耕地、林地、草地，有公路等重要的交通设施。因此，施工总布置应尽量利用已有的工程设施，新建临时工程要因地制宜，经济合理，安全可靠，有</w:t>
      </w:r>
      <w:r>
        <w:rPr>
          <w:rFonts w:hint="eastAsia" w:cs="Times New Roman"/>
          <w:color w:val="auto"/>
          <w:sz w:val="24"/>
          <w:highlight w:val="none"/>
          <w:lang w:eastAsia="zh-CN"/>
        </w:rPr>
        <w:t>利于</w:t>
      </w:r>
      <w:r>
        <w:rPr>
          <w:rFonts w:hint="default" w:ascii="Times New Roman" w:hAnsi="Times New Roman" w:cs="Times New Roman"/>
          <w:color w:val="auto"/>
          <w:sz w:val="24"/>
          <w:highlight w:val="none"/>
        </w:rPr>
        <w:t>生产，方便生活与管理，妥善处理施工进场内外关系，</w:t>
      </w:r>
      <w:r>
        <w:rPr>
          <w:rFonts w:hint="default" w:ascii="Times New Roman" w:hAnsi="Times New Roman" w:cs="Times New Roman"/>
          <w:color w:val="auto"/>
          <w:sz w:val="24"/>
          <w:highlight w:val="none"/>
          <w:lang w:eastAsia="zh-CN"/>
        </w:rPr>
        <w:t>减</w:t>
      </w:r>
      <w:r>
        <w:rPr>
          <w:rFonts w:hint="default" w:ascii="Times New Roman" w:hAnsi="Times New Roman" w:cs="Times New Roman"/>
          <w:color w:val="auto"/>
          <w:sz w:val="24"/>
          <w:highlight w:val="none"/>
        </w:rPr>
        <w:t>少耕地</w:t>
      </w:r>
      <w:r>
        <w:rPr>
          <w:rFonts w:hint="default" w:ascii="Times New Roman" w:hAnsi="Times New Roman" w:cs="Times New Roman"/>
          <w:color w:val="auto"/>
          <w:sz w:val="24"/>
          <w:highlight w:val="none"/>
          <w:lang w:eastAsia="zh-CN"/>
        </w:rPr>
        <w:t>占用</w:t>
      </w:r>
      <w:r>
        <w:rPr>
          <w:rFonts w:hint="default" w:ascii="Times New Roman" w:hAnsi="Times New Roman" w:cs="Times New Roman"/>
          <w:color w:val="auto"/>
          <w:sz w:val="24"/>
          <w:highlight w:val="none"/>
        </w:rPr>
        <w:t>，施工中做好三废处理，保护施工环境。</w:t>
      </w:r>
    </w:p>
    <w:p w14:paraId="5A3F43D3">
      <w:pP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（2）施工总布置条件</w:t>
      </w:r>
    </w:p>
    <w:p w14:paraId="09A9B741">
      <w:pP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本工程施工区交通网和供电系统发达，为工程施工创造了优越的条件。</w:t>
      </w:r>
    </w:p>
    <w:p w14:paraId="635162A3">
      <w:pP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本工程可将对外交通联成一个系统，再由此确定辅助企业及重要仓库的位置，最后布置管理、文化、生活福利及水、电和动力供应系统等。</w:t>
      </w:r>
    </w:p>
    <w:p w14:paraId="2053B666">
      <w:pP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施工中的场内场外交通，临时结合永久，利用乡村道路解决。</w:t>
      </w:r>
    </w:p>
    <w:p w14:paraId="1B290DC4">
      <w:pP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（3）土石方挖填平衡及</w:t>
      </w:r>
      <w:r>
        <w:rPr>
          <w:rFonts w:hint="default" w:ascii="Times New Roman" w:hAnsi="Times New Roman" w:cs="Times New Roman"/>
          <w:color w:val="auto"/>
          <w:sz w:val="24"/>
          <w:szCs w:val="24"/>
          <w:highlight w:val="none"/>
          <w:lang w:eastAsia="zh-CN"/>
        </w:rPr>
        <w:t>堆</w:t>
      </w:r>
      <w:r>
        <w:rPr>
          <w:rFonts w:hint="default" w:ascii="Times New Roman" w:hAnsi="Times New Roman" w:eastAsia="宋体" w:cs="Times New Roman"/>
          <w:color w:val="auto"/>
          <w:sz w:val="24"/>
          <w:szCs w:val="24"/>
          <w:highlight w:val="none"/>
        </w:rPr>
        <w:t>场规划</w:t>
      </w:r>
    </w:p>
    <w:p w14:paraId="3CC879B3">
      <w:pPr>
        <w:outlineLvl w:val="9"/>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项目清淤量较大，在河道</w:t>
      </w:r>
      <w:r>
        <w:rPr>
          <w:rFonts w:hint="default" w:ascii="Times New Roman" w:hAnsi="Times New Roman" w:cs="Times New Roman"/>
          <w:color w:val="auto"/>
          <w:sz w:val="24"/>
          <w:highlight w:val="none"/>
        </w:rPr>
        <w:t>左岸</w:t>
      </w:r>
      <w:r>
        <w:rPr>
          <w:rFonts w:hint="default" w:ascii="Times New Roman" w:hAnsi="Times New Roman" w:cs="Times New Roman"/>
          <w:color w:val="auto"/>
          <w:sz w:val="24"/>
          <w:highlight w:val="none"/>
          <w:lang w:eastAsia="zh-CN"/>
        </w:rPr>
        <w:t>选择</w:t>
      </w:r>
      <w:r>
        <w:rPr>
          <w:rFonts w:hint="default" w:ascii="Times New Roman" w:hAnsi="Times New Roman" w:cs="Times New Roman"/>
          <w:color w:val="auto"/>
          <w:sz w:val="24"/>
          <w:highlight w:val="none"/>
        </w:rPr>
        <w:t>7处凹湾</w:t>
      </w:r>
      <w:r>
        <w:rPr>
          <w:rFonts w:hint="default" w:ascii="Times New Roman" w:hAnsi="Times New Roman" w:cs="Times New Roman"/>
          <w:color w:val="auto"/>
          <w:sz w:val="24"/>
          <w:highlight w:val="none"/>
          <w:lang w:eastAsia="zh-CN"/>
        </w:rPr>
        <w:t>进行淤泥堆积。选择</w:t>
      </w:r>
      <w:r>
        <w:rPr>
          <w:rFonts w:hint="eastAsia" w:cs="Times New Roman"/>
          <w:color w:val="auto"/>
          <w:sz w:val="24"/>
          <w:highlight w:val="none"/>
          <w:lang w:eastAsia="zh-CN"/>
        </w:rPr>
        <w:t>堆场</w:t>
      </w:r>
      <w:r>
        <w:rPr>
          <w:rFonts w:hint="default" w:ascii="Times New Roman" w:hAnsi="Times New Roman" w:cs="Times New Roman"/>
          <w:color w:val="auto"/>
          <w:sz w:val="24"/>
          <w:highlight w:val="none"/>
        </w:rPr>
        <w:t>确保不挤占防洪库容</w:t>
      </w:r>
      <w:r>
        <w:rPr>
          <w:rFonts w:hint="default" w:ascii="Times New Roman" w:hAnsi="Times New Roman" w:cs="Times New Roman"/>
          <w:color w:val="auto"/>
          <w:sz w:val="24"/>
          <w:highlight w:val="none"/>
          <w:lang w:eastAsia="zh-CN"/>
        </w:rPr>
        <w:t>。</w:t>
      </w:r>
    </w:p>
    <w:p w14:paraId="4447D0B6">
      <w:pP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（4）施工</w:t>
      </w:r>
      <w:r>
        <w:rPr>
          <w:rFonts w:hint="default" w:ascii="Times New Roman" w:hAnsi="Times New Roman" w:cs="Times New Roman"/>
          <w:color w:val="auto"/>
          <w:sz w:val="24"/>
          <w:szCs w:val="24"/>
          <w:highlight w:val="none"/>
          <w:lang w:val="en-US" w:eastAsia="zh-CN"/>
        </w:rPr>
        <w:t>营地</w:t>
      </w:r>
      <w:r>
        <w:rPr>
          <w:rFonts w:hint="default" w:ascii="Times New Roman" w:hAnsi="Times New Roman" w:eastAsia="宋体" w:cs="Times New Roman"/>
          <w:color w:val="auto"/>
          <w:sz w:val="24"/>
          <w:szCs w:val="24"/>
          <w:highlight w:val="none"/>
        </w:rPr>
        <w:t>规划</w:t>
      </w:r>
    </w:p>
    <w:p w14:paraId="200FDB42">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本工程为线性布置，施工设施和施工营地采用集中布置的方式，根据施工总布置原则、工程施工强度，结合工程区地形和交通条件等方面，</w:t>
      </w:r>
      <w:r>
        <w:rPr>
          <w:rFonts w:hint="eastAsia" w:cs="Times New Roman"/>
          <w:color w:val="auto"/>
          <w:sz w:val="24"/>
          <w:highlight w:val="none"/>
          <w:lang w:eastAsia="zh-CN"/>
        </w:rPr>
        <w:t>设置</w:t>
      </w:r>
      <w:r>
        <w:rPr>
          <w:rFonts w:hint="eastAsia" w:cs="Times New Roman"/>
          <w:color w:val="auto"/>
          <w:sz w:val="24"/>
          <w:highlight w:val="none"/>
          <w:lang w:val="en-US" w:eastAsia="zh-CN"/>
        </w:rPr>
        <w:t>3处施工营地</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分别为川口河段</w:t>
      </w:r>
      <w:r>
        <w:rPr>
          <w:rFonts w:hint="eastAsia" w:cs="Times New Roman"/>
          <w:color w:val="auto"/>
          <w:sz w:val="24"/>
          <w:highlight w:val="none"/>
          <w:lang w:val="en-US" w:eastAsia="zh-CN"/>
        </w:rPr>
        <w:t>1</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施工营地，占地500m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小河段2</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施工营地，占地1000m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石头崾岘水库3</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施工营地，占地1000m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r>
        <w:rPr>
          <w:rFonts w:hint="eastAsia" w:cs="Times New Roman"/>
          <w:color w:val="auto"/>
          <w:sz w:val="24"/>
          <w:szCs w:val="24"/>
          <w:highlight w:val="none"/>
          <w:lang w:eastAsia="zh-CN" w:bidi="ar"/>
        </w:rPr>
        <w:t>施工营地</w:t>
      </w:r>
      <w:r>
        <w:rPr>
          <w:rFonts w:hint="default" w:ascii="Times New Roman" w:hAnsi="Times New Roman" w:eastAsia="宋体" w:cs="Times New Roman"/>
          <w:color w:val="auto"/>
          <w:sz w:val="24"/>
          <w:szCs w:val="24"/>
          <w:highlight w:val="none"/>
          <w:lang w:bidi="ar"/>
        </w:rPr>
        <w:t>内布设有物资仓库、机电设备仓库、机械停放场、临时堆料场、临时</w:t>
      </w:r>
      <w:r>
        <w:rPr>
          <w:rFonts w:hint="eastAsia" w:cs="Times New Roman"/>
          <w:color w:val="auto"/>
          <w:sz w:val="24"/>
          <w:szCs w:val="24"/>
          <w:highlight w:val="none"/>
          <w:lang w:eastAsia="zh-CN" w:bidi="ar"/>
        </w:rPr>
        <w:t>隔油</w:t>
      </w:r>
      <w:r>
        <w:rPr>
          <w:rFonts w:hint="default" w:ascii="Times New Roman" w:hAnsi="Times New Roman" w:eastAsia="宋体" w:cs="Times New Roman"/>
          <w:color w:val="auto"/>
          <w:sz w:val="24"/>
          <w:szCs w:val="24"/>
          <w:highlight w:val="none"/>
          <w:lang w:bidi="ar"/>
        </w:rPr>
        <w:t>沉淀池等。</w:t>
      </w:r>
    </w:p>
    <w:p w14:paraId="253E7291">
      <w:pPr>
        <w:spacing w:line="360" w:lineRule="auto"/>
        <w:ind w:firstLine="48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object>
          <v:shape id="_x0000_i1025" o:spt="75" type="#_x0000_t75" style="height:148.35pt;width:300pt;" o:ole="t" filled="f" o:preferrelative="t" stroked="t" coordsize="21600,21600">
            <v:path/>
            <v:fill on="f" focussize="0,0"/>
            <v:stroke joinstyle="miter"/>
            <v:imagedata r:id="rId39" o:title=""/>
            <o:lock v:ext="edit" aspectratio="f"/>
            <w10:wrap type="none"/>
            <w10:anchorlock/>
          </v:shape>
          <o:OLEObject Type="Embed" ProgID="Visio.Drawing.15" ShapeID="_x0000_i1025" DrawAspect="Content" ObjectID="_1468075725" r:id="rId38">
            <o:LockedField>false</o:LockedField>
          </o:OLEObject>
        </w:object>
      </w:r>
    </w:p>
    <w:p w14:paraId="02CCE21E">
      <w:pPr>
        <w:pStyle w:val="9"/>
        <w:jc w:val="center"/>
        <w:rPr>
          <w:rFonts w:hint="default" w:ascii="Times New Roman" w:hAnsi="Times New Roman" w:cs="Times New Roman"/>
          <w:color w:val="auto"/>
          <w:highlight w:val="none"/>
          <w:lang w:val="en-US" w:eastAsia="zh-CN"/>
        </w:rPr>
      </w:pPr>
      <w:r>
        <w:rPr>
          <w:rFonts w:hint="default" w:ascii="Times New Roman" w:hAnsi="Times New Roman" w:cs="Times New Roman"/>
          <w:b/>
          <w:color w:val="auto"/>
          <w:sz w:val="24"/>
          <w:highlight w:val="none"/>
          <w:lang w:bidi="ar"/>
        </w:rPr>
        <w:t>图</w:t>
      </w:r>
      <w:r>
        <w:rPr>
          <w:rFonts w:hint="default" w:ascii="Times New Roman" w:hAnsi="Times New Roman" w:cs="Times New Roman"/>
          <w:b/>
          <w:color w:val="auto"/>
          <w:sz w:val="24"/>
          <w:highlight w:val="none"/>
          <w:lang w:val="en-US" w:eastAsia="zh-CN" w:bidi="ar"/>
        </w:rPr>
        <w:t>2.</w:t>
      </w:r>
      <w:r>
        <w:rPr>
          <w:rFonts w:hint="eastAsia" w:cs="Times New Roman"/>
          <w:b/>
          <w:color w:val="auto"/>
          <w:sz w:val="24"/>
          <w:highlight w:val="none"/>
          <w:lang w:val="en-US" w:eastAsia="zh-CN" w:bidi="ar"/>
        </w:rPr>
        <w:t>9</w:t>
      </w:r>
      <w:r>
        <w:rPr>
          <w:rFonts w:hint="default" w:ascii="Times New Roman" w:hAnsi="Times New Roman" w:cs="Times New Roman"/>
          <w:b/>
          <w:color w:val="auto"/>
          <w:sz w:val="24"/>
          <w:highlight w:val="none"/>
          <w:lang w:val="en-US" w:eastAsia="zh-CN" w:bidi="ar"/>
        </w:rPr>
        <w:t>-1本项目施工材料及设备存放区平面布置图</w:t>
      </w:r>
    </w:p>
    <w:p w14:paraId="2D451910">
      <w:pPr>
        <w:pStyle w:val="4"/>
        <w:rPr>
          <w:rFonts w:hint="default" w:ascii="Times New Roman" w:hAnsi="Times New Roman" w:cs="Times New Roman"/>
          <w:color w:val="auto"/>
          <w:sz w:val="28"/>
          <w:szCs w:val="28"/>
          <w:highlight w:val="none"/>
        </w:rPr>
      </w:pPr>
      <w:bookmarkStart w:id="3142" w:name="_Toc4753"/>
      <w:bookmarkStart w:id="3143" w:name="_Toc31966"/>
      <w:bookmarkStart w:id="3144" w:name="_Toc4924"/>
      <w:bookmarkStart w:id="3145" w:name="_Toc8242"/>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施工总进度</w:t>
      </w:r>
      <w:bookmarkEnd w:id="3142"/>
      <w:bookmarkEnd w:id="3143"/>
      <w:bookmarkEnd w:id="3144"/>
      <w:bookmarkEnd w:id="3145"/>
    </w:p>
    <w:p w14:paraId="2C161162">
      <w:pPr>
        <w:spacing w:beforeLines="0" w:afterLines="0"/>
        <w:jc w:val="left"/>
        <w:rPr>
          <w:rFonts w:hint="default" w:ascii="Times New Roman" w:hAnsi="Times New Roman" w:eastAsia="宋体" w:cs="Times New Roman"/>
          <w:color w:val="auto"/>
          <w:sz w:val="24"/>
          <w:szCs w:val="24"/>
          <w:highlight w:val="none"/>
        </w:rPr>
      </w:pPr>
      <w:bookmarkStart w:id="3146" w:name="_Toc8970"/>
      <w:r>
        <w:rPr>
          <w:rFonts w:hint="default" w:ascii="Times New Roman" w:hAnsi="Times New Roman" w:cs="Times New Roman"/>
          <w:color w:val="auto"/>
          <w:highlight w:val="none"/>
        </w:rPr>
        <w:t>工程计划总工期14个月，202</w:t>
      </w:r>
      <w:r>
        <w:rPr>
          <w:rFonts w:hint="eastAsia" w:cs="Times New Roman"/>
          <w:color w:val="auto"/>
          <w:highlight w:val="none"/>
          <w:lang w:val="en-US" w:eastAsia="zh-CN"/>
        </w:rPr>
        <w:t>6</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月底开始施工，202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月底建成运行</w:t>
      </w:r>
      <w:r>
        <w:rPr>
          <w:rFonts w:hint="default" w:ascii="Times New Roman" w:hAnsi="Times New Roman" w:eastAsia="宋体" w:cs="Times New Roman"/>
          <w:color w:val="auto"/>
          <w:sz w:val="24"/>
          <w:szCs w:val="24"/>
          <w:highlight w:val="none"/>
        </w:rPr>
        <w:t>。</w:t>
      </w:r>
    </w:p>
    <w:p w14:paraId="652E61A9">
      <w:pPr>
        <w:spacing w:beforeLines="0" w:afterLines="0"/>
        <w:jc w:val="both"/>
        <w:rPr>
          <w:rFonts w:hint="default" w:ascii="Times New Roman" w:hAnsi="Times New Roman" w:eastAsia="宋体" w:cs="Times New Roman"/>
          <w:color w:val="auto"/>
          <w:highlight w:val="none"/>
        </w:rPr>
      </w:pP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 xml:space="preserve">一期工程‌ </w:t>
      </w:r>
    </w:p>
    <w:p w14:paraId="6270073C">
      <w:pPr>
        <w:spacing w:beforeLines="0" w:afterLines="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①</w:t>
      </w:r>
      <w:r>
        <w:rPr>
          <w:rFonts w:hint="default" w:ascii="Times New Roman" w:hAnsi="Times New Roman" w:eastAsia="宋体" w:cs="Times New Roman"/>
          <w:color w:val="auto"/>
          <w:highlight w:val="none"/>
        </w:rPr>
        <w:t>‌河道疏浚工程‌：‌202</w:t>
      </w:r>
      <w:r>
        <w:rPr>
          <w:rFonts w:hint="eastAsia" w:cs="Times New Roman"/>
          <w:color w:val="auto"/>
          <w:highlight w:val="none"/>
          <w:lang w:val="en-US" w:eastAsia="zh-CN"/>
        </w:rPr>
        <w:t>6</w:t>
      </w:r>
      <w:r>
        <w:rPr>
          <w:rFonts w:hint="default" w:ascii="Times New Roman" w:hAnsi="Times New Roman" w:eastAsia="宋体" w:cs="Times New Roman"/>
          <w:color w:val="auto"/>
          <w:highlight w:val="none"/>
        </w:rPr>
        <w:t>年</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月</w:t>
      </w:r>
      <w:r>
        <w:rPr>
          <w:rFonts w:hint="eastAsia" w:cs="Times New Roman"/>
          <w:color w:val="auto"/>
          <w:highlight w:val="none"/>
          <w:lang w:eastAsia="zh-CN"/>
        </w:rPr>
        <w:t>—</w:t>
      </w:r>
      <w:r>
        <w:rPr>
          <w:rFonts w:hint="default" w:ascii="Times New Roman" w:hAnsi="Times New Roman" w:eastAsia="宋体" w:cs="Times New Roman"/>
          <w:color w:val="auto"/>
          <w:highlight w:val="none"/>
        </w:rPr>
        <w:t>2026年</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eastAsia="zh-CN"/>
        </w:rPr>
        <w:t>；</w:t>
      </w:r>
    </w:p>
    <w:p w14:paraId="7DA7E0DC">
      <w:pPr>
        <w:spacing w:beforeLines="0" w:afterLines="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highlight w:val="none"/>
        </w:rPr>
        <w:t>‌护岸工程：‌202</w:t>
      </w:r>
      <w:r>
        <w:rPr>
          <w:rFonts w:hint="eastAsia" w:cs="Times New Roman"/>
          <w:color w:val="auto"/>
          <w:highlight w:val="none"/>
          <w:lang w:val="en-US" w:eastAsia="zh-CN"/>
        </w:rPr>
        <w:t>6</w:t>
      </w:r>
      <w:r>
        <w:rPr>
          <w:rFonts w:hint="default" w:ascii="Times New Roman" w:hAnsi="Times New Roman" w:eastAsia="宋体" w:cs="Times New Roman"/>
          <w:color w:val="auto"/>
          <w:highlight w:val="none"/>
        </w:rPr>
        <w:t>年</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月</w:t>
      </w:r>
      <w:r>
        <w:rPr>
          <w:rFonts w:hint="eastAsia" w:cs="Times New Roman"/>
          <w:color w:val="auto"/>
          <w:highlight w:val="none"/>
          <w:lang w:eastAsia="zh-CN"/>
        </w:rPr>
        <w:t>—</w:t>
      </w:r>
      <w:r>
        <w:rPr>
          <w:rFonts w:hint="default" w:ascii="Times New Roman" w:hAnsi="Times New Roman" w:eastAsia="宋体" w:cs="Times New Roman"/>
          <w:color w:val="auto"/>
          <w:highlight w:val="none"/>
        </w:rPr>
        <w:t>2026年</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eastAsia="zh-CN"/>
        </w:rPr>
        <w:t>岸坡砌护，</w:t>
      </w:r>
      <w:r>
        <w:rPr>
          <w:rFonts w:hint="default" w:ascii="Times New Roman" w:hAnsi="Times New Roman" w:eastAsia="宋体" w:cs="Times New Roman"/>
          <w:color w:val="auto"/>
          <w:highlight w:val="none"/>
          <w:lang w:val="en-US" w:eastAsia="zh-CN"/>
        </w:rPr>
        <w:t>2026年</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月</w:t>
      </w:r>
      <w:r>
        <w:rPr>
          <w:rFonts w:hint="default" w:ascii="Times New Roman" w:hAnsi="Times New Roman" w:eastAsia="宋体" w:cs="Times New Roman"/>
          <w:color w:val="auto"/>
          <w:highlight w:val="none"/>
          <w:lang w:eastAsia="zh-CN"/>
        </w:rPr>
        <w:t>植草；</w:t>
      </w:r>
    </w:p>
    <w:p w14:paraId="503312A6">
      <w:pPr>
        <w:spacing w:beforeLines="0" w:afterLines="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③</w:t>
      </w:r>
      <w:r>
        <w:rPr>
          <w:rFonts w:hint="default" w:ascii="Times New Roman" w:hAnsi="Times New Roman" w:eastAsia="宋体" w:cs="Times New Roman"/>
          <w:color w:val="auto"/>
          <w:highlight w:val="none"/>
        </w:rPr>
        <w:t>‌巡检道路工程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‌2026年</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月</w:t>
      </w:r>
      <w:r>
        <w:rPr>
          <w:rFonts w:hint="eastAsia" w:cs="Times New Roman"/>
          <w:color w:val="auto"/>
          <w:highlight w:val="none"/>
          <w:lang w:eastAsia="zh-CN"/>
        </w:rPr>
        <w:t>—</w:t>
      </w:r>
      <w:r>
        <w:rPr>
          <w:rFonts w:hint="default" w:ascii="Times New Roman" w:hAnsi="Times New Roman" w:eastAsia="宋体" w:cs="Times New Roman"/>
          <w:color w:val="auto"/>
          <w:highlight w:val="none"/>
        </w:rPr>
        <w:t>202</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eastAsia="zh-CN"/>
        </w:rPr>
        <w:t>；</w:t>
      </w:r>
    </w:p>
    <w:p w14:paraId="7547EC97">
      <w:pPr>
        <w:spacing w:beforeLines="0" w:afterLines="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④</w:t>
      </w:r>
      <w:r>
        <w:rPr>
          <w:rFonts w:hint="default" w:ascii="Times New Roman" w:hAnsi="Times New Roman" w:eastAsia="宋体" w:cs="Times New Roman"/>
          <w:color w:val="auto"/>
          <w:highlight w:val="none"/>
        </w:rPr>
        <w:t>‌附属建筑物工程‌：‌2026年</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月</w:t>
      </w:r>
      <w:r>
        <w:rPr>
          <w:rFonts w:hint="eastAsia" w:cs="Times New Roman"/>
          <w:color w:val="auto"/>
          <w:highlight w:val="none"/>
          <w:lang w:eastAsia="zh-CN"/>
        </w:rPr>
        <w:t>—</w:t>
      </w:r>
      <w:r>
        <w:rPr>
          <w:rFonts w:hint="default" w:ascii="Times New Roman" w:hAnsi="Times New Roman" w:eastAsia="宋体" w:cs="Times New Roman"/>
          <w:color w:val="auto"/>
          <w:highlight w:val="none"/>
        </w:rPr>
        <w:t>2026年</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eastAsia="zh-CN"/>
        </w:rPr>
        <w:t>。</w:t>
      </w:r>
    </w:p>
    <w:p w14:paraId="5619D64F">
      <w:pPr>
        <w:spacing w:beforeLines="0" w:afterLines="0"/>
        <w:jc w:val="both"/>
        <w:rPr>
          <w:rFonts w:hint="default" w:ascii="Times New Roman" w:hAnsi="Times New Roman" w:eastAsia="宋体" w:cs="Times New Roman"/>
          <w:color w:val="auto"/>
          <w:highlight w:val="none"/>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二期清淤工程</w:t>
      </w:r>
    </w:p>
    <w:p w14:paraId="14FED184">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①</w:t>
      </w:r>
      <w:r>
        <w:rPr>
          <w:rFonts w:hint="default" w:ascii="Times New Roman" w:hAnsi="Times New Roman" w:eastAsia="宋体" w:cs="Times New Roman"/>
          <w:color w:val="auto"/>
          <w:highlight w:val="none"/>
        </w:rPr>
        <w:t>‌2026年</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月</w:t>
      </w:r>
      <w:r>
        <w:rPr>
          <w:rFonts w:hint="eastAsia" w:cs="Times New Roman"/>
          <w:color w:val="auto"/>
          <w:highlight w:val="none"/>
          <w:lang w:eastAsia="zh-CN"/>
        </w:rPr>
        <w:t>—</w:t>
      </w:r>
      <w:r>
        <w:rPr>
          <w:rFonts w:hint="default" w:ascii="Times New Roman" w:hAnsi="Times New Roman" w:eastAsia="宋体" w:cs="Times New Roman"/>
          <w:color w:val="auto"/>
          <w:highlight w:val="none"/>
        </w:rPr>
        <w:t>2026年</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 xml:space="preserve">月‌：完成临时道路网施工，为清淤设备进场创造条件。 </w:t>
      </w:r>
    </w:p>
    <w:p w14:paraId="0A41B352">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②</w:t>
      </w:r>
      <w:r>
        <w:rPr>
          <w:rFonts w:hint="default" w:ascii="Times New Roman" w:hAnsi="Times New Roman" w:eastAsia="宋体" w:cs="Times New Roman"/>
          <w:color w:val="auto"/>
          <w:highlight w:val="none"/>
        </w:rPr>
        <w:t>‌2026年</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月</w:t>
      </w:r>
      <w:r>
        <w:rPr>
          <w:rFonts w:hint="eastAsia" w:cs="Times New Roman"/>
          <w:color w:val="auto"/>
          <w:highlight w:val="none"/>
          <w:lang w:eastAsia="zh-CN"/>
        </w:rPr>
        <w:t>—</w:t>
      </w:r>
      <w:r>
        <w:rPr>
          <w:rFonts w:hint="default" w:ascii="Times New Roman" w:hAnsi="Times New Roman" w:eastAsia="宋体" w:cs="Times New Roman"/>
          <w:color w:val="auto"/>
          <w:highlight w:val="none"/>
        </w:rPr>
        <w:t>202</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rPr>
        <w:t>月‌：库区清淤，同步利用7处堆场消纳淤泥及临时道路土方。</w:t>
      </w:r>
    </w:p>
    <w:p w14:paraId="69F2D70E">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 收尾阶段</w:t>
      </w:r>
    </w:p>
    <w:p w14:paraId="27F22927">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年</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月</w:t>
      </w:r>
      <w:r>
        <w:rPr>
          <w:rFonts w:hint="eastAsia" w:cs="Times New Roman"/>
          <w:color w:val="auto"/>
          <w:highlight w:val="none"/>
          <w:lang w:eastAsia="zh-CN"/>
        </w:rPr>
        <w:t>—</w:t>
      </w:r>
      <w:r>
        <w:rPr>
          <w:rFonts w:hint="default" w:ascii="Times New Roman" w:hAnsi="Times New Roman" w:eastAsia="宋体" w:cs="Times New Roman"/>
          <w:color w:val="auto"/>
          <w:highlight w:val="none"/>
        </w:rPr>
        <w:t>202</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年</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月‌：完成工程验收、资料整理及设备调试。</w:t>
      </w:r>
    </w:p>
    <w:p w14:paraId="351AE60C">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‌2027年</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月‌：正式运行。</w:t>
      </w:r>
    </w:p>
    <w:bookmarkEnd w:id="3146"/>
    <w:p w14:paraId="16C5DE32">
      <w:pPr>
        <w:pStyle w:val="4"/>
        <w:rPr>
          <w:rFonts w:hint="default" w:ascii="Times New Roman" w:hAnsi="Times New Roman" w:cs="Times New Roman"/>
          <w:color w:val="auto"/>
          <w:sz w:val="28"/>
          <w:szCs w:val="28"/>
          <w:highlight w:val="none"/>
        </w:rPr>
      </w:pPr>
      <w:bookmarkStart w:id="3147" w:name="_Toc7102"/>
      <w:bookmarkStart w:id="3148" w:name="_Toc6012"/>
      <w:bookmarkStart w:id="3149" w:name="_Toc25750"/>
      <w:r>
        <w:rPr>
          <w:rFonts w:hint="default" w:ascii="Times New Roman" w:hAnsi="Times New Roman" w:cs="Times New Roman"/>
          <w:color w:val="auto"/>
          <w:sz w:val="28"/>
          <w:szCs w:val="28"/>
          <w:highlight w:val="none"/>
        </w:rPr>
        <w:t>2.1</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工程占地</w:t>
      </w:r>
      <w:bookmarkEnd w:id="3147"/>
      <w:bookmarkEnd w:id="3148"/>
      <w:bookmarkEnd w:id="3149"/>
    </w:p>
    <w:p w14:paraId="2BBDB1A0">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工程总占地面积92.10公顷，其中永久占地17.99公顷、临时占地74.12公顷。</w:t>
      </w:r>
    </w:p>
    <w:p w14:paraId="27CC5A17">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永久占地类型以内陆滩涂、其他林地、乔木林地、其他草地、农村道路为主，具体包括护岸砌护区14.65公顷（川口河护岸10.62公顷、小河护岸4.03公顷）、检修道路区3.33公顷（川口河检修道路1.50公顷、小河检修道路1.83公顷）；临时占地以水库水面、内陆滩涂及少量乔木林地</w:t>
      </w:r>
      <w:r>
        <w:rPr>
          <w:rFonts w:hint="eastAsia" w:cs="Times New Roman"/>
          <w:color w:val="auto"/>
          <w:highlight w:val="none"/>
          <w:lang w:val="en-US" w:eastAsia="zh-CN"/>
        </w:rPr>
        <w:t>及设施农用地</w:t>
      </w:r>
      <w:r>
        <w:rPr>
          <w:rFonts w:hint="default" w:ascii="Times New Roman" w:hAnsi="Times New Roman" w:eastAsia="宋体" w:cs="Times New Roman"/>
          <w:color w:val="auto"/>
          <w:highlight w:val="none"/>
          <w:lang w:val="en-US" w:eastAsia="zh-CN"/>
        </w:rPr>
        <w:t>为主，涉及护岸砌护区0.50公顷（川口河护岸0.10公顷、小河护岸0.40公顷）、淤泥堆场区73.62公顷（水库清淤55.71公顷、淤泥堆场17.91公顷）。</w:t>
      </w:r>
    </w:p>
    <w:p w14:paraId="1A4AA70E">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项目占地详见表2.1</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-1。</w:t>
      </w:r>
    </w:p>
    <w:p w14:paraId="6333F250">
      <w:pPr>
        <w:spacing w:line="240" w:lineRule="auto"/>
        <w:ind w:left="0" w:leftChars="0" w:firstLine="0" w:firstLineChars="0"/>
        <w:jc w:val="center"/>
        <w:rPr>
          <w:rFonts w:hint="eastAsia"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表2.1</w:t>
      </w:r>
      <w:r>
        <w:rPr>
          <w:rFonts w:hint="eastAsia"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-1工程</w:t>
      </w:r>
      <w:r>
        <w:rPr>
          <w:rFonts w:hint="default" w:ascii="Times New Roman" w:hAnsi="Times New Roman" w:eastAsia="宋体" w:cs="Times New Roman"/>
          <w:b/>
          <w:bCs/>
          <w:color w:val="auto"/>
          <w:sz w:val="24"/>
          <w:szCs w:val="24"/>
          <w:highlight w:val="none"/>
          <w:lang w:val="en-US" w:eastAsia="zh-CN"/>
        </w:rPr>
        <w:t>永久占地一览表</w:t>
      </w:r>
    </w:p>
    <w:p w14:paraId="4B90CA31">
      <w:pPr>
        <w:spacing w:line="240" w:lineRule="auto"/>
        <w:ind w:left="0" w:leftChars="0" w:firstLine="0" w:firstLineChars="0"/>
        <w:jc w:val="center"/>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 xml:space="preserve">                                                           </w:t>
      </w:r>
      <w:r>
        <w:rPr>
          <w:rFonts w:hint="eastAsia" w:cs="Times New Roman"/>
          <w:b/>
          <w:bCs/>
          <w:color w:val="auto"/>
          <w:sz w:val="18"/>
          <w:szCs w:val="18"/>
          <w:highlight w:val="none"/>
          <w:lang w:val="en-US" w:eastAsia="zh-CN"/>
        </w:rPr>
        <w:t>单位：公顷</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27"/>
        <w:gridCol w:w="1225"/>
        <w:gridCol w:w="1803"/>
        <w:gridCol w:w="1169"/>
        <w:gridCol w:w="1266"/>
        <w:gridCol w:w="792"/>
        <w:gridCol w:w="1337"/>
      </w:tblGrid>
      <w:tr w14:paraId="5F5248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blHeader/>
        </w:trPr>
        <w:tc>
          <w:tcPr>
            <w:tcW w:w="1263" w:type="pct"/>
            <w:gridSpan w:val="2"/>
            <w:vMerge w:val="restart"/>
            <w:tcBorders>
              <w:tl2br w:val="nil"/>
              <w:tr2bl w:val="nil"/>
            </w:tcBorders>
            <w:shd w:val="clear" w:color="auto" w:fill="auto"/>
            <w:vAlign w:val="center"/>
          </w:tcPr>
          <w:p w14:paraId="07B50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bookmarkStart w:id="3150" w:name="_Toc7456"/>
            <w:r>
              <w:rPr>
                <w:rFonts w:hint="default" w:ascii="Times New Roman" w:hAnsi="Times New Roman" w:cs="Times New Roman" w:eastAsiaTheme="minorEastAsia"/>
                <w:b/>
                <w:bCs/>
                <w:i w:val="0"/>
                <w:iCs w:val="0"/>
                <w:color w:val="auto"/>
                <w:kern w:val="0"/>
                <w:sz w:val="21"/>
                <w:szCs w:val="21"/>
                <w:highlight w:val="none"/>
                <w:u w:val="none"/>
                <w:lang w:val="en-US" w:eastAsia="zh-CN" w:bidi="ar"/>
              </w:rPr>
              <w:t>工程名称</w:t>
            </w:r>
          </w:p>
        </w:tc>
        <w:tc>
          <w:tcPr>
            <w:tcW w:w="1744" w:type="pct"/>
            <w:gridSpan w:val="2"/>
            <w:tcBorders>
              <w:tl2br w:val="nil"/>
              <w:tr2bl w:val="nil"/>
            </w:tcBorders>
            <w:shd w:val="clear" w:color="auto" w:fill="auto"/>
            <w:noWrap/>
            <w:vAlign w:val="center"/>
          </w:tcPr>
          <w:p w14:paraId="09F06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Fonts w:hint="default" w:ascii="Times New Roman" w:hAnsi="Times New Roman" w:cs="Times New Roman" w:eastAsiaTheme="minorEastAsia"/>
                <w:b/>
                <w:bCs/>
                <w:i w:val="0"/>
                <w:iCs w:val="0"/>
                <w:color w:val="auto"/>
                <w:kern w:val="0"/>
                <w:sz w:val="21"/>
                <w:szCs w:val="21"/>
                <w:highlight w:val="none"/>
                <w:u w:val="none"/>
                <w:lang w:val="en-US" w:eastAsia="zh-CN" w:bidi="ar"/>
              </w:rPr>
              <w:t>永久占地</w:t>
            </w:r>
          </w:p>
        </w:tc>
        <w:tc>
          <w:tcPr>
            <w:tcW w:w="1207" w:type="pct"/>
            <w:gridSpan w:val="2"/>
            <w:tcBorders>
              <w:tl2br w:val="nil"/>
              <w:tr2bl w:val="nil"/>
            </w:tcBorders>
            <w:shd w:val="clear" w:color="auto" w:fill="auto"/>
            <w:noWrap/>
            <w:vAlign w:val="center"/>
          </w:tcPr>
          <w:p w14:paraId="084B8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Fonts w:hint="default" w:ascii="Times New Roman" w:hAnsi="Times New Roman" w:cs="Times New Roman" w:eastAsiaTheme="minorEastAsia"/>
                <w:b/>
                <w:bCs/>
                <w:i w:val="0"/>
                <w:iCs w:val="0"/>
                <w:color w:val="auto"/>
                <w:kern w:val="0"/>
                <w:sz w:val="21"/>
                <w:szCs w:val="21"/>
                <w:highlight w:val="none"/>
                <w:u w:val="none"/>
                <w:lang w:val="en-US" w:eastAsia="zh-CN" w:bidi="ar"/>
              </w:rPr>
              <w:t>临时占地</w:t>
            </w:r>
          </w:p>
        </w:tc>
        <w:tc>
          <w:tcPr>
            <w:tcW w:w="784" w:type="pct"/>
            <w:vMerge w:val="restart"/>
            <w:tcBorders>
              <w:tl2br w:val="nil"/>
              <w:tr2bl w:val="nil"/>
            </w:tcBorders>
            <w:shd w:val="clear" w:color="auto" w:fill="auto"/>
            <w:noWrap/>
            <w:vAlign w:val="center"/>
          </w:tcPr>
          <w:p w14:paraId="69854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Fonts w:hint="default" w:ascii="Times New Roman" w:hAnsi="Times New Roman" w:cs="Times New Roman" w:eastAsiaTheme="minorEastAsia"/>
                <w:b/>
                <w:bCs/>
                <w:i w:val="0"/>
                <w:iCs w:val="0"/>
                <w:color w:val="auto"/>
                <w:kern w:val="0"/>
                <w:sz w:val="21"/>
                <w:szCs w:val="21"/>
                <w:highlight w:val="none"/>
                <w:u w:val="none"/>
                <w:lang w:val="en-US" w:eastAsia="zh-CN" w:bidi="ar"/>
              </w:rPr>
              <w:t>小计</w:t>
            </w:r>
          </w:p>
        </w:tc>
      </w:tr>
      <w:tr w14:paraId="78E2FF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blHeader/>
        </w:trPr>
        <w:tc>
          <w:tcPr>
            <w:tcW w:w="1263" w:type="pct"/>
            <w:gridSpan w:val="2"/>
            <w:vMerge w:val="continue"/>
            <w:tcBorders>
              <w:tl2br w:val="nil"/>
              <w:tr2bl w:val="nil"/>
            </w:tcBorders>
            <w:shd w:val="clear" w:color="auto" w:fill="auto"/>
            <w:vAlign w:val="center"/>
          </w:tcPr>
          <w:p w14:paraId="7E6DC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432D8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Fonts w:hint="default" w:ascii="Times New Roman" w:hAnsi="Times New Roman" w:cs="Times New Roman" w:eastAsiaTheme="minorEastAsia"/>
                <w:b/>
                <w:bCs/>
                <w:i w:val="0"/>
                <w:iCs w:val="0"/>
                <w:color w:val="auto"/>
                <w:kern w:val="0"/>
                <w:sz w:val="21"/>
                <w:szCs w:val="21"/>
                <w:highlight w:val="none"/>
                <w:u w:val="none"/>
                <w:lang w:val="en-US" w:eastAsia="zh-CN" w:bidi="ar"/>
              </w:rPr>
              <w:t>占地类型</w:t>
            </w:r>
          </w:p>
        </w:tc>
        <w:tc>
          <w:tcPr>
            <w:tcW w:w="686" w:type="pct"/>
            <w:tcBorders>
              <w:tl2br w:val="nil"/>
              <w:tr2bl w:val="nil"/>
            </w:tcBorders>
            <w:shd w:val="clear" w:color="auto" w:fill="auto"/>
            <w:noWrap/>
            <w:vAlign w:val="center"/>
          </w:tcPr>
          <w:p w14:paraId="03B98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Fonts w:hint="default" w:ascii="Times New Roman" w:hAnsi="Times New Roman" w:cs="Times New Roman" w:eastAsiaTheme="minorEastAsia"/>
                <w:b/>
                <w:bCs/>
                <w:i w:val="0"/>
                <w:iCs w:val="0"/>
                <w:color w:val="auto"/>
                <w:kern w:val="0"/>
                <w:sz w:val="21"/>
                <w:szCs w:val="21"/>
                <w:highlight w:val="none"/>
                <w:u w:val="none"/>
                <w:lang w:val="en-US" w:eastAsia="zh-CN" w:bidi="ar"/>
              </w:rPr>
              <w:t>面积</w:t>
            </w:r>
          </w:p>
        </w:tc>
        <w:tc>
          <w:tcPr>
            <w:tcW w:w="743" w:type="pct"/>
            <w:tcBorders>
              <w:tl2br w:val="nil"/>
              <w:tr2bl w:val="nil"/>
            </w:tcBorders>
            <w:shd w:val="clear" w:color="auto" w:fill="auto"/>
            <w:noWrap/>
            <w:vAlign w:val="center"/>
          </w:tcPr>
          <w:p w14:paraId="6AF3C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Fonts w:hint="default" w:ascii="Times New Roman" w:hAnsi="Times New Roman" w:cs="Times New Roman" w:eastAsiaTheme="minorEastAsia"/>
                <w:b/>
                <w:bCs/>
                <w:i w:val="0"/>
                <w:iCs w:val="0"/>
                <w:color w:val="auto"/>
                <w:kern w:val="0"/>
                <w:sz w:val="21"/>
                <w:szCs w:val="21"/>
                <w:highlight w:val="none"/>
                <w:u w:val="none"/>
                <w:lang w:val="en-US" w:eastAsia="zh-CN" w:bidi="ar"/>
              </w:rPr>
              <w:t>占地类型</w:t>
            </w:r>
          </w:p>
        </w:tc>
        <w:tc>
          <w:tcPr>
            <w:tcW w:w="464" w:type="pct"/>
            <w:tcBorders>
              <w:tl2br w:val="nil"/>
              <w:tr2bl w:val="nil"/>
            </w:tcBorders>
            <w:shd w:val="clear" w:color="auto" w:fill="auto"/>
            <w:noWrap/>
            <w:vAlign w:val="center"/>
          </w:tcPr>
          <w:p w14:paraId="61DBB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Fonts w:hint="default" w:ascii="Times New Roman" w:hAnsi="Times New Roman" w:cs="Times New Roman" w:eastAsiaTheme="minorEastAsia"/>
                <w:b/>
                <w:bCs/>
                <w:i w:val="0"/>
                <w:iCs w:val="0"/>
                <w:color w:val="auto"/>
                <w:kern w:val="0"/>
                <w:sz w:val="21"/>
                <w:szCs w:val="21"/>
                <w:highlight w:val="none"/>
                <w:u w:val="none"/>
                <w:lang w:val="en-US" w:eastAsia="zh-CN" w:bidi="ar"/>
              </w:rPr>
              <w:t>面积</w:t>
            </w:r>
          </w:p>
        </w:tc>
        <w:tc>
          <w:tcPr>
            <w:tcW w:w="784" w:type="pct"/>
            <w:vMerge w:val="continue"/>
            <w:tcBorders>
              <w:tl2br w:val="nil"/>
              <w:tr2bl w:val="nil"/>
            </w:tcBorders>
            <w:shd w:val="clear" w:color="auto" w:fill="auto"/>
            <w:noWrap/>
            <w:vAlign w:val="center"/>
          </w:tcPr>
          <w:p w14:paraId="401C2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1F1AF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restart"/>
            <w:tcBorders>
              <w:tl2br w:val="nil"/>
              <w:tr2bl w:val="nil"/>
            </w:tcBorders>
            <w:shd w:val="clear" w:color="auto" w:fill="auto"/>
            <w:vAlign w:val="center"/>
          </w:tcPr>
          <w:p w14:paraId="67D8A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i w:val="0"/>
                <w:iCs w:val="0"/>
                <w:color w:val="auto"/>
                <w:sz w:val="21"/>
                <w:szCs w:val="21"/>
                <w:highlight w:val="none"/>
                <w:u w:val="none"/>
                <w:lang w:eastAsia="zh-CN"/>
              </w:rPr>
            </w:pPr>
            <w:r>
              <w:rPr>
                <w:rFonts w:hint="eastAsia" w:ascii="Times New Roman" w:hAnsi="Times New Roman" w:cs="Times New Roman" w:eastAsiaTheme="minorEastAsia"/>
                <w:i w:val="0"/>
                <w:iCs w:val="0"/>
                <w:color w:val="auto"/>
                <w:sz w:val="21"/>
                <w:szCs w:val="21"/>
                <w:highlight w:val="none"/>
                <w:u w:val="none"/>
                <w:lang w:eastAsia="zh-CN"/>
              </w:rPr>
              <w:t>一期</w:t>
            </w:r>
          </w:p>
          <w:p w14:paraId="22DE1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i w:val="0"/>
                <w:iCs w:val="0"/>
                <w:color w:val="auto"/>
                <w:sz w:val="21"/>
                <w:szCs w:val="21"/>
                <w:highlight w:val="none"/>
                <w:u w:val="none"/>
                <w:lang w:eastAsia="zh-CN"/>
              </w:rPr>
            </w:pPr>
            <w:r>
              <w:rPr>
                <w:rFonts w:hint="eastAsia" w:ascii="Times New Roman" w:hAnsi="Times New Roman" w:cs="Times New Roman" w:eastAsiaTheme="minorEastAsia"/>
                <w:i w:val="0"/>
                <w:iCs w:val="0"/>
                <w:color w:val="auto"/>
                <w:sz w:val="21"/>
                <w:szCs w:val="21"/>
                <w:highlight w:val="none"/>
                <w:u w:val="none"/>
                <w:lang w:eastAsia="zh-CN"/>
              </w:rPr>
              <w:t>工程</w:t>
            </w:r>
          </w:p>
        </w:tc>
        <w:tc>
          <w:tcPr>
            <w:tcW w:w="718" w:type="pct"/>
            <w:vMerge w:val="restart"/>
            <w:tcBorders>
              <w:tl2br w:val="nil"/>
              <w:tr2bl w:val="nil"/>
            </w:tcBorders>
            <w:shd w:val="clear" w:color="auto" w:fill="auto"/>
            <w:vAlign w:val="center"/>
          </w:tcPr>
          <w:p w14:paraId="41E91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川口河护岸</w:t>
            </w:r>
          </w:p>
        </w:tc>
        <w:tc>
          <w:tcPr>
            <w:tcW w:w="1058" w:type="pct"/>
            <w:tcBorders>
              <w:tl2br w:val="nil"/>
              <w:tr2bl w:val="nil"/>
            </w:tcBorders>
            <w:shd w:val="clear" w:color="auto" w:fill="auto"/>
            <w:noWrap/>
            <w:vAlign w:val="center"/>
          </w:tcPr>
          <w:p w14:paraId="4DA23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内陆滩涂</w:t>
            </w:r>
          </w:p>
        </w:tc>
        <w:tc>
          <w:tcPr>
            <w:tcW w:w="686" w:type="pct"/>
            <w:tcBorders>
              <w:tl2br w:val="nil"/>
              <w:tr2bl w:val="nil"/>
            </w:tcBorders>
            <w:shd w:val="clear" w:color="auto" w:fill="auto"/>
            <w:noWrap/>
            <w:vAlign w:val="center"/>
          </w:tcPr>
          <w:p w14:paraId="137777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4.61</w:t>
            </w:r>
          </w:p>
        </w:tc>
        <w:tc>
          <w:tcPr>
            <w:tcW w:w="743" w:type="pct"/>
            <w:tcBorders>
              <w:tl2br w:val="nil"/>
              <w:tr2bl w:val="nil"/>
            </w:tcBorders>
            <w:shd w:val="clear" w:color="auto" w:fill="auto"/>
            <w:noWrap/>
            <w:vAlign w:val="center"/>
          </w:tcPr>
          <w:p w14:paraId="00B92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cs="Times New Roman" w:eastAsiaTheme="minorEastAsia"/>
                <w:i w:val="0"/>
                <w:iCs w:val="0"/>
                <w:color w:val="auto"/>
                <w:kern w:val="0"/>
                <w:sz w:val="21"/>
                <w:szCs w:val="21"/>
                <w:highlight w:val="none"/>
                <w:u w:val="none"/>
                <w:lang w:val="en-US" w:eastAsia="zh-CN" w:bidi="ar"/>
              </w:rPr>
              <w:t>设施农用地</w:t>
            </w:r>
          </w:p>
        </w:tc>
        <w:tc>
          <w:tcPr>
            <w:tcW w:w="464" w:type="pct"/>
            <w:tcBorders>
              <w:tl2br w:val="nil"/>
              <w:tr2bl w:val="nil"/>
            </w:tcBorders>
            <w:shd w:val="clear" w:color="auto" w:fill="auto"/>
            <w:noWrap/>
            <w:vAlign w:val="center"/>
          </w:tcPr>
          <w:p w14:paraId="761234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eastAsia" w:cs="Times New Roman" w:eastAsiaTheme="minorEastAsia"/>
                <w:i w:val="0"/>
                <w:iCs w:val="0"/>
                <w:color w:val="auto"/>
                <w:sz w:val="21"/>
                <w:szCs w:val="21"/>
                <w:highlight w:val="none"/>
                <w:u w:val="none"/>
                <w:lang w:val="en-US" w:eastAsia="zh-CN"/>
              </w:rPr>
              <w:t>0.5</w:t>
            </w:r>
          </w:p>
        </w:tc>
        <w:tc>
          <w:tcPr>
            <w:tcW w:w="784" w:type="pct"/>
            <w:vMerge w:val="restart"/>
            <w:tcBorders>
              <w:tl2br w:val="nil"/>
              <w:tr2bl w:val="nil"/>
            </w:tcBorders>
            <w:shd w:val="clear" w:color="auto" w:fill="auto"/>
            <w:noWrap/>
            <w:vAlign w:val="center"/>
          </w:tcPr>
          <w:p w14:paraId="32DA77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10.77</w:t>
            </w:r>
          </w:p>
        </w:tc>
      </w:tr>
      <w:tr w14:paraId="266109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0A132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0F422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1A0CA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其他林地</w:t>
            </w:r>
          </w:p>
        </w:tc>
        <w:tc>
          <w:tcPr>
            <w:tcW w:w="686" w:type="pct"/>
            <w:tcBorders>
              <w:tl2br w:val="nil"/>
              <w:tr2bl w:val="nil"/>
            </w:tcBorders>
            <w:shd w:val="clear" w:color="auto" w:fill="auto"/>
            <w:noWrap/>
            <w:vAlign w:val="center"/>
          </w:tcPr>
          <w:p w14:paraId="4A7EB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3.74</w:t>
            </w:r>
          </w:p>
        </w:tc>
        <w:tc>
          <w:tcPr>
            <w:tcW w:w="743" w:type="pct"/>
            <w:tcBorders>
              <w:tl2br w:val="nil"/>
              <w:tr2bl w:val="nil"/>
            </w:tcBorders>
            <w:shd w:val="clear" w:color="auto" w:fill="auto"/>
            <w:noWrap/>
            <w:vAlign w:val="center"/>
          </w:tcPr>
          <w:p w14:paraId="4DAF6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cs="Times New Roman" w:eastAsiaTheme="minorEastAsia"/>
                <w:i w:val="0"/>
                <w:iCs w:val="0"/>
                <w:color w:val="auto"/>
                <w:kern w:val="0"/>
                <w:sz w:val="21"/>
                <w:szCs w:val="21"/>
                <w:highlight w:val="none"/>
                <w:u w:val="none"/>
                <w:lang w:val="en-US" w:eastAsia="zh-CN" w:bidi="ar"/>
              </w:rPr>
              <w:t>农村道路</w:t>
            </w:r>
          </w:p>
        </w:tc>
        <w:tc>
          <w:tcPr>
            <w:tcW w:w="464" w:type="pct"/>
            <w:tcBorders>
              <w:tl2br w:val="nil"/>
              <w:tr2bl w:val="nil"/>
            </w:tcBorders>
            <w:shd w:val="clear" w:color="auto" w:fill="auto"/>
            <w:noWrap/>
            <w:vAlign w:val="center"/>
          </w:tcPr>
          <w:p w14:paraId="1D8AD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eastAsia" w:cs="Times New Roman" w:eastAsiaTheme="minorEastAsia"/>
                <w:i w:val="0"/>
                <w:iCs w:val="0"/>
                <w:color w:val="auto"/>
                <w:kern w:val="0"/>
                <w:sz w:val="21"/>
                <w:szCs w:val="21"/>
                <w:highlight w:val="none"/>
                <w:u w:val="none"/>
                <w:lang w:val="en-US" w:eastAsia="zh-CN" w:bidi="ar"/>
              </w:rPr>
              <w:t>0.5</w:t>
            </w:r>
          </w:p>
        </w:tc>
        <w:tc>
          <w:tcPr>
            <w:tcW w:w="784" w:type="pct"/>
            <w:vMerge w:val="continue"/>
            <w:tcBorders>
              <w:tl2br w:val="nil"/>
              <w:tr2bl w:val="nil"/>
            </w:tcBorders>
            <w:shd w:val="clear" w:color="auto" w:fill="auto"/>
            <w:noWrap/>
            <w:vAlign w:val="center"/>
          </w:tcPr>
          <w:p w14:paraId="52732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55A712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712A0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6C303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6CA2E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乔木林地</w:t>
            </w:r>
          </w:p>
        </w:tc>
        <w:tc>
          <w:tcPr>
            <w:tcW w:w="686" w:type="pct"/>
            <w:tcBorders>
              <w:tl2br w:val="nil"/>
              <w:tr2bl w:val="nil"/>
            </w:tcBorders>
            <w:shd w:val="clear" w:color="auto" w:fill="auto"/>
            <w:noWrap/>
            <w:vAlign w:val="center"/>
          </w:tcPr>
          <w:p w14:paraId="13CF7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1.05</w:t>
            </w:r>
          </w:p>
        </w:tc>
        <w:tc>
          <w:tcPr>
            <w:tcW w:w="743" w:type="pct"/>
            <w:tcBorders>
              <w:tl2br w:val="nil"/>
              <w:tr2bl w:val="nil"/>
            </w:tcBorders>
            <w:shd w:val="clear" w:color="auto" w:fill="auto"/>
            <w:noWrap/>
            <w:vAlign w:val="center"/>
          </w:tcPr>
          <w:p w14:paraId="6D8FC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464" w:type="pct"/>
            <w:tcBorders>
              <w:tl2br w:val="nil"/>
              <w:tr2bl w:val="nil"/>
            </w:tcBorders>
            <w:shd w:val="clear" w:color="auto" w:fill="auto"/>
            <w:noWrap/>
            <w:vAlign w:val="center"/>
          </w:tcPr>
          <w:p w14:paraId="56E79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784" w:type="pct"/>
            <w:vMerge w:val="continue"/>
            <w:tcBorders>
              <w:tl2br w:val="nil"/>
              <w:tr2bl w:val="nil"/>
            </w:tcBorders>
            <w:shd w:val="clear" w:color="auto" w:fill="auto"/>
            <w:noWrap/>
            <w:vAlign w:val="center"/>
          </w:tcPr>
          <w:p w14:paraId="2666E2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02AB3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6E1DD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7163A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626BA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其他草地</w:t>
            </w:r>
          </w:p>
        </w:tc>
        <w:tc>
          <w:tcPr>
            <w:tcW w:w="686" w:type="pct"/>
            <w:tcBorders>
              <w:tl2br w:val="nil"/>
              <w:tr2bl w:val="nil"/>
            </w:tcBorders>
            <w:shd w:val="clear" w:color="auto" w:fill="auto"/>
            <w:noWrap/>
            <w:vAlign w:val="center"/>
          </w:tcPr>
          <w:p w14:paraId="36CCC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1.21</w:t>
            </w:r>
          </w:p>
        </w:tc>
        <w:tc>
          <w:tcPr>
            <w:tcW w:w="743" w:type="pct"/>
            <w:tcBorders>
              <w:tl2br w:val="nil"/>
              <w:tr2bl w:val="nil"/>
            </w:tcBorders>
            <w:shd w:val="clear" w:color="auto" w:fill="auto"/>
            <w:noWrap/>
            <w:vAlign w:val="center"/>
          </w:tcPr>
          <w:p w14:paraId="403E1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464" w:type="pct"/>
            <w:tcBorders>
              <w:tl2br w:val="nil"/>
              <w:tr2bl w:val="nil"/>
            </w:tcBorders>
            <w:shd w:val="clear" w:color="auto" w:fill="auto"/>
            <w:noWrap/>
            <w:vAlign w:val="center"/>
          </w:tcPr>
          <w:p w14:paraId="789740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784" w:type="pct"/>
            <w:vMerge w:val="continue"/>
            <w:tcBorders>
              <w:tl2br w:val="nil"/>
              <w:tr2bl w:val="nil"/>
            </w:tcBorders>
            <w:shd w:val="clear" w:color="auto" w:fill="auto"/>
            <w:noWrap/>
            <w:vAlign w:val="center"/>
          </w:tcPr>
          <w:p w14:paraId="569E5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4FB865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6EBEE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6510A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6AA7AB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686" w:type="pct"/>
            <w:tcBorders>
              <w:tl2br w:val="nil"/>
              <w:tr2bl w:val="nil"/>
            </w:tcBorders>
            <w:shd w:val="clear" w:color="auto" w:fill="auto"/>
            <w:noWrap/>
            <w:vAlign w:val="center"/>
          </w:tcPr>
          <w:p w14:paraId="46D4C3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10.62</w:t>
            </w:r>
          </w:p>
        </w:tc>
        <w:tc>
          <w:tcPr>
            <w:tcW w:w="743" w:type="pct"/>
            <w:tcBorders>
              <w:tl2br w:val="nil"/>
              <w:tr2bl w:val="nil"/>
            </w:tcBorders>
            <w:shd w:val="clear" w:color="auto" w:fill="auto"/>
            <w:noWrap/>
            <w:vAlign w:val="center"/>
          </w:tcPr>
          <w:p w14:paraId="01743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464" w:type="pct"/>
            <w:tcBorders>
              <w:tl2br w:val="nil"/>
              <w:tr2bl w:val="nil"/>
            </w:tcBorders>
            <w:shd w:val="clear" w:color="auto" w:fill="auto"/>
            <w:noWrap/>
            <w:vAlign w:val="center"/>
          </w:tcPr>
          <w:p w14:paraId="34A40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eastAsia" w:cs="Times New Roman" w:eastAsiaTheme="minorEastAsia"/>
                <w:i w:val="0"/>
                <w:iCs w:val="0"/>
                <w:color w:val="auto"/>
                <w:kern w:val="0"/>
                <w:sz w:val="21"/>
                <w:szCs w:val="21"/>
                <w:highlight w:val="none"/>
                <w:u w:val="none"/>
                <w:lang w:val="en-US" w:eastAsia="zh-CN" w:bidi="ar"/>
              </w:rPr>
              <w:t>0.1</w:t>
            </w:r>
          </w:p>
        </w:tc>
        <w:tc>
          <w:tcPr>
            <w:tcW w:w="784" w:type="pct"/>
            <w:vMerge w:val="continue"/>
            <w:tcBorders>
              <w:tl2br w:val="nil"/>
              <w:tr2bl w:val="nil"/>
            </w:tcBorders>
            <w:shd w:val="clear" w:color="auto" w:fill="auto"/>
            <w:noWrap/>
            <w:vAlign w:val="center"/>
          </w:tcPr>
          <w:p w14:paraId="0D997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7BE8B9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6C557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restart"/>
            <w:tcBorders>
              <w:tl2br w:val="nil"/>
              <w:tr2bl w:val="nil"/>
            </w:tcBorders>
            <w:shd w:val="clear" w:color="auto" w:fill="auto"/>
            <w:vAlign w:val="center"/>
          </w:tcPr>
          <w:p w14:paraId="56F85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小河护岸</w:t>
            </w:r>
          </w:p>
        </w:tc>
        <w:tc>
          <w:tcPr>
            <w:tcW w:w="1058" w:type="pct"/>
            <w:tcBorders>
              <w:tl2br w:val="nil"/>
              <w:tr2bl w:val="nil"/>
            </w:tcBorders>
            <w:shd w:val="clear" w:color="auto" w:fill="auto"/>
            <w:noWrap/>
            <w:vAlign w:val="center"/>
          </w:tcPr>
          <w:p w14:paraId="57357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内陆滩涂</w:t>
            </w:r>
          </w:p>
        </w:tc>
        <w:tc>
          <w:tcPr>
            <w:tcW w:w="686" w:type="pct"/>
            <w:tcBorders>
              <w:tl2br w:val="nil"/>
              <w:tr2bl w:val="nil"/>
            </w:tcBorders>
            <w:shd w:val="clear" w:color="auto" w:fill="auto"/>
            <w:noWrap/>
            <w:vAlign w:val="center"/>
          </w:tcPr>
          <w:p w14:paraId="161A0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1.84</w:t>
            </w:r>
          </w:p>
        </w:tc>
        <w:tc>
          <w:tcPr>
            <w:tcW w:w="743" w:type="pct"/>
            <w:tcBorders>
              <w:tl2br w:val="nil"/>
              <w:tr2bl w:val="nil"/>
            </w:tcBorders>
            <w:shd w:val="clear" w:color="auto" w:fill="auto"/>
            <w:noWrap/>
            <w:vAlign w:val="center"/>
          </w:tcPr>
          <w:p w14:paraId="3C7D57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eastAsia="zh-CN"/>
              </w:rPr>
            </w:pPr>
            <w:r>
              <w:rPr>
                <w:rFonts w:hint="eastAsia" w:cs="Times New Roman" w:eastAsiaTheme="minorEastAsia"/>
                <w:i w:val="0"/>
                <w:iCs w:val="0"/>
                <w:color w:val="auto"/>
                <w:kern w:val="0"/>
                <w:sz w:val="21"/>
                <w:szCs w:val="21"/>
                <w:highlight w:val="none"/>
                <w:u w:val="none"/>
                <w:lang w:val="en-US" w:eastAsia="zh-CN" w:bidi="ar"/>
              </w:rPr>
              <w:t>裸土地</w:t>
            </w:r>
          </w:p>
        </w:tc>
        <w:tc>
          <w:tcPr>
            <w:tcW w:w="464" w:type="pct"/>
            <w:tcBorders>
              <w:tl2br w:val="nil"/>
              <w:tr2bl w:val="nil"/>
            </w:tcBorders>
            <w:shd w:val="clear" w:color="auto" w:fill="auto"/>
            <w:noWrap/>
            <w:vAlign w:val="center"/>
          </w:tcPr>
          <w:p w14:paraId="42FF8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sz w:val="21"/>
                <w:szCs w:val="21"/>
                <w:highlight w:val="none"/>
                <w:u w:val="none"/>
                <w:lang w:val="en-US" w:eastAsia="zh-CN"/>
              </w:rPr>
              <w:t>0.</w:t>
            </w:r>
            <w:r>
              <w:rPr>
                <w:rFonts w:hint="eastAsia" w:cs="Times New Roman" w:eastAsiaTheme="minorEastAsia"/>
                <w:i w:val="0"/>
                <w:iCs w:val="0"/>
                <w:color w:val="auto"/>
                <w:sz w:val="21"/>
                <w:szCs w:val="21"/>
                <w:highlight w:val="none"/>
                <w:u w:val="none"/>
                <w:lang w:val="en-US" w:eastAsia="zh-CN"/>
              </w:rPr>
              <w:t>1</w:t>
            </w:r>
          </w:p>
        </w:tc>
        <w:tc>
          <w:tcPr>
            <w:tcW w:w="784" w:type="pct"/>
            <w:vMerge w:val="restart"/>
            <w:tcBorders>
              <w:tl2br w:val="nil"/>
              <w:tr2bl w:val="nil"/>
            </w:tcBorders>
            <w:shd w:val="clear" w:color="auto" w:fill="auto"/>
            <w:noWrap/>
            <w:vAlign w:val="center"/>
          </w:tcPr>
          <w:p w14:paraId="0BFB9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4.43</w:t>
            </w:r>
          </w:p>
        </w:tc>
      </w:tr>
      <w:tr w14:paraId="654DFF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515D1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1F1DE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62E0B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其他林地</w:t>
            </w:r>
          </w:p>
        </w:tc>
        <w:tc>
          <w:tcPr>
            <w:tcW w:w="686" w:type="pct"/>
            <w:tcBorders>
              <w:tl2br w:val="nil"/>
              <w:tr2bl w:val="nil"/>
            </w:tcBorders>
            <w:shd w:val="clear" w:color="auto" w:fill="auto"/>
            <w:noWrap/>
            <w:vAlign w:val="center"/>
          </w:tcPr>
          <w:p w14:paraId="270A7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1.83</w:t>
            </w:r>
          </w:p>
        </w:tc>
        <w:tc>
          <w:tcPr>
            <w:tcW w:w="743" w:type="pct"/>
            <w:tcBorders>
              <w:tl2br w:val="nil"/>
              <w:tr2bl w:val="nil"/>
            </w:tcBorders>
            <w:shd w:val="clear" w:color="auto" w:fill="auto"/>
            <w:noWrap/>
            <w:vAlign w:val="center"/>
          </w:tcPr>
          <w:p w14:paraId="46C3E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464" w:type="pct"/>
            <w:tcBorders>
              <w:tl2br w:val="nil"/>
              <w:tr2bl w:val="nil"/>
            </w:tcBorders>
            <w:shd w:val="clear" w:color="auto" w:fill="auto"/>
            <w:noWrap/>
            <w:vAlign w:val="center"/>
          </w:tcPr>
          <w:p w14:paraId="48807F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784" w:type="pct"/>
            <w:vMerge w:val="continue"/>
            <w:tcBorders>
              <w:tl2br w:val="nil"/>
              <w:tr2bl w:val="nil"/>
            </w:tcBorders>
            <w:shd w:val="clear" w:color="auto" w:fill="auto"/>
            <w:noWrap/>
            <w:vAlign w:val="center"/>
          </w:tcPr>
          <w:p w14:paraId="52F62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08424B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612DF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6075CA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1529E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乔木林地</w:t>
            </w:r>
          </w:p>
        </w:tc>
        <w:tc>
          <w:tcPr>
            <w:tcW w:w="686" w:type="pct"/>
            <w:tcBorders>
              <w:tl2br w:val="nil"/>
              <w:tr2bl w:val="nil"/>
            </w:tcBorders>
            <w:shd w:val="clear" w:color="auto" w:fill="auto"/>
            <w:noWrap/>
            <w:vAlign w:val="center"/>
          </w:tcPr>
          <w:p w14:paraId="08142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0.36</w:t>
            </w:r>
          </w:p>
        </w:tc>
        <w:tc>
          <w:tcPr>
            <w:tcW w:w="743" w:type="pct"/>
            <w:tcBorders>
              <w:tl2br w:val="nil"/>
              <w:tr2bl w:val="nil"/>
            </w:tcBorders>
            <w:shd w:val="clear" w:color="auto" w:fill="auto"/>
            <w:noWrap/>
            <w:vAlign w:val="center"/>
          </w:tcPr>
          <w:p w14:paraId="303B9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2"/>
                <w:sz w:val="21"/>
                <w:szCs w:val="21"/>
                <w:highlight w:val="none"/>
                <w:u w:val="none"/>
                <w:lang w:val="en-US" w:eastAsia="zh-CN" w:bidi="ar-SA"/>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乔木林地</w:t>
            </w:r>
          </w:p>
        </w:tc>
        <w:tc>
          <w:tcPr>
            <w:tcW w:w="464" w:type="pct"/>
            <w:tcBorders>
              <w:tl2br w:val="nil"/>
              <w:tr2bl w:val="nil"/>
            </w:tcBorders>
            <w:shd w:val="clear" w:color="auto" w:fill="auto"/>
            <w:noWrap/>
            <w:vAlign w:val="center"/>
          </w:tcPr>
          <w:p w14:paraId="0BEB2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2"/>
                <w:sz w:val="21"/>
                <w:szCs w:val="21"/>
                <w:highlight w:val="none"/>
                <w:u w:val="none"/>
                <w:lang w:val="en-US" w:eastAsia="zh-CN" w:bidi="ar-SA"/>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w:t>
            </w:r>
            <w:r>
              <w:rPr>
                <w:rFonts w:hint="eastAsia" w:cs="Times New Roman" w:eastAsiaTheme="minorEastAsia"/>
                <w:i w:val="0"/>
                <w:iCs w:val="0"/>
                <w:color w:val="auto"/>
                <w:kern w:val="0"/>
                <w:sz w:val="21"/>
                <w:szCs w:val="21"/>
                <w:highlight w:val="none"/>
                <w:u w:val="none"/>
                <w:lang w:val="en-US" w:eastAsia="zh-CN" w:bidi="ar"/>
              </w:rPr>
              <w:t>3</w:t>
            </w:r>
            <w:r>
              <w:rPr>
                <w:rFonts w:hint="default" w:ascii="Times New Roman" w:hAnsi="Times New Roman" w:cs="Times New Roman" w:eastAsiaTheme="minorEastAsia"/>
                <w:i w:val="0"/>
                <w:iCs w:val="0"/>
                <w:color w:val="auto"/>
                <w:kern w:val="0"/>
                <w:sz w:val="21"/>
                <w:szCs w:val="21"/>
                <w:highlight w:val="none"/>
                <w:u w:val="none"/>
                <w:lang w:val="en-US" w:eastAsia="zh-CN" w:bidi="ar"/>
              </w:rPr>
              <w:t>0</w:t>
            </w:r>
          </w:p>
        </w:tc>
        <w:tc>
          <w:tcPr>
            <w:tcW w:w="784" w:type="pct"/>
            <w:vMerge w:val="continue"/>
            <w:tcBorders>
              <w:tl2br w:val="nil"/>
              <w:tr2bl w:val="nil"/>
            </w:tcBorders>
            <w:shd w:val="clear" w:color="auto" w:fill="auto"/>
            <w:noWrap/>
            <w:vAlign w:val="center"/>
          </w:tcPr>
          <w:p w14:paraId="339B9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0BF1A0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5BC2C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582BB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29FF3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686" w:type="pct"/>
            <w:tcBorders>
              <w:tl2br w:val="nil"/>
              <w:tr2bl w:val="nil"/>
            </w:tcBorders>
            <w:shd w:val="clear" w:color="auto" w:fill="auto"/>
            <w:noWrap/>
            <w:vAlign w:val="center"/>
          </w:tcPr>
          <w:p w14:paraId="61A2AC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4.03</w:t>
            </w:r>
          </w:p>
        </w:tc>
        <w:tc>
          <w:tcPr>
            <w:tcW w:w="743" w:type="pct"/>
            <w:tcBorders>
              <w:tl2br w:val="nil"/>
              <w:tr2bl w:val="nil"/>
            </w:tcBorders>
            <w:shd w:val="clear" w:color="auto" w:fill="auto"/>
            <w:noWrap/>
            <w:vAlign w:val="center"/>
          </w:tcPr>
          <w:p w14:paraId="3FC7D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464" w:type="pct"/>
            <w:tcBorders>
              <w:tl2br w:val="nil"/>
              <w:tr2bl w:val="nil"/>
            </w:tcBorders>
            <w:shd w:val="clear" w:color="auto" w:fill="auto"/>
            <w:noWrap/>
            <w:vAlign w:val="center"/>
          </w:tcPr>
          <w:p w14:paraId="14CDE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w:t>
            </w:r>
            <w:r>
              <w:rPr>
                <w:rFonts w:hint="eastAsia" w:ascii="Times New Roman" w:hAnsi="Times New Roman" w:cs="Times New Roman" w:eastAsiaTheme="minorEastAsia"/>
                <w:i w:val="0"/>
                <w:iCs w:val="0"/>
                <w:color w:val="auto"/>
                <w:kern w:val="0"/>
                <w:sz w:val="21"/>
                <w:szCs w:val="21"/>
                <w:highlight w:val="none"/>
                <w:u w:val="none"/>
                <w:lang w:val="en-US" w:eastAsia="zh-CN" w:bidi="ar"/>
              </w:rPr>
              <w:t>4</w:t>
            </w:r>
          </w:p>
        </w:tc>
        <w:tc>
          <w:tcPr>
            <w:tcW w:w="784" w:type="pct"/>
            <w:vMerge w:val="continue"/>
            <w:tcBorders>
              <w:tl2br w:val="nil"/>
              <w:tr2bl w:val="nil"/>
            </w:tcBorders>
            <w:shd w:val="clear" w:color="auto" w:fill="auto"/>
            <w:noWrap/>
            <w:vAlign w:val="center"/>
          </w:tcPr>
          <w:p w14:paraId="4F43E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31F42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2E842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restart"/>
            <w:tcBorders>
              <w:tl2br w:val="nil"/>
              <w:tr2bl w:val="nil"/>
            </w:tcBorders>
            <w:shd w:val="clear" w:color="auto" w:fill="auto"/>
            <w:vAlign w:val="center"/>
          </w:tcPr>
          <w:p w14:paraId="49790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川口河检修道路</w:t>
            </w:r>
          </w:p>
        </w:tc>
        <w:tc>
          <w:tcPr>
            <w:tcW w:w="1058" w:type="pct"/>
            <w:tcBorders>
              <w:tl2br w:val="nil"/>
              <w:tr2bl w:val="nil"/>
            </w:tcBorders>
            <w:shd w:val="clear" w:color="auto" w:fill="auto"/>
            <w:noWrap/>
            <w:vAlign w:val="center"/>
          </w:tcPr>
          <w:p w14:paraId="412395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农村道路</w:t>
            </w:r>
          </w:p>
        </w:tc>
        <w:tc>
          <w:tcPr>
            <w:tcW w:w="686" w:type="pct"/>
            <w:tcBorders>
              <w:tl2br w:val="nil"/>
              <w:tr2bl w:val="nil"/>
            </w:tcBorders>
            <w:shd w:val="clear" w:color="auto" w:fill="auto"/>
            <w:noWrap/>
            <w:vAlign w:val="center"/>
          </w:tcPr>
          <w:p w14:paraId="1BBD0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0.78</w:t>
            </w:r>
          </w:p>
        </w:tc>
        <w:tc>
          <w:tcPr>
            <w:tcW w:w="743" w:type="pct"/>
            <w:vMerge w:val="restart"/>
            <w:tcBorders>
              <w:tl2br w:val="nil"/>
              <w:tr2bl w:val="nil"/>
            </w:tcBorders>
            <w:shd w:val="clear" w:color="auto" w:fill="auto"/>
            <w:noWrap/>
            <w:vAlign w:val="center"/>
          </w:tcPr>
          <w:p w14:paraId="04664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464" w:type="pct"/>
            <w:vMerge w:val="restart"/>
            <w:tcBorders>
              <w:tl2br w:val="nil"/>
              <w:tr2bl w:val="nil"/>
            </w:tcBorders>
            <w:shd w:val="clear" w:color="auto" w:fill="auto"/>
            <w:noWrap/>
            <w:vAlign w:val="center"/>
          </w:tcPr>
          <w:p w14:paraId="2D8BD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784" w:type="pct"/>
            <w:vMerge w:val="restart"/>
            <w:tcBorders>
              <w:tl2br w:val="nil"/>
              <w:tr2bl w:val="nil"/>
            </w:tcBorders>
            <w:shd w:val="clear" w:color="auto" w:fill="auto"/>
            <w:noWrap/>
            <w:vAlign w:val="center"/>
          </w:tcPr>
          <w:p w14:paraId="0AFDBA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1.50 </w:t>
            </w:r>
          </w:p>
        </w:tc>
      </w:tr>
      <w:tr w14:paraId="405EA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6A64B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02E32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57B04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其他草地</w:t>
            </w:r>
          </w:p>
        </w:tc>
        <w:tc>
          <w:tcPr>
            <w:tcW w:w="686" w:type="pct"/>
            <w:tcBorders>
              <w:tl2br w:val="nil"/>
              <w:tr2bl w:val="nil"/>
            </w:tcBorders>
            <w:shd w:val="clear" w:color="auto" w:fill="auto"/>
            <w:noWrap/>
            <w:vAlign w:val="center"/>
          </w:tcPr>
          <w:p w14:paraId="00813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0.73</w:t>
            </w:r>
          </w:p>
        </w:tc>
        <w:tc>
          <w:tcPr>
            <w:tcW w:w="743" w:type="pct"/>
            <w:vMerge w:val="continue"/>
            <w:tcBorders>
              <w:tl2br w:val="nil"/>
              <w:tr2bl w:val="nil"/>
            </w:tcBorders>
            <w:shd w:val="clear" w:color="auto" w:fill="auto"/>
            <w:noWrap/>
            <w:vAlign w:val="center"/>
          </w:tcPr>
          <w:p w14:paraId="6D5E4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464" w:type="pct"/>
            <w:vMerge w:val="continue"/>
            <w:tcBorders>
              <w:tl2br w:val="nil"/>
              <w:tr2bl w:val="nil"/>
            </w:tcBorders>
            <w:shd w:val="clear" w:color="auto" w:fill="auto"/>
            <w:noWrap/>
            <w:vAlign w:val="center"/>
          </w:tcPr>
          <w:p w14:paraId="6907E5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84" w:type="pct"/>
            <w:vMerge w:val="continue"/>
            <w:tcBorders>
              <w:tl2br w:val="nil"/>
              <w:tr2bl w:val="nil"/>
            </w:tcBorders>
            <w:shd w:val="clear" w:color="auto" w:fill="auto"/>
            <w:noWrap/>
            <w:vAlign w:val="center"/>
          </w:tcPr>
          <w:p w14:paraId="12BE0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7C967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722FE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4BAD6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76932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686" w:type="pct"/>
            <w:tcBorders>
              <w:tl2br w:val="nil"/>
              <w:tr2bl w:val="nil"/>
            </w:tcBorders>
            <w:shd w:val="clear" w:color="auto" w:fill="auto"/>
            <w:noWrap/>
            <w:vAlign w:val="center"/>
          </w:tcPr>
          <w:p w14:paraId="10FDD7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1.50</w:t>
            </w:r>
          </w:p>
        </w:tc>
        <w:tc>
          <w:tcPr>
            <w:tcW w:w="743" w:type="pct"/>
            <w:vMerge w:val="continue"/>
            <w:tcBorders>
              <w:tl2br w:val="nil"/>
              <w:tr2bl w:val="nil"/>
            </w:tcBorders>
            <w:shd w:val="clear" w:color="auto" w:fill="auto"/>
            <w:noWrap/>
            <w:vAlign w:val="center"/>
          </w:tcPr>
          <w:p w14:paraId="1FA10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464" w:type="pct"/>
            <w:vMerge w:val="continue"/>
            <w:tcBorders>
              <w:tl2br w:val="nil"/>
              <w:tr2bl w:val="nil"/>
            </w:tcBorders>
            <w:shd w:val="clear" w:color="auto" w:fill="auto"/>
            <w:noWrap/>
            <w:vAlign w:val="center"/>
          </w:tcPr>
          <w:p w14:paraId="6F114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84" w:type="pct"/>
            <w:vMerge w:val="continue"/>
            <w:tcBorders>
              <w:tl2br w:val="nil"/>
              <w:tr2bl w:val="nil"/>
            </w:tcBorders>
            <w:shd w:val="clear" w:color="auto" w:fill="auto"/>
            <w:noWrap/>
            <w:vAlign w:val="center"/>
          </w:tcPr>
          <w:p w14:paraId="75772D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7E2683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7FCD5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restart"/>
            <w:tcBorders>
              <w:tl2br w:val="nil"/>
              <w:tr2bl w:val="nil"/>
            </w:tcBorders>
            <w:shd w:val="clear" w:color="auto" w:fill="auto"/>
            <w:vAlign w:val="center"/>
          </w:tcPr>
          <w:p w14:paraId="2F5E2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小河检修道路</w:t>
            </w:r>
          </w:p>
        </w:tc>
        <w:tc>
          <w:tcPr>
            <w:tcW w:w="1058" w:type="pct"/>
            <w:tcBorders>
              <w:tl2br w:val="nil"/>
              <w:tr2bl w:val="nil"/>
            </w:tcBorders>
            <w:shd w:val="clear" w:color="auto" w:fill="auto"/>
            <w:noWrap/>
            <w:vAlign w:val="center"/>
          </w:tcPr>
          <w:p w14:paraId="0A3D2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农村道路</w:t>
            </w:r>
          </w:p>
        </w:tc>
        <w:tc>
          <w:tcPr>
            <w:tcW w:w="686" w:type="pct"/>
            <w:tcBorders>
              <w:tl2br w:val="nil"/>
              <w:tr2bl w:val="nil"/>
            </w:tcBorders>
            <w:shd w:val="clear" w:color="auto" w:fill="auto"/>
            <w:noWrap/>
            <w:vAlign w:val="center"/>
          </w:tcPr>
          <w:p w14:paraId="1E0EB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0.81</w:t>
            </w:r>
          </w:p>
        </w:tc>
        <w:tc>
          <w:tcPr>
            <w:tcW w:w="743" w:type="pct"/>
            <w:vMerge w:val="restart"/>
            <w:tcBorders>
              <w:tl2br w:val="nil"/>
              <w:tr2bl w:val="nil"/>
            </w:tcBorders>
            <w:shd w:val="clear" w:color="auto" w:fill="auto"/>
            <w:noWrap/>
            <w:vAlign w:val="center"/>
          </w:tcPr>
          <w:p w14:paraId="6E63F2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464" w:type="pct"/>
            <w:vMerge w:val="restart"/>
            <w:tcBorders>
              <w:tl2br w:val="nil"/>
              <w:tr2bl w:val="nil"/>
            </w:tcBorders>
            <w:shd w:val="clear" w:color="auto" w:fill="auto"/>
            <w:noWrap/>
            <w:vAlign w:val="center"/>
          </w:tcPr>
          <w:p w14:paraId="66CDB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784" w:type="pct"/>
            <w:vMerge w:val="restart"/>
            <w:tcBorders>
              <w:tl2br w:val="nil"/>
              <w:tr2bl w:val="nil"/>
            </w:tcBorders>
            <w:shd w:val="clear" w:color="auto" w:fill="auto"/>
            <w:noWrap/>
            <w:vAlign w:val="center"/>
          </w:tcPr>
          <w:p w14:paraId="679B1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1.83 </w:t>
            </w:r>
          </w:p>
        </w:tc>
      </w:tr>
      <w:tr w14:paraId="33F03C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4A315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1CD6D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56801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其他草地</w:t>
            </w:r>
          </w:p>
        </w:tc>
        <w:tc>
          <w:tcPr>
            <w:tcW w:w="686" w:type="pct"/>
            <w:tcBorders>
              <w:tl2br w:val="nil"/>
              <w:tr2bl w:val="nil"/>
            </w:tcBorders>
            <w:shd w:val="clear" w:color="auto" w:fill="auto"/>
            <w:noWrap/>
            <w:vAlign w:val="center"/>
          </w:tcPr>
          <w:p w14:paraId="3C927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0.49</w:t>
            </w:r>
          </w:p>
        </w:tc>
        <w:tc>
          <w:tcPr>
            <w:tcW w:w="743" w:type="pct"/>
            <w:vMerge w:val="continue"/>
            <w:tcBorders>
              <w:tl2br w:val="nil"/>
              <w:tr2bl w:val="nil"/>
            </w:tcBorders>
            <w:shd w:val="clear" w:color="auto" w:fill="auto"/>
            <w:noWrap/>
            <w:vAlign w:val="center"/>
          </w:tcPr>
          <w:p w14:paraId="60AEB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464" w:type="pct"/>
            <w:vMerge w:val="continue"/>
            <w:tcBorders>
              <w:tl2br w:val="nil"/>
              <w:tr2bl w:val="nil"/>
            </w:tcBorders>
            <w:shd w:val="clear" w:color="auto" w:fill="auto"/>
            <w:noWrap/>
            <w:vAlign w:val="center"/>
          </w:tcPr>
          <w:p w14:paraId="1730D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84" w:type="pct"/>
            <w:vMerge w:val="continue"/>
            <w:tcBorders>
              <w:tl2br w:val="nil"/>
              <w:tr2bl w:val="nil"/>
            </w:tcBorders>
            <w:shd w:val="clear" w:color="auto" w:fill="auto"/>
            <w:noWrap/>
            <w:vAlign w:val="center"/>
          </w:tcPr>
          <w:p w14:paraId="4C909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599F9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5FA04F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64549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61BDF2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其他林地</w:t>
            </w:r>
          </w:p>
        </w:tc>
        <w:tc>
          <w:tcPr>
            <w:tcW w:w="686" w:type="pct"/>
            <w:tcBorders>
              <w:tl2br w:val="nil"/>
              <w:tr2bl w:val="nil"/>
            </w:tcBorders>
            <w:shd w:val="clear" w:color="auto" w:fill="auto"/>
            <w:noWrap/>
            <w:vAlign w:val="center"/>
          </w:tcPr>
          <w:p w14:paraId="21D75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0.53</w:t>
            </w:r>
          </w:p>
        </w:tc>
        <w:tc>
          <w:tcPr>
            <w:tcW w:w="743" w:type="pct"/>
            <w:vMerge w:val="continue"/>
            <w:tcBorders>
              <w:tl2br w:val="nil"/>
              <w:tr2bl w:val="nil"/>
            </w:tcBorders>
            <w:shd w:val="clear" w:color="auto" w:fill="auto"/>
            <w:noWrap/>
            <w:vAlign w:val="center"/>
          </w:tcPr>
          <w:p w14:paraId="2D11C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464" w:type="pct"/>
            <w:vMerge w:val="continue"/>
            <w:tcBorders>
              <w:tl2br w:val="nil"/>
              <w:tr2bl w:val="nil"/>
            </w:tcBorders>
            <w:shd w:val="clear" w:color="auto" w:fill="auto"/>
            <w:noWrap/>
            <w:vAlign w:val="center"/>
          </w:tcPr>
          <w:p w14:paraId="13F196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84" w:type="pct"/>
            <w:vMerge w:val="continue"/>
            <w:tcBorders>
              <w:tl2br w:val="nil"/>
              <w:tr2bl w:val="nil"/>
            </w:tcBorders>
            <w:shd w:val="clear" w:color="auto" w:fill="auto"/>
            <w:noWrap/>
            <w:vAlign w:val="center"/>
          </w:tcPr>
          <w:p w14:paraId="5FE49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76CEE8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20A11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30B90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tcBorders>
              <w:tl2br w:val="nil"/>
              <w:tr2bl w:val="nil"/>
            </w:tcBorders>
            <w:shd w:val="clear" w:color="auto" w:fill="auto"/>
            <w:noWrap/>
            <w:vAlign w:val="center"/>
          </w:tcPr>
          <w:p w14:paraId="26CB2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686" w:type="pct"/>
            <w:tcBorders>
              <w:tl2br w:val="nil"/>
              <w:tr2bl w:val="nil"/>
            </w:tcBorders>
            <w:shd w:val="clear" w:color="auto" w:fill="auto"/>
            <w:noWrap/>
            <w:vAlign w:val="center"/>
          </w:tcPr>
          <w:p w14:paraId="46E9E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1.83</w:t>
            </w:r>
          </w:p>
        </w:tc>
        <w:tc>
          <w:tcPr>
            <w:tcW w:w="743" w:type="pct"/>
            <w:vMerge w:val="continue"/>
            <w:tcBorders>
              <w:tl2br w:val="nil"/>
              <w:tr2bl w:val="nil"/>
            </w:tcBorders>
            <w:shd w:val="clear" w:color="auto" w:fill="auto"/>
            <w:noWrap/>
            <w:vAlign w:val="center"/>
          </w:tcPr>
          <w:p w14:paraId="10765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464" w:type="pct"/>
            <w:vMerge w:val="continue"/>
            <w:tcBorders>
              <w:tl2br w:val="nil"/>
              <w:tr2bl w:val="nil"/>
            </w:tcBorders>
            <w:shd w:val="clear" w:color="auto" w:fill="auto"/>
            <w:noWrap/>
            <w:vAlign w:val="center"/>
          </w:tcPr>
          <w:p w14:paraId="6AE72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84" w:type="pct"/>
            <w:vMerge w:val="continue"/>
            <w:tcBorders>
              <w:tl2br w:val="nil"/>
              <w:tr2bl w:val="nil"/>
            </w:tcBorders>
            <w:shd w:val="clear" w:color="auto" w:fill="auto"/>
            <w:noWrap/>
            <w:vAlign w:val="center"/>
          </w:tcPr>
          <w:p w14:paraId="6055E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65A50E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restart"/>
            <w:tcBorders>
              <w:tl2br w:val="nil"/>
              <w:tr2bl w:val="nil"/>
            </w:tcBorders>
            <w:shd w:val="clear" w:color="auto" w:fill="auto"/>
            <w:vAlign w:val="center"/>
          </w:tcPr>
          <w:p w14:paraId="2160A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i w:val="0"/>
                <w:iCs w:val="0"/>
                <w:color w:val="auto"/>
                <w:sz w:val="21"/>
                <w:szCs w:val="21"/>
                <w:highlight w:val="none"/>
                <w:u w:val="none"/>
                <w:lang w:eastAsia="zh-CN"/>
              </w:rPr>
            </w:pPr>
            <w:r>
              <w:rPr>
                <w:rFonts w:hint="eastAsia" w:cs="Times New Roman" w:eastAsiaTheme="minorEastAsia"/>
                <w:i w:val="0"/>
                <w:iCs w:val="0"/>
                <w:color w:val="auto"/>
                <w:sz w:val="21"/>
                <w:szCs w:val="21"/>
                <w:highlight w:val="none"/>
                <w:u w:val="none"/>
                <w:lang w:eastAsia="zh-CN"/>
              </w:rPr>
              <w:t>二</w:t>
            </w:r>
            <w:r>
              <w:rPr>
                <w:rFonts w:hint="eastAsia" w:ascii="Times New Roman" w:hAnsi="Times New Roman" w:cs="Times New Roman" w:eastAsiaTheme="minorEastAsia"/>
                <w:i w:val="0"/>
                <w:iCs w:val="0"/>
                <w:color w:val="auto"/>
                <w:sz w:val="21"/>
                <w:szCs w:val="21"/>
                <w:highlight w:val="none"/>
                <w:u w:val="none"/>
                <w:lang w:eastAsia="zh-CN"/>
              </w:rPr>
              <w:t>期</w:t>
            </w:r>
          </w:p>
          <w:p w14:paraId="6B445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sz w:val="21"/>
                <w:szCs w:val="21"/>
                <w:highlight w:val="none"/>
                <w:u w:val="none"/>
                <w:lang w:eastAsia="zh-CN"/>
              </w:rPr>
              <w:t>工程</w:t>
            </w:r>
          </w:p>
        </w:tc>
        <w:tc>
          <w:tcPr>
            <w:tcW w:w="718" w:type="pct"/>
            <w:vMerge w:val="restart"/>
            <w:tcBorders>
              <w:tl2br w:val="nil"/>
              <w:tr2bl w:val="nil"/>
            </w:tcBorders>
            <w:shd w:val="clear" w:color="auto" w:fill="auto"/>
            <w:vAlign w:val="center"/>
          </w:tcPr>
          <w:p w14:paraId="2D768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水库清淤</w:t>
            </w:r>
          </w:p>
        </w:tc>
        <w:tc>
          <w:tcPr>
            <w:tcW w:w="1058" w:type="pct"/>
            <w:vMerge w:val="restart"/>
            <w:tcBorders>
              <w:tl2br w:val="nil"/>
              <w:tr2bl w:val="nil"/>
            </w:tcBorders>
            <w:shd w:val="clear" w:color="auto" w:fill="auto"/>
            <w:noWrap/>
            <w:vAlign w:val="center"/>
          </w:tcPr>
          <w:p w14:paraId="69A54C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686" w:type="pct"/>
            <w:vMerge w:val="restart"/>
            <w:tcBorders>
              <w:tl2br w:val="nil"/>
              <w:tr2bl w:val="nil"/>
            </w:tcBorders>
            <w:shd w:val="clear" w:color="auto" w:fill="auto"/>
            <w:noWrap/>
            <w:vAlign w:val="center"/>
          </w:tcPr>
          <w:p w14:paraId="27AD64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743" w:type="pct"/>
            <w:tcBorders>
              <w:tl2br w:val="nil"/>
              <w:tr2bl w:val="nil"/>
            </w:tcBorders>
            <w:shd w:val="clear" w:color="auto" w:fill="auto"/>
            <w:noWrap/>
            <w:vAlign w:val="center"/>
          </w:tcPr>
          <w:p w14:paraId="06A4D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eastAsia" w:cs="Times New Roman" w:eastAsiaTheme="minorEastAsia"/>
                <w:i w:val="0"/>
                <w:iCs w:val="0"/>
                <w:color w:val="auto"/>
                <w:kern w:val="0"/>
                <w:sz w:val="21"/>
                <w:szCs w:val="21"/>
                <w:highlight w:val="none"/>
                <w:u w:val="none"/>
                <w:lang w:val="en-US" w:eastAsia="zh-CN" w:bidi="ar"/>
              </w:rPr>
              <w:t>水库水面</w:t>
            </w:r>
          </w:p>
        </w:tc>
        <w:tc>
          <w:tcPr>
            <w:tcW w:w="464" w:type="pct"/>
            <w:tcBorders>
              <w:tl2br w:val="nil"/>
              <w:tr2bl w:val="nil"/>
            </w:tcBorders>
            <w:shd w:val="clear" w:color="auto" w:fill="auto"/>
            <w:noWrap/>
            <w:vAlign w:val="center"/>
          </w:tcPr>
          <w:p w14:paraId="6DEC2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55.71 </w:t>
            </w:r>
          </w:p>
        </w:tc>
        <w:tc>
          <w:tcPr>
            <w:tcW w:w="784" w:type="pct"/>
            <w:vMerge w:val="restart"/>
            <w:tcBorders>
              <w:tl2br w:val="nil"/>
              <w:tr2bl w:val="nil"/>
            </w:tcBorders>
            <w:shd w:val="clear" w:color="auto" w:fill="auto"/>
            <w:noWrap/>
            <w:vAlign w:val="center"/>
          </w:tcPr>
          <w:p w14:paraId="6BC95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55.71 </w:t>
            </w:r>
          </w:p>
        </w:tc>
      </w:tr>
      <w:tr w14:paraId="4D50C6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5DC1A2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21052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vMerge w:val="continue"/>
            <w:tcBorders>
              <w:tl2br w:val="nil"/>
              <w:tr2bl w:val="nil"/>
            </w:tcBorders>
            <w:shd w:val="clear" w:color="auto" w:fill="auto"/>
            <w:noWrap/>
            <w:vAlign w:val="center"/>
          </w:tcPr>
          <w:p w14:paraId="49BBC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686" w:type="pct"/>
            <w:vMerge w:val="continue"/>
            <w:tcBorders>
              <w:tl2br w:val="nil"/>
              <w:tr2bl w:val="nil"/>
            </w:tcBorders>
            <w:shd w:val="clear" w:color="auto" w:fill="auto"/>
            <w:noWrap/>
            <w:vAlign w:val="center"/>
          </w:tcPr>
          <w:p w14:paraId="1E41E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43" w:type="pct"/>
            <w:tcBorders>
              <w:tl2br w:val="nil"/>
              <w:tr2bl w:val="nil"/>
            </w:tcBorders>
            <w:shd w:val="clear" w:color="auto" w:fill="auto"/>
            <w:noWrap/>
            <w:vAlign w:val="center"/>
          </w:tcPr>
          <w:p w14:paraId="087C3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464" w:type="pct"/>
            <w:tcBorders>
              <w:tl2br w:val="nil"/>
              <w:tr2bl w:val="nil"/>
            </w:tcBorders>
            <w:shd w:val="clear" w:color="auto" w:fill="auto"/>
            <w:noWrap/>
            <w:vAlign w:val="center"/>
          </w:tcPr>
          <w:p w14:paraId="10EB89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55.71 </w:t>
            </w:r>
          </w:p>
        </w:tc>
        <w:tc>
          <w:tcPr>
            <w:tcW w:w="784" w:type="pct"/>
            <w:vMerge w:val="continue"/>
            <w:tcBorders>
              <w:tl2br w:val="nil"/>
              <w:tr2bl w:val="nil"/>
            </w:tcBorders>
            <w:shd w:val="clear" w:color="auto" w:fill="auto"/>
            <w:noWrap/>
            <w:vAlign w:val="center"/>
          </w:tcPr>
          <w:p w14:paraId="2DBDE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784A14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544" w:type="pct"/>
            <w:vMerge w:val="continue"/>
            <w:tcBorders>
              <w:tl2br w:val="nil"/>
              <w:tr2bl w:val="nil"/>
            </w:tcBorders>
            <w:shd w:val="clear" w:color="auto" w:fill="auto"/>
            <w:vAlign w:val="center"/>
          </w:tcPr>
          <w:p w14:paraId="13698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restart"/>
            <w:tcBorders>
              <w:tl2br w:val="nil"/>
              <w:tr2bl w:val="nil"/>
            </w:tcBorders>
            <w:shd w:val="clear" w:color="auto" w:fill="auto"/>
            <w:vAlign w:val="center"/>
          </w:tcPr>
          <w:p w14:paraId="5FCFF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淤泥堆场</w:t>
            </w:r>
          </w:p>
        </w:tc>
        <w:tc>
          <w:tcPr>
            <w:tcW w:w="1058" w:type="pct"/>
            <w:vMerge w:val="restart"/>
            <w:tcBorders>
              <w:tl2br w:val="nil"/>
              <w:tr2bl w:val="nil"/>
            </w:tcBorders>
            <w:shd w:val="clear" w:color="auto" w:fill="auto"/>
            <w:noWrap/>
            <w:vAlign w:val="center"/>
          </w:tcPr>
          <w:p w14:paraId="4B164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686" w:type="pct"/>
            <w:vMerge w:val="restart"/>
            <w:tcBorders>
              <w:tl2br w:val="nil"/>
              <w:tr2bl w:val="nil"/>
            </w:tcBorders>
            <w:shd w:val="clear" w:color="auto" w:fill="auto"/>
            <w:noWrap/>
            <w:vAlign w:val="center"/>
          </w:tcPr>
          <w:p w14:paraId="23A72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w:t>
            </w:r>
          </w:p>
        </w:tc>
        <w:tc>
          <w:tcPr>
            <w:tcW w:w="743" w:type="pct"/>
            <w:tcBorders>
              <w:tl2br w:val="nil"/>
              <w:tr2bl w:val="nil"/>
            </w:tcBorders>
            <w:shd w:val="clear" w:color="auto" w:fill="auto"/>
            <w:noWrap/>
            <w:vAlign w:val="center"/>
          </w:tcPr>
          <w:p w14:paraId="5CD25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内陆滩涂</w:t>
            </w:r>
          </w:p>
        </w:tc>
        <w:tc>
          <w:tcPr>
            <w:tcW w:w="464" w:type="pct"/>
            <w:tcBorders>
              <w:tl2br w:val="nil"/>
              <w:tr2bl w:val="nil"/>
            </w:tcBorders>
            <w:shd w:val="clear" w:color="auto" w:fill="auto"/>
            <w:noWrap/>
            <w:vAlign w:val="center"/>
          </w:tcPr>
          <w:p w14:paraId="3AAF94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cs="Times New Roman" w:eastAsiaTheme="minorEastAsia"/>
                <w:i w:val="0"/>
                <w:iCs w:val="0"/>
                <w:color w:val="auto"/>
                <w:kern w:val="0"/>
                <w:sz w:val="21"/>
                <w:szCs w:val="21"/>
                <w:highlight w:val="none"/>
                <w:u w:val="none"/>
                <w:lang w:val="en-US" w:eastAsia="zh-CN" w:bidi="ar"/>
              </w:rPr>
              <w:t>17.91</w:t>
            </w: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 </w:t>
            </w:r>
          </w:p>
        </w:tc>
        <w:tc>
          <w:tcPr>
            <w:tcW w:w="784" w:type="pct"/>
            <w:vMerge w:val="restart"/>
            <w:tcBorders>
              <w:tl2br w:val="nil"/>
              <w:tr2bl w:val="nil"/>
            </w:tcBorders>
            <w:shd w:val="clear" w:color="auto" w:fill="auto"/>
            <w:noWrap/>
            <w:vAlign w:val="center"/>
          </w:tcPr>
          <w:p w14:paraId="78396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17.91 </w:t>
            </w:r>
          </w:p>
        </w:tc>
      </w:tr>
      <w:tr w14:paraId="318C64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44" w:type="pct"/>
            <w:vMerge w:val="continue"/>
            <w:tcBorders>
              <w:tl2br w:val="nil"/>
              <w:tr2bl w:val="nil"/>
            </w:tcBorders>
            <w:shd w:val="clear" w:color="auto" w:fill="auto"/>
            <w:vAlign w:val="center"/>
          </w:tcPr>
          <w:p w14:paraId="74F873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18" w:type="pct"/>
            <w:vMerge w:val="continue"/>
            <w:tcBorders>
              <w:tl2br w:val="nil"/>
              <w:tr2bl w:val="nil"/>
            </w:tcBorders>
            <w:shd w:val="clear" w:color="auto" w:fill="auto"/>
            <w:vAlign w:val="center"/>
          </w:tcPr>
          <w:p w14:paraId="1FB55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1058" w:type="pct"/>
            <w:vMerge w:val="continue"/>
            <w:tcBorders>
              <w:tl2br w:val="nil"/>
              <w:tr2bl w:val="nil"/>
            </w:tcBorders>
            <w:shd w:val="clear" w:color="auto" w:fill="auto"/>
            <w:noWrap/>
            <w:vAlign w:val="center"/>
          </w:tcPr>
          <w:p w14:paraId="1AA8C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686" w:type="pct"/>
            <w:vMerge w:val="continue"/>
            <w:tcBorders>
              <w:tl2br w:val="nil"/>
              <w:tr2bl w:val="nil"/>
            </w:tcBorders>
            <w:shd w:val="clear" w:color="auto" w:fill="auto"/>
            <w:noWrap/>
            <w:vAlign w:val="center"/>
          </w:tcPr>
          <w:p w14:paraId="4D7B8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c>
          <w:tcPr>
            <w:tcW w:w="743" w:type="pct"/>
            <w:tcBorders>
              <w:tl2br w:val="nil"/>
              <w:tr2bl w:val="nil"/>
            </w:tcBorders>
            <w:shd w:val="clear" w:color="auto" w:fill="auto"/>
            <w:noWrap/>
            <w:vAlign w:val="center"/>
          </w:tcPr>
          <w:p w14:paraId="02EDC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小计</w:t>
            </w:r>
          </w:p>
        </w:tc>
        <w:tc>
          <w:tcPr>
            <w:tcW w:w="464" w:type="pct"/>
            <w:tcBorders>
              <w:tl2br w:val="nil"/>
              <w:tr2bl w:val="nil"/>
            </w:tcBorders>
            <w:shd w:val="clear" w:color="auto" w:fill="auto"/>
            <w:noWrap/>
            <w:vAlign w:val="center"/>
          </w:tcPr>
          <w:p w14:paraId="37733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17.91 </w:t>
            </w:r>
          </w:p>
        </w:tc>
        <w:tc>
          <w:tcPr>
            <w:tcW w:w="784" w:type="pct"/>
            <w:vMerge w:val="continue"/>
            <w:tcBorders>
              <w:tl2br w:val="nil"/>
              <w:tr2bl w:val="nil"/>
            </w:tcBorders>
            <w:shd w:val="clear" w:color="auto" w:fill="auto"/>
            <w:noWrap/>
            <w:vAlign w:val="center"/>
          </w:tcPr>
          <w:p w14:paraId="72049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eastAsiaTheme="minorEastAsia"/>
                <w:i w:val="0"/>
                <w:iCs w:val="0"/>
                <w:color w:val="auto"/>
                <w:sz w:val="21"/>
                <w:szCs w:val="21"/>
                <w:highlight w:val="none"/>
                <w:u w:val="none"/>
              </w:rPr>
            </w:pPr>
          </w:p>
        </w:tc>
      </w:tr>
      <w:tr w14:paraId="2EDC5B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63" w:type="pct"/>
            <w:gridSpan w:val="2"/>
            <w:tcBorders>
              <w:tl2br w:val="nil"/>
              <w:tr2bl w:val="nil"/>
            </w:tcBorders>
            <w:shd w:val="clear" w:color="auto" w:fill="auto"/>
            <w:noWrap/>
            <w:vAlign w:val="center"/>
          </w:tcPr>
          <w:p w14:paraId="4F474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占地面积合计</w:t>
            </w:r>
          </w:p>
        </w:tc>
        <w:tc>
          <w:tcPr>
            <w:tcW w:w="1744" w:type="pct"/>
            <w:gridSpan w:val="2"/>
            <w:tcBorders>
              <w:tl2br w:val="nil"/>
              <w:tr2bl w:val="nil"/>
            </w:tcBorders>
            <w:shd w:val="clear" w:color="auto" w:fill="auto"/>
            <w:noWrap/>
            <w:vAlign w:val="center"/>
          </w:tcPr>
          <w:p w14:paraId="1CB58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17.99 </w:t>
            </w:r>
          </w:p>
        </w:tc>
        <w:tc>
          <w:tcPr>
            <w:tcW w:w="1207" w:type="pct"/>
            <w:gridSpan w:val="2"/>
            <w:tcBorders>
              <w:tl2br w:val="nil"/>
              <w:tr2bl w:val="nil"/>
            </w:tcBorders>
            <w:shd w:val="clear" w:color="auto" w:fill="auto"/>
            <w:noWrap/>
            <w:vAlign w:val="center"/>
          </w:tcPr>
          <w:p w14:paraId="0F3AF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lang w:val="en-US"/>
              </w:rPr>
            </w:pPr>
            <w:r>
              <w:rPr>
                <w:rFonts w:hint="default" w:ascii="Times New Roman" w:hAnsi="Times New Roman" w:cs="Times New Roman" w:eastAsiaTheme="minorEastAsia"/>
                <w:i w:val="0"/>
                <w:iCs w:val="0"/>
                <w:color w:val="auto"/>
                <w:kern w:val="0"/>
                <w:sz w:val="21"/>
                <w:szCs w:val="21"/>
                <w:highlight w:val="none"/>
                <w:u w:val="none"/>
                <w:lang w:val="en-US" w:eastAsia="zh-CN" w:bidi="ar"/>
              </w:rPr>
              <w:t>74.</w:t>
            </w:r>
            <w:r>
              <w:rPr>
                <w:rFonts w:hint="eastAsia" w:ascii="Times New Roman" w:hAnsi="Times New Roman" w:cs="Times New Roman" w:eastAsiaTheme="minorEastAsia"/>
                <w:i w:val="0"/>
                <w:iCs w:val="0"/>
                <w:color w:val="auto"/>
                <w:kern w:val="0"/>
                <w:sz w:val="21"/>
                <w:szCs w:val="21"/>
                <w:highlight w:val="none"/>
                <w:u w:val="none"/>
                <w:lang w:val="en-US" w:eastAsia="zh-CN" w:bidi="ar"/>
              </w:rPr>
              <w:t>12</w:t>
            </w:r>
          </w:p>
        </w:tc>
        <w:tc>
          <w:tcPr>
            <w:tcW w:w="784" w:type="pct"/>
            <w:tcBorders>
              <w:tl2br w:val="nil"/>
              <w:tr2bl w:val="nil"/>
            </w:tcBorders>
            <w:shd w:val="clear" w:color="auto" w:fill="auto"/>
            <w:noWrap/>
            <w:vAlign w:val="center"/>
          </w:tcPr>
          <w:p w14:paraId="5BB19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92.</w:t>
            </w:r>
            <w:r>
              <w:rPr>
                <w:rFonts w:hint="eastAsia" w:ascii="Times New Roman" w:hAnsi="Times New Roman" w:cs="Times New Roman" w:eastAsiaTheme="minorEastAsia"/>
                <w:i w:val="0"/>
                <w:iCs w:val="0"/>
                <w:color w:val="auto"/>
                <w:kern w:val="0"/>
                <w:sz w:val="21"/>
                <w:szCs w:val="21"/>
                <w:highlight w:val="none"/>
                <w:u w:val="none"/>
                <w:lang w:val="en-US" w:eastAsia="zh-CN" w:bidi="ar"/>
              </w:rPr>
              <w:t>1</w:t>
            </w:r>
            <w:r>
              <w:rPr>
                <w:rFonts w:hint="default" w:ascii="Times New Roman" w:hAnsi="Times New Roman" w:cs="Times New Roman" w:eastAsiaTheme="minorEastAsia"/>
                <w:i w:val="0"/>
                <w:iCs w:val="0"/>
                <w:color w:val="auto"/>
                <w:kern w:val="0"/>
                <w:sz w:val="21"/>
                <w:szCs w:val="21"/>
                <w:highlight w:val="none"/>
                <w:u w:val="none"/>
                <w:lang w:val="en-US" w:eastAsia="zh-CN" w:bidi="ar"/>
              </w:rPr>
              <w:t xml:space="preserve">0 </w:t>
            </w:r>
          </w:p>
        </w:tc>
      </w:tr>
    </w:tbl>
    <w:p w14:paraId="5E7FE3EC">
      <w:pPr>
        <w:pStyle w:val="4"/>
        <w:rPr>
          <w:rFonts w:hint="default" w:ascii="Times New Roman" w:hAnsi="Times New Roman" w:eastAsia="宋体" w:cs="Times New Roman"/>
          <w:color w:val="auto"/>
          <w:sz w:val="28"/>
          <w:szCs w:val="28"/>
          <w:highlight w:val="none"/>
        </w:rPr>
      </w:pPr>
      <w:bookmarkStart w:id="3151" w:name="_Toc17772"/>
      <w:bookmarkStart w:id="3152" w:name="_Toc25682"/>
      <w:r>
        <w:rPr>
          <w:rFonts w:hint="default" w:ascii="Times New Roman" w:hAnsi="Times New Roman" w:eastAsia="宋体" w:cs="Times New Roman"/>
          <w:color w:val="auto"/>
          <w:sz w:val="28"/>
          <w:szCs w:val="28"/>
          <w:highlight w:val="none"/>
          <w:lang w:val="en-US" w:eastAsia="zh-CN"/>
        </w:rPr>
        <w:t>2.1</w:t>
      </w:r>
      <w:r>
        <w:rPr>
          <w:rFonts w:hint="eastAsia"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土石方情况</w:t>
      </w:r>
      <w:bookmarkEnd w:id="3150"/>
      <w:bookmarkEnd w:id="3151"/>
      <w:bookmarkEnd w:id="3152"/>
    </w:p>
    <w:p w14:paraId="140330DE">
      <w:pPr>
        <w:spacing w:line="360" w:lineRule="auto"/>
        <w:ind w:firstLine="480" w:firstLineChars="200"/>
        <w:jc w:val="both"/>
        <w:rPr>
          <w:rFonts w:hint="eastAsia" w:cs="Times New Roman"/>
          <w:color w:val="auto"/>
          <w:sz w:val="24"/>
          <w:highlight w:val="none"/>
          <w:vertAlign w:val="baseline"/>
          <w:lang w:eastAsia="zh-CN"/>
        </w:rPr>
      </w:pPr>
      <w:r>
        <w:rPr>
          <w:rFonts w:hint="eastAsia" w:cs="Times New Roman"/>
          <w:color w:val="auto"/>
          <w:sz w:val="24"/>
          <w:highlight w:val="none"/>
          <w:lang w:eastAsia="zh-CN"/>
        </w:rPr>
        <w:t>本工程总</w:t>
      </w:r>
      <w:r>
        <w:rPr>
          <w:rFonts w:hint="default" w:ascii="Times New Roman" w:hAnsi="Times New Roman" w:cs="Times New Roman"/>
          <w:color w:val="auto"/>
          <w:sz w:val="24"/>
          <w:highlight w:val="none"/>
        </w:rPr>
        <w:t>土方开挖</w:t>
      </w:r>
      <w:r>
        <w:rPr>
          <w:rFonts w:hint="eastAsia" w:cs="Times New Roman"/>
          <w:color w:val="auto"/>
          <w:sz w:val="24"/>
          <w:highlight w:val="none"/>
          <w:lang w:val="en-US" w:eastAsia="zh-CN"/>
        </w:rPr>
        <w:t>152.92</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总</w:t>
      </w:r>
      <w:r>
        <w:rPr>
          <w:rFonts w:hint="default" w:ascii="Times New Roman" w:hAnsi="Times New Roman" w:cs="Times New Roman"/>
          <w:color w:val="auto"/>
          <w:sz w:val="24"/>
          <w:highlight w:val="none"/>
        </w:rPr>
        <w:t>土方回填</w:t>
      </w:r>
      <w:r>
        <w:rPr>
          <w:rFonts w:hint="eastAsia" w:cs="Times New Roman"/>
          <w:color w:val="auto"/>
          <w:sz w:val="24"/>
          <w:highlight w:val="none"/>
          <w:lang w:val="en-US" w:eastAsia="zh-CN"/>
        </w:rPr>
        <w:t>16.93</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。其中</w:t>
      </w:r>
      <w:r>
        <w:rPr>
          <w:rFonts w:hint="eastAsia" w:cs="Times New Roman"/>
          <w:color w:val="auto"/>
          <w:sz w:val="24"/>
          <w:highlight w:val="none"/>
          <w:lang w:eastAsia="zh-CN"/>
        </w:rPr>
        <w:t>一期工程土方开挖</w:t>
      </w:r>
      <w:r>
        <w:rPr>
          <w:rFonts w:hint="eastAsia" w:cs="Times New Roman"/>
          <w:color w:val="auto"/>
          <w:sz w:val="24"/>
          <w:highlight w:val="none"/>
          <w:lang w:val="en-US" w:eastAsia="zh-CN"/>
        </w:rPr>
        <w:t>16.93万</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土方回填</w:t>
      </w:r>
      <w:r>
        <w:rPr>
          <w:rFonts w:hint="eastAsia" w:cs="Times New Roman"/>
          <w:color w:val="auto"/>
          <w:sz w:val="24"/>
          <w:highlight w:val="none"/>
          <w:lang w:val="en-US" w:eastAsia="zh-CN"/>
        </w:rPr>
        <w:t>16.93</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lang w:eastAsia="zh-CN"/>
        </w:rPr>
        <w:t>（其中</w:t>
      </w:r>
      <w:r>
        <w:rPr>
          <w:rFonts w:hint="eastAsia" w:cs="Times New Roman"/>
          <w:color w:val="auto"/>
          <w:sz w:val="24"/>
          <w:highlight w:val="none"/>
          <w:lang w:val="en-US" w:eastAsia="zh-CN"/>
        </w:rPr>
        <w:t>4.42</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lang w:eastAsia="zh-CN"/>
        </w:rPr>
        <w:t>为河道疏浚及道路开挖多余），挖填平衡；二期工程清淤及临时道路开挖土方共计</w:t>
      </w:r>
      <w:r>
        <w:rPr>
          <w:rFonts w:hint="eastAsia" w:cs="Times New Roman"/>
          <w:color w:val="auto"/>
          <w:sz w:val="24"/>
          <w:highlight w:val="none"/>
          <w:lang w:val="en-US" w:eastAsia="zh-CN"/>
        </w:rPr>
        <w:t>136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w:t>
      </w:r>
    </w:p>
    <w:p w14:paraId="33419EE7">
      <w:pPr>
        <w:spacing w:line="360" w:lineRule="auto"/>
        <w:ind w:firstLine="480" w:firstLineChars="200"/>
        <w:jc w:val="both"/>
        <w:rPr>
          <w:rFonts w:hint="default" w:ascii="Times New Roman" w:hAnsi="Times New Roman" w:cs="Times New Roman"/>
          <w:color w:val="auto"/>
          <w:sz w:val="24"/>
          <w:highlight w:val="none"/>
          <w:lang w:eastAsia="zh-CN"/>
        </w:rPr>
      </w:pPr>
      <w:r>
        <w:rPr>
          <w:rFonts w:hint="eastAsia" w:cs="Times New Roman"/>
          <w:color w:val="auto"/>
          <w:sz w:val="24"/>
          <w:highlight w:val="none"/>
          <w:lang w:eastAsia="zh-CN"/>
        </w:rPr>
        <w:t>疏浚土方在小河段河底自然晾干后运至川口河段用于护岸工程土方回填，水库淤泥在库底自然晾干，淤泥及临时道路开挖土方运至水库附近</w:t>
      </w:r>
      <w:r>
        <w:rPr>
          <w:rFonts w:hint="eastAsia" w:cs="Times New Roman"/>
          <w:color w:val="auto"/>
          <w:sz w:val="24"/>
          <w:highlight w:val="none"/>
          <w:vertAlign w:val="baseline"/>
          <w:lang w:val="en-US" w:eastAsia="zh-CN"/>
        </w:rPr>
        <w:t>7处堆场依次堆存。</w:t>
      </w:r>
      <w:r>
        <w:rPr>
          <w:rFonts w:hint="default" w:ascii="Times New Roman" w:hAnsi="Times New Roman" w:cs="Times New Roman"/>
          <w:color w:val="auto"/>
          <w:sz w:val="24"/>
          <w:highlight w:val="none"/>
        </w:rPr>
        <w:t>7座</w:t>
      </w:r>
      <w:r>
        <w:rPr>
          <w:rFonts w:hint="default" w:ascii="Times New Roman" w:hAnsi="Times New Roman" w:cs="Times New Roman"/>
          <w:color w:val="auto"/>
          <w:sz w:val="24"/>
          <w:highlight w:val="none"/>
          <w:lang w:eastAsia="zh-CN"/>
        </w:rPr>
        <w:t>堆场可</w:t>
      </w:r>
      <w:r>
        <w:rPr>
          <w:rFonts w:hint="default" w:ascii="Times New Roman" w:hAnsi="Times New Roman" w:cs="Times New Roman"/>
          <w:color w:val="auto"/>
          <w:sz w:val="24"/>
          <w:highlight w:val="none"/>
        </w:rPr>
        <w:t>消纳容积</w:t>
      </w:r>
      <w:r>
        <w:rPr>
          <w:rFonts w:hint="eastAsia" w:cs="Times New Roman"/>
          <w:color w:val="auto"/>
          <w:sz w:val="24"/>
          <w:highlight w:val="none"/>
          <w:lang w:eastAsia="zh-CN"/>
        </w:rPr>
        <w:t>共计</w:t>
      </w:r>
      <w:r>
        <w:rPr>
          <w:rFonts w:hint="default" w:ascii="Times New Roman" w:hAnsi="Times New Roman" w:cs="Times New Roman"/>
          <w:color w:val="auto"/>
          <w:sz w:val="24"/>
          <w:highlight w:val="none"/>
        </w:rPr>
        <w:t>136万m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lang w:eastAsia="zh-CN"/>
        </w:rPr>
        <w:t>。</w:t>
      </w:r>
    </w:p>
    <w:p w14:paraId="561CE208">
      <w:pPr>
        <w:jc w:val="center"/>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eastAsia="zh-CN"/>
        </w:rPr>
        <w:t>表</w:t>
      </w:r>
      <w:r>
        <w:rPr>
          <w:rFonts w:hint="default" w:ascii="Times New Roman" w:hAnsi="Times New Roman" w:eastAsia="宋体" w:cs="Times New Roman"/>
          <w:b/>
          <w:bCs/>
          <w:color w:val="auto"/>
          <w:kern w:val="2"/>
          <w:sz w:val="24"/>
          <w:szCs w:val="24"/>
          <w:highlight w:val="none"/>
          <w:lang w:val="en-US" w:eastAsia="zh-CN"/>
        </w:rPr>
        <w:t>2.1</w:t>
      </w:r>
      <w:r>
        <w:rPr>
          <w:rFonts w:hint="eastAsia" w:cs="Times New Roman"/>
          <w:b/>
          <w:bCs/>
          <w:color w:val="auto"/>
          <w:kern w:val="2"/>
          <w:sz w:val="24"/>
          <w:szCs w:val="24"/>
          <w:highlight w:val="none"/>
          <w:lang w:val="en-US" w:eastAsia="zh-CN"/>
        </w:rPr>
        <w:t>2</w:t>
      </w:r>
      <w:r>
        <w:rPr>
          <w:rFonts w:hint="default" w:ascii="Times New Roman" w:hAnsi="Times New Roman" w:eastAsia="宋体" w:cs="Times New Roman"/>
          <w:b/>
          <w:bCs/>
          <w:color w:val="auto"/>
          <w:kern w:val="2"/>
          <w:sz w:val="24"/>
          <w:szCs w:val="24"/>
          <w:highlight w:val="none"/>
          <w:lang w:val="en-US" w:eastAsia="zh-CN"/>
        </w:rPr>
        <w:t>-1</w:t>
      </w:r>
      <w:r>
        <w:rPr>
          <w:rFonts w:hint="default" w:ascii="Times New Roman" w:hAnsi="Times New Roman" w:eastAsia="宋体" w:cs="Times New Roman"/>
          <w:b/>
          <w:bCs/>
          <w:color w:val="auto"/>
          <w:kern w:val="2"/>
          <w:sz w:val="24"/>
          <w:szCs w:val="24"/>
          <w:highlight w:val="none"/>
        </w:rPr>
        <w:t>土石方平衡表</w:t>
      </w:r>
    </w:p>
    <w:tbl>
      <w:tblPr>
        <w:tblStyle w:val="3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5"/>
        <w:gridCol w:w="604"/>
        <w:gridCol w:w="1381"/>
        <w:gridCol w:w="957"/>
        <w:gridCol w:w="690"/>
        <w:gridCol w:w="900"/>
        <w:gridCol w:w="780"/>
        <w:gridCol w:w="885"/>
        <w:gridCol w:w="1720"/>
      </w:tblGrid>
      <w:tr w14:paraId="6103C7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354" w:type="pct"/>
            <w:vMerge w:val="restart"/>
            <w:tcBorders>
              <w:tl2br w:val="nil"/>
              <w:tr2bl w:val="nil"/>
            </w:tcBorders>
            <w:shd w:val="clear" w:color="auto" w:fill="auto"/>
            <w:noWrap/>
            <w:vAlign w:val="center"/>
          </w:tcPr>
          <w:p w14:paraId="264728FA">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153" w:name="_Toc9443"/>
            <w:bookmarkStart w:id="3154" w:name="_Toc16421"/>
            <w:bookmarkStart w:id="3155" w:name="_Toc21302"/>
            <w:r>
              <w:rPr>
                <w:rFonts w:hint="default" w:ascii="Times New Roman" w:hAnsi="Times New Roman" w:eastAsia="宋体" w:cs="Times New Roman"/>
                <w:b/>
                <w:bCs/>
                <w:color w:val="auto"/>
                <w:sz w:val="21"/>
                <w:szCs w:val="21"/>
                <w:highlight w:val="none"/>
                <w:lang w:val="en-US" w:eastAsia="zh-CN"/>
              </w:rPr>
              <w:t>编号</w:t>
            </w:r>
            <w:bookmarkEnd w:id="3153"/>
            <w:bookmarkEnd w:id="3154"/>
            <w:bookmarkEnd w:id="3155"/>
          </w:p>
        </w:tc>
        <w:tc>
          <w:tcPr>
            <w:tcW w:w="1164" w:type="pct"/>
            <w:gridSpan w:val="2"/>
            <w:vMerge w:val="restart"/>
            <w:tcBorders>
              <w:tl2br w:val="nil"/>
              <w:tr2bl w:val="nil"/>
            </w:tcBorders>
            <w:shd w:val="clear" w:color="auto" w:fill="auto"/>
            <w:noWrap/>
            <w:vAlign w:val="center"/>
          </w:tcPr>
          <w:p w14:paraId="3F9A3A78">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156" w:name="_Toc14857"/>
            <w:bookmarkStart w:id="3157" w:name="_Toc23658"/>
            <w:bookmarkStart w:id="3158" w:name="_Toc1161"/>
            <w:r>
              <w:rPr>
                <w:rFonts w:hint="default" w:ascii="Times New Roman" w:hAnsi="Times New Roman" w:eastAsia="宋体" w:cs="Times New Roman"/>
                <w:b/>
                <w:bCs/>
                <w:color w:val="auto"/>
                <w:sz w:val="21"/>
                <w:szCs w:val="21"/>
                <w:highlight w:val="none"/>
                <w:lang w:val="en-US" w:eastAsia="zh-CN"/>
              </w:rPr>
              <w:t>工程名称</w:t>
            </w:r>
            <w:bookmarkEnd w:id="3156"/>
            <w:bookmarkEnd w:id="3157"/>
            <w:bookmarkEnd w:id="3158"/>
          </w:p>
        </w:tc>
        <w:tc>
          <w:tcPr>
            <w:tcW w:w="2471" w:type="pct"/>
            <w:gridSpan w:val="5"/>
            <w:tcBorders>
              <w:tl2br w:val="nil"/>
              <w:tr2bl w:val="nil"/>
            </w:tcBorders>
            <w:shd w:val="clear" w:color="auto" w:fill="auto"/>
            <w:noWrap/>
            <w:vAlign w:val="center"/>
          </w:tcPr>
          <w:p w14:paraId="2D3F5F67">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159" w:name="_Toc7603"/>
            <w:bookmarkStart w:id="3160" w:name="_Toc630"/>
            <w:bookmarkStart w:id="3161" w:name="_Toc26228"/>
            <w:r>
              <w:rPr>
                <w:rFonts w:hint="default" w:ascii="Times New Roman" w:hAnsi="Times New Roman" w:eastAsia="宋体" w:cs="Times New Roman"/>
                <w:b/>
                <w:bCs/>
                <w:color w:val="auto"/>
                <w:sz w:val="21"/>
                <w:szCs w:val="21"/>
                <w:highlight w:val="none"/>
                <w:lang w:val="en-US" w:eastAsia="zh-CN"/>
              </w:rPr>
              <w:t>土方（万m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bookmarkEnd w:id="3159"/>
            <w:bookmarkEnd w:id="3160"/>
            <w:bookmarkEnd w:id="3161"/>
          </w:p>
        </w:tc>
        <w:tc>
          <w:tcPr>
            <w:tcW w:w="1009" w:type="pct"/>
            <w:vMerge w:val="restart"/>
            <w:tcBorders>
              <w:tl2br w:val="nil"/>
              <w:tr2bl w:val="nil"/>
            </w:tcBorders>
            <w:shd w:val="clear" w:color="auto" w:fill="auto"/>
            <w:noWrap/>
            <w:vAlign w:val="center"/>
          </w:tcPr>
          <w:p w14:paraId="0CE34FD7">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162" w:name="_Toc17579"/>
            <w:bookmarkStart w:id="3163" w:name="_Toc13470"/>
            <w:bookmarkStart w:id="3164" w:name="_Toc11551"/>
            <w:r>
              <w:rPr>
                <w:rFonts w:hint="default" w:ascii="Times New Roman" w:hAnsi="Times New Roman" w:eastAsia="宋体" w:cs="Times New Roman"/>
                <w:b/>
                <w:bCs/>
                <w:color w:val="auto"/>
                <w:sz w:val="21"/>
                <w:szCs w:val="21"/>
                <w:highlight w:val="none"/>
                <w:lang w:val="en-US" w:eastAsia="zh-CN"/>
              </w:rPr>
              <w:t>备注</w:t>
            </w:r>
            <w:bookmarkEnd w:id="3162"/>
            <w:bookmarkEnd w:id="3163"/>
            <w:bookmarkEnd w:id="3164"/>
          </w:p>
        </w:tc>
      </w:tr>
      <w:tr w14:paraId="497E65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354" w:type="pct"/>
            <w:vMerge w:val="continue"/>
            <w:tcBorders>
              <w:tl2br w:val="nil"/>
              <w:tr2bl w:val="nil"/>
            </w:tcBorders>
            <w:shd w:val="clear" w:color="auto" w:fill="auto"/>
            <w:noWrap/>
            <w:vAlign w:val="center"/>
          </w:tcPr>
          <w:p w14:paraId="60D0F635">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eastAsia="zh-CN"/>
              </w:rPr>
            </w:pPr>
          </w:p>
        </w:tc>
        <w:tc>
          <w:tcPr>
            <w:tcW w:w="1164" w:type="pct"/>
            <w:gridSpan w:val="2"/>
            <w:vMerge w:val="continue"/>
            <w:tcBorders>
              <w:tl2br w:val="nil"/>
              <w:tr2bl w:val="nil"/>
            </w:tcBorders>
            <w:shd w:val="clear" w:color="auto" w:fill="auto"/>
            <w:noWrap/>
            <w:vAlign w:val="center"/>
          </w:tcPr>
          <w:p w14:paraId="21D1614A">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eastAsia="zh-CN"/>
              </w:rPr>
            </w:pPr>
          </w:p>
        </w:tc>
        <w:tc>
          <w:tcPr>
            <w:tcW w:w="561" w:type="pct"/>
            <w:tcBorders>
              <w:tl2br w:val="nil"/>
              <w:tr2bl w:val="nil"/>
            </w:tcBorders>
            <w:shd w:val="clear" w:color="auto" w:fill="auto"/>
            <w:vAlign w:val="center"/>
          </w:tcPr>
          <w:p w14:paraId="6B883F7D">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eastAsia="zh-CN"/>
              </w:rPr>
            </w:pPr>
            <w:bookmarkStart w:id="3165" w:name="_Toc24591"/>
            <w:bookmarkStart w:id="3166" w:name="_Toc3755"/>
            <w:bookmarkStart w:id="3167" w:name="_Toc16287"/>
            <w:r>
              <w:rPr>
                <w:rFonts w:hint="default" w:ascii="Times New Roman" w:hAnsi="Times New Roman" w:eastAsia="宋体" w:cs="Times New Roman"/>
                <w:b/>
                <w:bCs/>
                <w:color w:val="auto"/>
                <w:sz w:val="21"/>
                <w:szCs w:val="21"/>
                <w:highlight w:val="none"/>
                <w:lang w:val="en-US" w:eastAsia="zh-CN"/>
              </w:rPr>
              <w:t>开挖</w:t>
            </w:r>
            <w:bookmarkEnd w:id="3165"/>
            <w:bookmarkEnd w:id="3166"/>
            <w:bookmarkEnd w:id="3167"/>
          </w:p>
        </w:tc>
        <w:tc>
          <w:tcPr>
            <w:tcW w:w="404" w:type="pct"/>
            <w:tcBorders>
              <w:tl2br w:val="nil"/>
              <w:tr2bl w:val="nil"/>
            </w:tcBorders>
            <w:shd w:val="clear" w:color="auto" w:fill="auto"/>
            <w:vAlign w:val="center"/>
          </w:tcPr>
          <w:p w14:paraId="10BAFF48">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eastAsia="zh-CN"/>
              </w:rPr>
            </w:pPr>
            <w:bookmarkStart w:id="3168" w:name="_Toc29044"/>
            <w:bookmarkStart w:id="3169" w:name="_Toc23965"/>
            <w:bookmarkStart w:id="3170" w:name="_Toc24117"/>
            <w:r>
              <w:rPr>
                <w:rFonts w:hint="default" w:ascii="Times New Roman" w:hAnsi="Times New Roman" w:eastAsia="宋体" w:cs="Times New Roman"/>
                <w:b/>
                <w:bCs/>
                <w:color w:val="auto"/>
                <w:sz w:val="21"/>
                <w:szCs w:val="21"/>
                <w:highlight w:val="none"/>
                <w:lang w:val="en-US" w:eastAsia="zh-CN"/>
              </w:rPr>
              <w:t>回填</w:t>
            </w:r>
            <w:bookmarkEnd w:id="3168"/>
            <w:bookmarkEnd w:id="3169"/>
            <w:bookmarkEnd w:id="3170"/>
          </w:p>
        </w:tc>
        <w:tc>
          <w:tcPr>
            <w:tcW w:w="528" w:type="pct"/>
            <w:tcBorders>
              <w:tl2br w:val="nil"/>
              <w:tr2bl w:val="nil"/>
            </w:tcBorders>
            <w:shd w:val="clear" w:color="auto" w:fill="auto"/>
            <w:vAlign w:val="center"/>
          </w:tcPr>
          <w:p w14:paraId="00D30729">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eastAsia="zh-CN"/>
              </w:rPr>
            </w:pPr>
            <w:bookmarkStart w:id="3171" w:name="_Toc5142"/>
            <w:bookmarkStart w:id="3172" w:name="_Toc18425"/>
            <w:bookmarkStart w:id="3173" w:name="_Toc3442"/>
            <w:r>
              <w:rPr>
                <w:rFonts w:hint="default" w:ascii="Times New Roman" w:hAnsi="Times New Roman" w:eastAsia="宋体" w:cs="Times New Roman"/>
                <w:b/>
                <w:bCs/>
                <w:color w:val="auto"/>
                <w:sz w:val="21"/>
                <w:szCs w:val="21"/>
                <w:highlight w:val="none"/>
                <w:lang w:val="en-US" w:eastAsia="zh-CN"/>
              </w:rPr>
              <w:t>弃土</w:t>
            </w:r>
            <w:bookmarkEnd w:id="3171"/>
            <w:bookmarkEnd w:id="3172"/>
            <w:bookmarkEnd w:id="3173"/>
          </w:p>
        </w:tc>
        <w:tc>
          <w:tcPr>
            <w:tcW w:w="457" w:type="pct"/>
            <w:tcBorders>
              <w:tl2br w:val="nil"/>
              <w:tr2bl w:val="nil"/>
            </w:tcBorders>
            <w:shd w:val="clear" w:color="auto" w:fill="auto"/>
            <w:vAlign w:val="center"/>
          </w:tcPr>
          <w:p w14:paraId="55386458">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174" w:name="_Toc10158"/>
            <w:bookmarkStart w:id="3175" w:name="_Toc3128"/>
            <w:bookmarkStart w:id="3176" w:name="_Toc420"/>
            <w:r>
              <w:rPr>
                <w:rFonts w:hint="eastAsia" w:cs="Times New Roman"/>
                <w:b/>
                <w:bCs/>
                <w:color w:val="auto"/>
                <w:sz w:val="21"/>
                <w:szCs w:val="21"/>
                <w:highlight w:val="none"/>
                <w:lang w:val="en-US" w:eastAsia="zh-CN"/>
              </w:rPr>
              <w:t>调入</w:t>
            </w:r>
            <w:bookmarkEnd w:id="3174"/>
            <w:bookmarkEnd w:id="3175"/>
            <w:bookmarkEnd w:id="3176"/>
          </w:p>
        </w:tc>
        <w:tc>
          <w:tcPr>
            <w:tcW w:w="519" w:type="pct"/>
            <w:tcBorders>
              <w:tl2br w:val="nil"/>
              <w:tr2bl w:val="nil"/>
            </w:tcBorders>
            <w:shd w:val="clear" w:color="auto" w:fill="auto"/>
            <w:vAlign w:val="center"/>
          </w:tcPr>
          <w:p w14:paraId="011DD014">
            <w:pPr>
              <w:pStyle w:val="29"/>
              <w:suppressLineNumbers w:val="0"/>
              <w:bidi w:val="0"/>
              <w:spacing w:beforeAutospacing="0" w:afterAutospacing="0"/>
              <w:ind w:left="0" w:right="0"/>
              <w:jc w:val="center"/>
              <w:rPr>
                <w:rFonts w:hint="eastAsia" w:cs="Times New Roman"/>
                <w:b/>
                <w:bCs/>
                <w:color w:val="auto"/>
                <w:sz w:val="21"/>
                <w:szCs w:val="21"/>
                <w:highlight w:val="none"/>
                <w:lang w:val="en-US" w:eastAsia="zh-CN"/>
              </w:rPr>
            </w:pPr>
            <w:bookmarkStart w:id="3177" w:name="_Toc19695"/>
            <w:bookmarkStart w:id="3178" w:name="_Toc12979"/>
            <w:bookmarkStart w:id="3179" w:name="_Toc10869"/>
            <w:r>
              <w:rPr>
                <w:rFonts w:hint="eastAsia" w:cs="Times New Roman"/>
                <w:b/>
                <w:bCs/>
                <w:color w:val="auto"/>
                <w:sz w:val="21"/>
                <w:szCs w:val="21"/>
                <w:highlight w:val="none"/>
                <w:lang w:val="en-US" w:eastAsia="zh-CN"/>
              </w:rPr>
              <w:t>调出</w:t>
            </w:r>
            <w:bookmarkEnd w:id="3177"/>
            <w:bookmarkEnd w:id="3178"/>
            <w:bookmarkEnd w:id="3179"/>
          </w:p>
        </w:tc>
        <w:tc>
          <w:tcPr>
            <w:tcW w:w="1009" w:type="pct"/>
            <w:vMerge w:val="continue"/>
            <w:tcBorders>
              <w:tl2br w:val="nil"/>
              <w:tr2bl w:val="nil"/>
            </w:tcBorders>
            <w:shd w:val="clear" w:color="auto" w:fill="auto"/>
            <w:vAlign w:val="center"/>
          </w:tcPr>
          <w:p w14:paraId="394D20DE">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p>
        </w:tc>
      </w:tr>
      <w:tr w14:paraId="2FA728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54" w:type="pct"/>
            <w:tcBorders>
              <w:tl2br w:val="nil"/>
              <w:tr2bl w:val="nil"/>
            </w:tcBorders>
            <w:shd w:val="clear" w:color="auto" w:fill="FFFFFF"/>
            <w:vAlign w:val="center"/>
          </w:tcPr>
          <w:p w14:paraId="25FA354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180" w:name="_Toc6812"/>
            <w:bookmarkStart w:id="3181" w:name="_Toc22378"/>
            <w:bookmarkStart w:id="3182" w:name="_Toc2"/>
            <w:r>
              <w:rPr>
                <w:rFonts w:hint="default" w:ascii="Times New Roman" w:hAnsi="Times New Roman" w:eastAsia="宋体" w:cs="Times New Roman"/>
                <w:color w:val="auto"/>
                <w:sz w:val="21"/>
                <w:szCs w:val="21"/>
                <w:highlight w:val="none"/>
                <w:lang w:val="en-US" w:eastAsia="zh-CN"/>
              </w:rPr>
              <w:t>1</w:t>
            </w:r>
            <w:bookmarkEnd w:id="3180"/>
            <w:bookmarkEnd w:id="3181"/>
            <w:bookmarkEnd w:id="3182"/>
          </w:p>
        </w:tc>
        <w:tc>
          <w:tcPr>
            <w:tcW w:w="354" w:type="pct"/>
            <w:vMerge w:val="restart"/>
            <w:tcBorders>
              <w:tl2br w:val="nil"/>
              <w:tr2bl w:val="nil"/>
            </w:tcBorders>
            <w:shd w:val="clear" w:color="auto" w:fill="auto"/>
            <w:vAlign w:val="center"/>
          </w:tcPr>
          <w:p w14:paraId="173A7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i w:val="0"/>
                <w:iCs w:val="0"/>
                <w:color w:val="auto"/>
                <w:sz w:val="21"/>
                <w:szCs w:val="21"/>
                <w:highlight w:val="none"/>
                <w:u w:val="none"/>
                <w:lang w:eastAsia="zh-CN"/>
              </w:rPr>
            </w:pPr>
            <w:r>
              <w:rPr>
                <w:rFonts w:hint="eastAsia" w:ascii="Times New Roman" w:hAnsi="Times New Roman" w:cs="Times New Roman" w:eastAsiaTheme="minorEastAsia"/>
                <w:i w:val="0"/>
                <w:iCs w:val="0"/>
                <w:color w:val="auto"/>
                <w:sz w:val="21"/>
                <w:szCs w:val="21"/>
                <w:highlight w:val="none"/>
                <w:u w:val="none"/>
                <w:lang w:eastAsia="zh-CN"/>
              </w:rPr>
              <w:t>一期</w:t>
            </w:r>
          </w:p>
          <w:p w14:paraId="142C4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i w:val="0"/>
                <w:iCs w:val="0"/>
                <w:color w:val="auto"/>
                <w:sz w:val="21"/>
                <w:szCs w:val="21"/>
                <w:highlight w:val="none"/>
                <w:u w:val="none"/>
                <w:lang w:eastAsia="zh-CN"/>
              </w:rPr>
              <w:t>工程</w:t>
            </w:r>
          </w:p>
        </w:tc>
        <w:tc>
          <w:tcPr>
            <w:tcW w:w="810" w:type="pct"/>
            <w:tcBorders>
              <w:tl2br w:val="nil"/>
              <w:tr2bl w:val="nil"/>
            </w:tcBorders>
            <w:shd w:val="clear" w:color="auto" w:fill="auto"/>
            <w:vAlign w:val="center"/>
          </w:tcPr>
          <w:p w14:paraId="6D2084AE">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bookmarkStart w:id="3183" w:name="_Toc25081"/>
            <w:bookmarkStart w:id="3184" w:name="_Toc27989"/>
            <w:bookmarkStart w:id="3185" w:name="_Toc2915"/>
            <w:r>
              <w:rPr>
                <w:rFonts w:hint="eastAsia" w:ascii="Times New Roman" w:hAnsi="Times New Roman" w:eastAsia="宋体" w:cs="Times New Roman"/>
                <w:color w:val="auto"/>
                <w:sz w:val="21"/>
                <w:szCs w:val="21"/>
                <w:highlight w:val="none"/>
                <w:lang w:val="en-US" w:eastAsia="zh-CN"/>
              </w:rPr>
              <w:t>小河河道</w:t>
            </w:r>
            <w:bookmarkEnd w:id="3183"/>
            <w:bookmarkEnd w:id="3184"/>
            <w:bookmarkEnd w:id="3185"/>
          </w:p>
          <w:p w14:paraId="67AED446">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186" w:name="_Toc8858"/>
            <w:bookmarkStart w:id="3187" w:name="_Toc31211"/>
            <w:bookmarkStart w:id="3188" w:name="_Toc28365"/>
            <w:r>
              <w:rPr>
                <w:rFonts w:hint="eastAsia" w:ascii="Times New Roman" w:hAnsi="Times New Roman" w:eastAsia="宋体" w:cs="Times New Roman"/>
                <w:color w:val="auto"/>
                <w:sz w:val="21"/>
                <w:szCs w:val="21"/>
                <w:highlight w:val="none"/>
                <w:lang w:val="en-US" w:eastAsia="zh-CN"/>
              </w:rPr>
              <w:t>护岸工程</w:t>
            </w:r>
            <w:bookmarkEnd w:id="3186"/>
            <w:bookmarkEnd w:id="3187"/>
            <w:bookmarkEnd w:id="3188"/>
          </w:p>
        </w:tc>
        <w:tc>
          <w:tcPr>
            <w:tcW w:w="561" w:type="pct"/>
            <w:tcBorders>
              <w:tl2br w:val="nil"/>
              <w:tr2bl w:val="nil"/>
            </w:tcBorders>
            <w:shd w:val="clear" w:color="auto" w:fill="auto"/>
            <w:noWrap/>
            <w:vAlign w:val="center"/>
          </w:tcPr>
          <w:p w14:paraId="15CDCD5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189" w:name="_Toc1922"/>
            <w:bookmarkStart w:id="3190" w:name="_Toc21882"/>
            <w:bookmarkStart w:id="3191" w:name="_Toc6256"/>
            <w:r>
              <w:rPr>
                <w:rFonts w:hint="default" w:ascii="Times New Roman" w:hAnsi="Times New Roman" w:eastAsia="宋体" w:cs="Times New Roman"/>
                <w:color w:val="auto"/>
                <w:sz w:val="21"/>
                <w:szCs w:val="21"/>
                <w:highlight w:val="none"/>
                <w:lang w:val="en-US" w:eastAsia="zh-CN"/>
              </w:rPr>
              <w:t>0.52</w:t>
            </w:r>
            <w:bookmarkEnd w:id="3189"/>
            <w:bookmarkEnd w:id="3190"/>
            <w:bookmarkEnd w:id="3191"/>
          </w:p>
        </w:tc>
        <w:tc>
          <w:tcPr>
            <w:tcW w:w="404" w:type="pct"/>
            <w:tcBorders>
              <w:tl2br w:val="nil"/>
              <w:tr2bl w:val="nil"/>
            </w:tcBorders>
            <w:shd w:val="clear" w:color="auto" w:fill="auto"/>
            <w:noWrap/>
            <w:vAlign w:val="center"/>
          </w:tcPr>
          <w:p w14:paraId="7B9C3F2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192" w:name="_Toc23602"/>
            <w:bookmarkStart w:id="3193" w:name="_Toc29100"/>
            <w:bookmarkStart w:id="3194" w:name="_Toc484"/>
            <w:r>
              <w:rPr>
                <w:rFonts w:hint="default" w:ascii="Times New Roman" w:hAnsi="Times New Roman" w:eastAsia="宋体" w:cs="Times New Roman"/>
                <w:color w:val="auto"/>
                <w:sz w:val="21"/>
                <w:szCs w:val="21"/>
                <w:highlight w:val="none"/>
                <w:lang w:val="en-US" w:eastAsia="zh-CN"/>
              </w:rPr>
              <w:t>0.52</w:t>
            </w:r>
            <w:bookmarkEnd w:id="3192"/>
            <w:bookmarkEnd w:id="3193"/>
            <w:bookmarkEnd w:id="3194"/>
          </w:p>
        </w:tc>
        <w:tc>
          <w:tcPr>
            <w:tcW w:w="528" w:type="pct"/>
            <w:tcBorders>
              <w:tl2br w:val="nil"/>
              <w:tr2bl w:val="nil"/>
            </w:tcBorders>
            <w:shd w:val="clear" w:color="auto" w:fill="auto"/>
            <w:noWrap/>
            <w:vAlign w:val="center"/>
          </w:tcPr>
          <w:p w14:paraId="29424A9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195" w:name="_Toc11916"/>
            <w:bookmarkStart w:id="3196" w:name="_Toc17086"/>
            <w:bookmarkStart w:id="3197" w:name="_Toc26808"/>
            <w:r>
              <w:rPr>
                <w:rFonts w:hint="default" w:ascii="Times New Roman" w:hAnsi="Times New Roman" w:eastAsia="宋体" w:cs="Times New Roman"/>
                <w:color w:val="auto"/>
                <w:sz w:val="21"/>
                <w:szCs w:val="21"/>
                <w:highlight w:val="none"/>
                <w:lang w:val="en-US" w:eastAsia="zh-CN"/>
              </w:rPr>
              <w:t>0</w:t>
            </w:r>
            <w:bookmarkEnd w:id="3195"/>
            <w:bookmarkEnd w:id="3196"/>
            <w:bookmarkEnd w:id="3197"/>
          </w:p>
        </w:tc>
        <w:tc>
          <w:tcPr>
            <w:tcW w:w="457" w:type="pct"/>
            <w:tcBorders>
              <w:tl2br w:val="nil"/>
              <w:tr2bl w:val="nil"/>
            </w:tcBorders>
            <w:shd w:val="clear" w:color="auto" w:fill="auto"/>
            <w:noWrap/>
            <w:vAlign w:val="center"/>
          </w:tcPr>
          <w:p w14:paraId="50141A7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198" w:name="_Toc1619"/>
            <w:bookmarkStart w:id="3199" w:name="_Toc28440"/>
            <w:bookmarkStart w:id="3200" w:name="_Toc30280"/>
            <w:r>
              <w:rPr>
                <w:rFonts w:hint="default" w:ascii="Times New Roman" w:hAnsi="Times New Roman" w:eastAsia="宋体" w:cs="Times New Roman"/>
                <w:color w:val="auto"/>
                <w:sz w:val="21"/>
                <w:szCs w:val="21"/>
                <w:highlight w:val="none"/>
                <w:lang w:val="en-US" w:eastAsia="zh-CN"/>
              </w:rPr>
              <w:t>0</w:t>
            </w:r>
            <w:bookmarkEnd w:id="3198"/>
            <w:bookmarkEnd w:id="3199"/>
            <w:bookmarkEnd w:id="3200"/>
          </w:p>
        </w:tc>
        <w:tc>
          <w:tcPr>
            <w:tcW w:w="519" w:type="pct"/>
            <w:tcBorders>
              <w:tl2br w:val="nil"/>
              <w:tr2bl w:val="nil"/>
            </w:tcBorders>
            <w:shd w:val="clear" w:color="auto" w:fill="auto"/>
            <w:noWrap/>
            <w:vAlign w:val="center"/>
          </w:tcPr>
          <w:p w14:paraId="1E6CFCD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01" w:name="_Toc29193"/>
            <w:bookmarkStart w:id="3202" w:name="_Toc23464"/>
            <w:bookmarkStart w:id="3203" w:name="_Toc32042"/>
            <w:r>
              <w:rPr>
                <w:rFonts w:hint="eastAsia" w:cs="Times New Roman"/>
                <w:color w:val="auto"/>
                <w:sz w:val="21"/>
                <w:szCs w:val="21"/>
                <w:highlight w:val="none"/>
                <w:lang w:val="en-US" w:eastAsia="zh-CN"/>
              </w:rPr>
              <w:t>0</w:t>
            </w:r>
            <w:bookmarkEnd w:id="3201"/>
            <w:bookmarkEnd w:id="3202"/>
            <w:bookmarkEnd w:id="3203"/>
          </w:p>
        </w:tc>
        <w:tc>
          <w:tcPr>
            <w:tcW w:w="1009" w:type="pct"/>
            <w:tcBorders>
              <w:tl2br w:val="nil"/>
              <w:tr2bl w:val="nil"/>
            </w:tcBorders>
            <w:shd w:val="clear" w:color="auto" w:fill="auto"/>
            <w:noWrap/>
            <w:vAlign w:val="center"/>
          </w:tcPr>
          <w:p w14:paraId="4CE6736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2AAEA2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54" w:type="pct"/>
            <w:tcBorders>
              <w:tl2br w:val="nil"/>
              <w:tr2bl w:val="nil"/>
            </w:tcBorders>
            <w:shd w:val="clear" w:color="auto" w:fill="FFFFFF"/>
            <w:vAlign w:val="center"/>
          </w:tcPr>
          <w:p w14:paraId="122F77F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204" w:name="_Toc12086"/>
            <w:bookmarkStart w:id="3205" w:name="_Toc19199"/>
            <w:bookmarkStart w:id="3206" w:name="_Toc4723"/>
            <w:r>
              <w:rPr>
                <w:rFonts w:hint="default" w:ascii="Times New Roman" w:hAnsi="Times New Roman" w:eastAsia="宋体" w:cs="Times New Roman"/>
                <w:color w:val="auto"/>
                <w:sz w:val="21"/>
                <w:szCs w:val="21"/>
                <w:highlight w:val="none"/>
                <w:lang w:val="en-US" w:eastAsia="zh-CN"/>
              </w:rPr>
              <w:t>2</w:t>
            </w:r>
            <w:bookmarkEnd w:id="3204"/>
            <w:bookmarkEnd w:id="3205"/>
            <w:bookmarkEnd w:id="3206"/>
          </w:p>
        </w:tc>
        <w:tc>
          <w:tcPr>
            <w:tcW w:w="354" w:type="pct"/>
            <w:vMerge w:val="continue"/>
            <w:tcBorders>
              <w:tl2br w:val="nil"/>
              <w:tr2bl w:val="nil"/>
            </w:tcBorders>
            <w:shd w:val="clear" w:color="auto" w:fill="auto"/>
            <w:vAlign w:val="center"/>
          </w:tcPr>
          <w:p w14:paraId="48DAFF5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10" w:type="pct"/>
            <w:tcBorders>
              <w:tl2br w:val="nil"/>
              <w:tr2bl w:val="nil"/>
            </w:tcBorders>
            <w:shd w:val="clear" w:color="auto" w:fill="auto"/>
            <w:vAlign w:val="center"/>
          </w:tcPr>
          <w:p w14:paraId="1AB7E07F">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bookmarkStart w:id="3207" w:name="_Toc19374"/>
            <w:bookmarkStart w:id="3208" w:name="_Toc24328"/>
            <w:bookmarkStart w:id="3209" w:name="_Toc21836"/>
            <w:r>
              <w:rPr>
                <w:rFonts w:hint="eastAsia" w:ascii="Times New Roman" w:hAnsi="Times New Roman" w:eastAsia="宋体" w:cs="Times New Roman"/>
                <w:color w:val="auto"/>
                <w:sz w:val="21"/>
                <w:szCs w:val="21"/>
                <w:highlight w:val="none"/>
                <w:lang w:val="en-US" w:eastAsia="zh-CN"/>
              </w:rPr>
              <w:t>小河河道</w:t>
            </w:r>
            <w:bookmarkEnd w:id="3207"/>
            <w:bookmarkEnd w:id="3208"/>
            <w:bookmarkEnd w:id="3209"/>
          </w:p>
          <w:p w14:paraId="4CC4AC6E">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210" w:name="_Toc27509"/>
            <w:bookmarkStart w:id="3211" w:name="_Toc15227"/>
            <w:bookmarkStart w:id="3212" w:name="_Toc31597"/>
            <w:r>
              <w:rPr>
                <w:rFonts w:hint="eastAsia" w:ascii="Times New Roman" w:hAnsi="Times New Roman" w:eastAsia="宋体" w:cs="Times New Roman"/>
                <w:color w:val="auto"/>
                <w:sz w:val="21"/>
                <w:szCs w:val="21"/>
                <w:highlight w:val="none"/>
                <w:lang w:val="en-US" w:eastAsia="zh-CN"/>
              </w:rPr>
              <w:t>道路段</w:t>
            </w:r>
            <w:bookmarkEnd w:id="3210"/>
            <w:bookmarkEnd w:id="3211"/>
            <w:bookmarkEnd w:id="3212"/>
          </w:p>
        </w:tc>
        <w:tc>
          <w:tcPr>
            <w:tcW w:w="561" w:type="pct"/>
            <w:tcBorders>
              <w:tl2br w:val="nil"/>
              <w:tr2bl w:val="nil"/>
            </w:tcBorders>
            <w:shd w:val="clear" w:color="auto" w:fill="auto"/>
            <w:noWrap/>
            <w:vAlign w:val="center"/>
          </w:tcPr>
          <w:p w14:paraId="49027D8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13" w:name="_Toc24751"/>
            <w:bookmarkStart w:id="3214" w:name="_Toc17178"/>
            <w:bookmarkStart w:id="3215" w:name="_Toc6374"/>
            <w:r>
              <w:rPr>
                <w:rFonts w:hint="default" w:ascii="Times New Roman" w:hAnsi="Times New Roman" w:eastAsia="宋体" w:cs="Times New Roman"/>
                <w:color w:val="auto"/>
                <w:sz w:val="21"/>
                <w:szCs w:val="21"/>
                <w:highlight w:val="none"/>
                <w:lang w:val="en-US" w:eastAsia="zh-CN"/>
              </w:rPr>
              <w:t>1.15</w:t>
            </w:r>
            <w:bookmarkEnd w:id="3213"/>
            <w:bookmarkEnd w:id="3214"/>
            <w:bookmarkEnd w:id="3215"/>
          </w:p>
        </w:tc>
        <w:tc>
          <w:tcPr>
            <w:tcW w:w="404" w:type="pct"/>
            <w:tcBorders>
              <w:tl2br w:val="nil"/>
              <w:tr2bl w:val="nil"/>
            </w:tcBorders>
            <w:shd w:val="clear" w:color="auto" w:fill="auto"/>
            <w:noWrap/>
            <w:vAlign w:val="center"/>
          </w:tcPr>
          <w:p w14:paraId="28F0ABF8">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16" w:name="_Toc6140"/>
            <w:bookmarkStart w:id="3217" w:name="_Toc19266"/>
            <w:bookmarkStart w:id="3218" w:name="_Toc17629"/>
            <w:r>
              <w:rPr>
                <w:rFonts w:hint="default" w:ascii="Times New Roman" w:hAnsi="Times New Roman" w:eastAsia="宋体" w:cs="Times New Roman"/>
                <w:color w:val="auto"/>
                <w:sz w:val="21"/>
                <w:szCs w:val="21"/>
                <w:highlight w:val="none"/>
                <w:lang w:val="en-US" w:eastAsia="zh-CN"/>
              </w:rPr>
              <w:t>1.15</w:t>
            </w:r>
            <w:bookmarkEnd w:id="3216"/>
            <w:bookmarkEnd w:id="3217"/>
            <w:bookmarkEnd w:id="3218"/>
          </w:p>
        </w:tc>
        <w:tc>
          <w:tcPr>
            <w:tcW w:w="528" w:type="pct"/>
            <w:tcBorders>
              <w:tl2br w:val="nil"/>
              <w:tr2bl w:val="nil"/>
            </w:tcBorders>
            <w:shd w:val="clear" w:color="auto" w:fill="auto"/>
            <w:noWrap/>
            <w:vAlign w:val="center"/>
          </w:tcPr>
          <w:p w14:paraId="467F82D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19" w:name="_Toc8751"/>
            <w:bookmarkStart w:id="3220" w:name="_Toc15110"/>
            <w:bookmarkStart w:id="3221" w:name="_Toc21571"/>
            <w:r>
              <w:rPr>
                <w:rFonts w:hint="default" w:ascii="Times New Roman" w:hAnsi="Times New Roman" w:eastAsia="宋体" w:cs="Times New Roman"/>
                <w:color w:val="auto"/>
                <w:sz w:val="21"/>
                <w:szCs w:val="21"/>
                <w:highlight w:val="none"/>
                <w:lang w:val="en-US" w:eastAsia="zh-CN"/>
              </w:rPr>
              <w:t>0</w:t>
            </w:r>
            <w:bookmarkEnd w:id="3219"/>
            <w:bookmarkEnd w:id="3220"/>
            <w:bookmarkEnd w:id="3221"/>
          </w:p>
        </w:tc>
        <w:tc>
          <w:tcPr>
            <w:tcW w:w="457" w:type="pct"/>
            <w:tcBorders>
              <w:tl2br w:val="nil"/>
              <w:tr2bl w:val="nil"/>
            </w:tcBorders>
            <w:shd w:val="clear" w:color="auto" w:fill="auto"/>
            <w:noWrap/>
            <w:vAlign w:val="center"/>
          </w:tcPr>
          <w:p w14:paraId="0932827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22" w:name="_Toc3170"/>
            <w:bookmarkStart w:id="3223" w:name="_Toc5727"/>
            <w:bookmarkStart w:id="3224" w:name="_Toc23473"/>
            <w:r>
              <w:rPr>
                <w:rFonts w:hint="default" w:ascii="Times New Roman" w:hAnsi="Times New Roman" w:eastAsia="宋体" w:cs="Times New Roman"/>
                <w:color w:val="auto"/>
                <w:sz w:val="21"/>
                <w:szCs w:val="21"/>
                <w:highlight w:val="none"/>
                <w:lang w:val="en-US" w:eastAsia="zh-CN"/>
              </w:rPr>
              <w:t>0</w:t>
            </w:r>
            <w:bookmarkEnd w:id="3222"/>
            <w:bookmarkEnd w:id="3223"/>
            <w:bookmarkEnd w:id="3224"/>
          </w:p>
        </w:tc>
        <w:tc>
          <w:tcPr>
            <w:tcW w:w="519" w:type="pct"/>
            <w:tcBorders>
              <w:tl2br w:val="nil"/>
              <w:tr2bl w:val="nil"/>
            </w:tcBorders>
            <w:shd w:val="clear" w:color="auto" w:fill="auto"/>
            <w:noWrap/>
            <w:vAlign w:val="center"/>
          </w:tcPr>
          <w:p w14:paraId="24DA1EA8">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25" w:name="_Toc4224"/>
            <w:bookmarkStart w:id="3226" w:name="_Toc4633"/>
            <w:bookmarkStart w:id="3227" w:name="_Toc17307"/>
            <w:r>
              <w:rPr>
                <w:rFonts w:hint="eastAsia" w:cs="Times New Roman"/>
                <w:color w:val="auto"/>
                <w:sz w:val="21"/>
                <w:szCs w:val="21"/>
                <w:highlight w:val="none"/>
                <w:lang w:val="en-US" w:eastAsia="zh-CN"/>
              </w:rPr>
              <w:t>0</w:t>
            </w:r>
            <w:bookmarkEnd w:id="3225"/>
            <w:bookmarkEnd w:id="3226"/>
            <w:bookmarkEnd w:id="3227"/>
          </w:p>
        </w:tc>
        <w:tc>
          <w:tcPr>
            <w:tcW w:w="1009" w:type="pct"/>
            <w:tcBorders>
              <w:tl2br w:val="nil"/>
              <w:tr2bl w:val="nil"/>
            </w:tcBorders>
            <w:shd w:val="clear" w:color="auto" w:fill="auto"/>
            <w:noWrap/>
            <w:vAlign w:val="center"/>
          </w:tcPr>
          <w:p w14:paraId="3DE3DAC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7B06F0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54" w:type="pct"/>
            <w:tcBorders>
              <w:tl2br w:val="nil"/>
              <w:tr2bl w:val="nil"/>
            </w:tcBorders>
            <w:shd w:val="clear" w:color="auto" w:fill="FFFFFF"/>
            <w:vAlign w:val="center"/>
          </w:tcPr>
          <w:p w14:paraId="6CDE206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228" w:name="_Toc3196"/>
            <w:bookmarkStart w:id="3229" w:name="_Toc24717"/>
            <w:bookmarkStart w:id="3230" w:name="_Toc8290"/>
            <w:r>
              <w:rPr>
                <w:rFonts w:hint="default" w:ascii="Times New Roman" w:hAnsi="Times New Roman" w:eastAsia="宋体" w:cs="Times New Roman"/>
                <w:color w:val="auto"/>
                <w:sz w:val="21"/>
                <w:szCs w:val="21"/>
                <w:highlight w:val="none"/>
                <w:lang w:val="en-US" w:eastAsia="zh-CN"/>
              </w:rPr>
              <w:t>3</w:t>
            </w:r>
            <w:bookmarkEnd w:id="3228"/>
            <w:bookmarkEnd w:id="3229"/>
            <w:bookmarkEnd w:id="3230"/>
          </w:p>
        </w:tc>
        <w:tc>
          <w:tcPr>
            <w:tcW w:w="354" w:type="pct"/>
            <w:vMerge w:val="continue"/>
            <w:tcBorders>
              <w:tl2br w:val="nil"/>
              <w:tr2bl w:val="nil"/>
            </w:tcBorders>
            <w:shd w:val="clear" w:color="auto" w:fill="auto"/>
            <w:vAlign w:val="center"/>
          </w:tcPr>
          <w:p w14:paraId="28159DB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10" w:type="pct"/>
            <w:tcBorders>
              <w:tl2br w:val="nil"/>
              <w:tr2bl w:val="nil"/>
            </w:tcBorders>
            <w:shd w:val="clear" w:color="auto" w:fill="auto"/>
            <w:vAlign w:val="center"/>
          </w:tcPr>
          <w:p w14:paraId="720EF140">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bookmarkStart w:id="3231" w:name="_Toc30463"/>
            <w:bookmarkStart w:id="3232" w:name="_Toc13392"/>
            <w:bookmarkStart w:id="3233" w:name="_Toc12628"/>
            <w:r>
              <w:rPr>
                <w:rFonts w:hint="eastAsia" w:ascii="Times New Roman" w:hAnsi="Times New Roman" w:eastAsia="宋体" w:cs="Times New Roman"/>
                <w:color w:val="auto"/>
                <w:sz w:val="21"/>
                <w:szCs w:val="21"/>
                <w:highlight w:val="none"/>
                <w:lang w:val="en-US" w:eastAsia="zh-CN"/>
              </w:rPr>
              <w:t>川口河段</w:t>
            </w:r>
            <w:bookmarkEnd w:id="3231"/>
            <w:bookmarkEnd w:id="3232"/>
            <w:bookmarkEnd w:id="3233"/>
          </w:p>
          <w:p w14:paraId="578934B7">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234" w:name="_Toc3986"/>
            <w:bookmarkStart w:id="3235" w:name="_Toc32557"/>
            <w:bookmarkStart w:id="3236" w:name="_Toc11006"/>
            <w:r>
              <w:rPr>
                <w:rFonts w:hint="eastAsia" w:ascii="Times New Roman" w:hAnsi="Times New Roman" w:eastAsia="宋体" w:cs="Times New Roman"/>
                <w:color w:val="auto"/>
                <w:sz w:val="21"/>
                <w:szCs w:val="21"/>
                <w:highlight w:val="none"/>
                <w:lang w:val="en-US" w:eastAsia="zh-CN"/>
              </w:rPr>
              <w:t>河道</w:t>
            </w:r>
            <w:r>
              <w:rPr>
                <w:rFonts w:hint="eastAsia" w:cs="Times New Roman"/>
                <w:color w:val="auto"/>
                <w:sz w:val="21"/>
                <w:szCs w:val="21"/>
                <w:highlight w:val="none"/>
                <w:lang w:val="en-US" w:eastAsia="zh-CN"/>
              </w:rPr>
              <w:t>疏浚</w:t>
            </w:r>
            <w:bookmarkEnd w:id="3234"/>
            <w:bookmarkEnd w:id="3235"/>
            <w:bookmarkEnd w:id="3236"/>
          </w:p>
        </w:tc>
        <w:tc>
          <w:tcPr>
            <w:tcW w:w="561" w:type="pct"/>
            <w:tcBorders>
              <w:tl2br w:val="nil"/>
              <w:tr2bl w:val="nil"/>
            </w:tcBorders>
            <w:shd w:val="clear" w:color="auto" w:fill="auto"/>
            <w:noWrap/>
            <w:vAlign w:val="center"/>
          </w:tcPr>
          <w:p w14:paraId="0CD7FAF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37" w:name="_Toc19529"/>
            <w:bookmarkStart w:id="3238" w:name="_Toc8971"/>
            <w:bookmarkStart w:id="3239" w:name="_Toc14932"/>
            <w:r>
              <w:rPr>
                <w:rFonts w:hint="default" w:ascii="Times New Roman" w:hAnsi="Times New Roman" w:eastAsia="宋体" w:cs="Times New Roman"/>
                <w:color w:val="auto"/>
                <w:sz w:val="21"/>
                <w:szCs w:val="21"/>
                <w:highlight w:val="none"/>
                <w:lang w:val="en-US" w:eastAsia="zh-CN"/>
              </w:rPr>
              <w:t>13.14</w:t>
            </w:r>
            <w:bookmarkEnd w:id="3237"/>
            <w:bookmarkEnd w:id="3238"/>
            <w:bookmarkEnd w:id="3239"/>
          </w:p>
        </w:tc>
        <w:tc>
          <w:tcPr>
            <w:tcW w:w="404" w:type="pct"/>
            <w:tcBorders>
              <w:tl2br w:val="nil"/>
              <w:tr2bl w:val="nil"/>
            </w:tcBorders>
            <w:shd w:val="clear" w:color="auto" w:fill="auto"/>
            <w:noWrap/>
            <w:vAlign w:val="center"/>
          </w:tcPr>
          <w:p w14:paraId="1F8D287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40" w:name="_Toc11028"/>
            <w:bookmarkStart w:id="3241" w:name="_Toc2996"/>
            <w:bookmarkStart w:id="3242" w:name="_Toc31159"/>
            <w:r>
              <w:rPr>
                <w:rFonts w:hint="default" w:ascii="Times New Roman" w:hAnsi="Times New Roman" w:eastAsia="宋体" w:cs="Times New Roman"/>
                <w:color w:val="auto"/>
                <w:sz w:val="21"/>
                <w:szCs w:val="21"/>
                <w:highlight w:val="none"/>
                <w:lang w:val="en-US" w:eastAsia="zh-CN"/>
              </w:rPr>
              <w:t>8.87</w:t>
            </w:r>
            <w:bookmarkEnd w:id="3240"/>
            <w:bookmarkEnd w:id="3241"/>
            <w:bookmarkEnd w:id="3242"/>
          </w:p>
        </w:tc>
        <w:tc>
          <w:tcPr>
            <w:tcW w:w="528" w:type="pct"/>
            <w:tcBorders>
              <w:tl2br w:val="nil"/>
              <w:tr2bl w:val="nil"/>
            </w:tcBorders>
            <w:shd w:val="clear" w:color="auto" w:fill="auto"/>
            <w:noWrap/>
            <w:vAlign w:val="center"/>
          </w:tcPr>
          <w:p w14:paraId="7921490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43" w:name="_Toc20968"/>
            <w:bookmarkStart w:id="3244" w:name="_Toc2137"/>
            <w:bookmarkStart w:id="3245" w:name="_Toc10365"/>
            <w:r>
              <w:rPr>
                <w:rFonts w:hint="eastAsia" w:cs="Times New Roman"/>
                <w:color w:val="auto"/>
                <w:sz w:val="21"/>
                <w:szCs w:val="21"/>
                <w:highlight w:val="none"/>
                <w:lang w:val="en-US" w:eastAsia="zh-CN"/>
              </w:rPr>
              <w:t>0</w:t>
            </w:r>
            <w:bookmarkEnd w:id="3243"/>
            <w:bookmarkEnd w:id="3244"/>
            <w:bookmarkEnd w:id="3245"/>
          </w:p>
        </w:tc>
        <w:tc>
          <w:tcPr>
            <w:tcW w:w="457" w:type="pct"/>
            <w:tcBorders>
              <w:tl2br w:val="nil"/>
              <w:tr2bl w:val="nil"/>
            </w:tcBorders>
            <w:shd w:val="clear" w:color="auto" w:fill="auto"/>
            <w:noWrap/>
            <w:vAlign w:val="center"/>
          </w:tcPr>
          <w:p w14:paraId="51E17BD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46" w:name="_Toc4898"/>
            <w:bookmarkStart w:id="3247" w:name="_Toc4786"/>
            <w:bookmarkStart w:id="3248" w:name="_Toc12851"/>
            <w:r>
              <w:rPr>
                <w:rFonts w:hint="eastAsia" w:cs="Times New Roman"/>
                <w:color w:val="auto"/>
                <w:sz w:val="21"/>
                <w:szCs w:val="21"/>
                <w:highlight w:val="none"/>
                <w:lang w:val="en-US" w:eastAsia="zh-CN"/>
              </w:rPr>
              <w:t>0</w:t>
            </w:r>
            <w:bookmarkEnd w:id="3246"/>
            <w:bookmarkEnd w:id="3247"/>
            <w:bookmarkEnd w:id="3248"/>
          </w:p>
        </w:tc>
        <w:tc>
          <w:tcPr>
            <w:tcW w:w="519" w:type="pct"/>
            <w:tcBorders>
              <w:tl2br w:val="nil"/>
              <w:tr2bl w:val="nil"/>
            </w:tcBorders>
            <w:shd w:val="clear" w:color="auto" w:fill="auto"/>
            <w:noWrap/>
            <w:vAlign w:val="center"/>
          </w:tcPr>
          <w:p w14:paraId="72852808">
            <w:pPr>
              <w:pStyle w:val="29"/>
              <w:suppressLineNumbers w:val="0"/>
              <w:bidi w:val="0"/>
              <w:spacing w:beforeAutospacing="0" w:afterAutospacing="0"/>
              <w:ind w:left="0" w:leftChars="0" w:right="0" w:rightChars="0" w:firstLine="0" w:firstLineChars="0"/>
              <w:jc w:val="center"/>
              <w:rPr>
                <w:rFonts w:hint="eastAsia" w:cs="Times New Roman"/>
                <w:color w:val="auto"/>
                <w:sz w:val="21"/>
                <w:szCs w:val="21"/>
                <w:highlight w:val="none"/>
                <w:lang w:val="en-US" w:eastAsia="zh-CN"/>
              </w:rPr>
            </w:pPr>
            <w:bookmarkStart w:id="3249" w:name="_Toc24911"/>
            <w:bookmarkStart w:id="3250" w:name="_Toc18011"/>
            <w:bookmarkStart w:id="3251" w:name="_Toc2948"/>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4.27</w:t>
            </w:r>
            <w:bookmarkEnd w:id="3249"/>
            <w:bookmarkEnd w:id="3250"/>
            <w:bookmarkEnd w:id="3251"/>
          </w:p>
        </w:tc>
        <w:tc>
          <w:tcPr>
            <w:tcW w:w="1009" w:type="pct"/>
            <w:tcBorders>
              <w:tl2br w:val="nil"/>
              <w:tr2bl w:val="nil"/>
            </w:tcBorders>
            <w:shd w:val="clear" w:color="auto" w:fill="auto"/>
            <w:noWrap/>
            <w:vAlign w:val="center"/>
          </w:tcPr>
          <w:p w14:paraId="4E74A06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52" w:name="_Toc13211"/>
            <w:bookmarkStart w:id="3253" w:name="_Toc27118"/>
            <w:bookmarkStart w:id="3254" w:name="_Toc4850"/>
            <w:r>
              <w:rPr>
                <w:rFonts w:hint="default" w:ascii="Times New Roman" w:hAnsi="Times New Roman" w:eastAsia="宋体" w:cs="Times New Roman"/>
                <w:color w:val="auto"/>
                <w:sz w:val="21"/>
                <w:szCs w:val="21"/>
                <w:highlight w:val="none"/>
                <w:lang w:val="en-US" w:eastAsia="zh-CN"/>
              </w:rPr>
              <w:t>多余土方</w:t>
            </w:r>
            <w:r>
              <w:rPr>
                <w:rFonts w:hint="eastAsia" w:cs="Times New Roman"/>
                <w:color w:val="auto"/>
                <w:sz w:val="21"/>
                <w:szCs w:val="21"/>
                <w:highlight w:val="none"/>
                <w:lang w:val="en-US" w:eastAsia="zh-CN"/>
              </w:rPr>
              <w:t>用于</w:t>
            </w:r>
            <w:r>
              <w:rPr>
                <w:rFonts w:hint="eastAsia" w:ascii="Times New Roman" w:hAnsi="Times New Roman" w:eastAsia="宋体" w:cs="Times New Roman"/>
                <w:color w:val="auto"/>
                <w:sz w:val="21"/>
                <w:szCs w:val="21"/>
                <w:highlight w:val="none"/>
                <w:lang w:val="en-US" w:eastAsia="zh-CN"/>
              </w:rPr>
              <w:t>川口河段护岸工程</w:t>
            </w:r>
            <w:bookmarkEnd w:id="3252"/>
            <w:bookmarkEnd w:id="3253"/>
            <w:bookmarkEnd w:id="3254"/>
          </w:p>
        </w:tc>
      </w:tr>
      <w:tr w14:paraId="732AA7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54" w:type="pct"/>
            <w:tcBorders>
              <w:tl2br w:val="nil"/>
              <w:tr2bl w:val="nil"/>
            </w:tcBorders>
            <w:shd w:val="clear" w:color="auto" w:fill="auto"/>
            <w:noWrap/>
            <w:vAlign w:val="center"/>
          </w:tcPr>
          <w:p w14:paraId="60BEF4FB">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55" w:name="_Toc24103"/>
            <w:bookmarkStart w:id="3256" w:name="_Toc5987"/>
            <w:bookmarkStart w:id="3257" w:name="_Toc10257"/>
            <w:r>
              <w:rPr>
                <w:rFonts w:hint="eastAsia" w:cs="Times New Roman"/>
                <w:color w:val="auto"/>
                <w:sz w:val="21"/>
                <w:szCs w:val="21"/>
                <w:highlight w:val="none"/>
                <w:lang w:val="en-US" w:eastAsia="zh-CN"/>
              </w:rPr>
              <w:t>5</w:t>
            </w:r>
            <w:bookmarkEnd w:id="3255"/>
            <w:bookmarkEnd w:id="3256"/>
            <w:bookmarkEnd w:id="3257"/>
          </w:p>
        </w:tc>
        <w:tc>
          <w:tcPr>
            <w:tcW w:w="354" w:type="pct"/>
            <w:vMerge w:val="continue"/>
            <w:tcBorders>
              <w:tl2br w:val="nil"/>
              <w:tr2bl w:val="nil"/>
            </w:tcBorders>
            <w:shd w:val="clear" w:color="auto" w:fill="auto"/>
            <w:noWrap/>
            <w:vAlign w:val="center"/>
          </w:tcPr>
          <w:p w14:paraId="26BC5F4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10" w:type="pct"/>
            <w:tcBorders>
              <w:tl2br w:val="nil"/>
              <w:tr2bl w:val="nil"/>
            </w:tcBorders>
            <w:shd w:val="clear" w:color="auto" w:fill="auto"/>
            <w:noWrap/>
            <w:vAlign w:val="center"/>
          </w:tcPr>
          <w:p w14:paraId="0E22AD3B">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bookmarkStart w:id="3258" w:name="_Toc16716"/>
            <w:bookmarkStart w:id="3259" w:name="_Toc10089"/>
            <w:bookmarkStart w:id="3260" w:name="_Toc16807"/>
            <w:r>
              <w:rPr>
                <w:rFonts w:hint="eastAsia" w:ascii="Times New Roman" w:hAnsi="Times New Roman" w:eastAsia="宋体" w:cs="Times New Roman"/>
                <w:color w:val="auto"/>
                <w:sz w:val="21"/>
                <w:szCs w:val="21"/>
                <w:highlight w:val="none"/>
                <w:lang w:val="en-US" w:eastAsia="zh-CN"/>
              </w:rPr>
              <w:t>川口河段</w:t>
            </w:r>
            <w:bookmarkEnd w:id="3258"/>
            <w:bookmarkEnd w:id="3259"/>
            <w:bookmarkEnd w:id="3260"/>
          </w:p>
          <w:p w14:paraId="750CD8FF">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261" w:name="_Toc25002"/>
            <w:bookmarkStart w:id="3262" w:name="_Toc28537"/>
            <w:bookmarkStart w:id="3263" w:name="_Toc23643"/>
            <w:r>
              <w:rPr>
                <w:rFonts w:hint="eastAsia" w:ascii="Times New Roman" w:hAnsi="Times New Roman" w:eastAsia="宋体" w:cs="Times New Roman"/>
                <w:color w:val="auto"/>
                <w:sz w:val="21"/>
                <w:szCs w:val="21"/>
                <w:highlight w:val="none"/>
                <w:lang w:val="en-US" w:eastAsia="zh-CN"/>
              </w:rPr>
              <w:t>道路段</w:t>
            </w:r>
            <w:bookmarkEnd w:id="3261"/>
            <w:bookmarkEnd w:id="3262"/>
            <w:bookmarkEnd w:id="3263"/>
          </w:p>
        </w:tc>
        <w:tc>
          <w:tcPr>
            <w:tcW w:w="561" w:type="pct"/>
            <w:tcBorders>
              <w:tl2br w:val="nil"/>
              <w:tr2bl w:val="nil"/>
            </w:tcBorders>
            <w:shd w:val="clear" w:color="auto" w:fill="auto"/>
            <w:noWrap/>
            <w:vAlign w:val="center"/>
          </w:tcPr>
          <w:p w14:paraId="55F55D0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64" w:name="_Toc7753"/>
            <w:bookmarkStart w:id="3265" w:name="_Toc25596"/>
            <w:bookmarkStart w:id="3266" w:name="_Toc15965"/>
            <w:r>
              <w:rPr>
                <w:rFonts w:hint="default" w:ascii="Times New Roman" w:hAnsi="Times New Roman" w:eastAsia="宋体" w:cs="Times New Roman"/>
                <w:color w:val="auto"/>
                <w:sz w:val="21"/>
                <w:szCs w:val="21"/>
                <w:highlight w:val="none"/>
                <w:lang w:val="en-US" w:eastAsia="zh-CN"/>
              </w:rPr>
              <w:t>0.9</w:t>
            </w:r>
            <w:r>
              <w:rPr>
                <w:rFonts w:hint="eastAsia" w:cs="Times New Roman"/>
                <w:color w:val="auto"/>
                <w:sz w:val="21"/>
                <w:szCs w:val="21"/>
                <w:highlight w:val="none"/>
                <w:lang w:val="en-US" w:eastAsia="zh-CN"/>
              </w:rPr>
              <w:t>3</w:t>
            </w:r>
            <w:bookmarkEnd w:id="3264"/>
            <w:bookmarkEnd w:id="3265"/>
            <w:bookmarkEnd w:id="3266"/>
          </w:p>
        </w:tc>
        <w:tc>
          <w:tcPr>
            <w:tcW w:w="404" w:type="pct"/>
            <w:tcBorders>
              <w:tl2br w:val="nil"/>
              <w:tr2bl w:val="nil"/>
            </w:tcBorders>
            <w:shd w:val="clear" w:color="auto" w:fill="auto"/>
            <w:noWrap/>
            <w:vAlign w:val="center"/>
          </w:tcPr>
          <w:p w14:paraId="00EFCCA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67" w:name="_Toc12541"/>
            <w:bookmarkStart w:id="3268" w:name="_Toc1697"/>
            <w:bookmarkStart w:id="3269" w:name="_Toc17495"/>
            <w:r>
              <w:rPr>
                <w:rFonts w:hint="default" w:ascii="Times New Roman" w:hAnsi="Times New Roman" w:eastAsia="宋体" w:cs="Times New Roman"/>
                <w:color w:val="auto"/>
                <w:sz w:val="21"/>
                <w:szCs w:val="21"/>
                <w:highlight w:val="none"/>
                <w:lang w:val="en-US" w:eastAsia="zh-CN"/>
              </w:rPr>
              <w:t>0.78</w:t>
            </w:r>
            <w:bookmarkEnd w:id="3267"/>
            <w:bookmarkEnd w:id="3268"/>
            <w:bookmarkEnd w:id="3269"/>
          </w:p>
        </w:tc>
        <w:tc>
          <w:tcPr>
            <w:tcW w:w="528" w:type="pct"/>
            <w:tcBorders>
              <w:tl2br w:val="nil"/>
              <w:tr2bl w:val="nil"/>
            </w:tcBorders>
            <w:shd w:val="clear" w:color="auto" w:fill="auto"/>
            <w:noWrap/>
            <w:vAlign w:val="center"/>
          </w:tcPr>
          <w:p w14:paraId="076E051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70" w:name="_Toc22359"/>
            <w:bookmarkStart w:id="3271" w:name="_Toc10560"/>
            <w:bookmarkStart w:id="3272" w:name="_Toc31204"/>
            <w:r>
              <w:rPr>
                <w:rFonts w:hint="eastAsia" w:cs="Times New Roman"/>
                <w:color w:val="auto"/>
                <w:sz w:val="21"/>
                <w:szCs w:val="21"/>
                <w:highlight w:val="none"/>
                <w:lang w:val="en-US" w:eastAsia="zh-CN"/>
              </w:rPr>
              <w:t>0</w:t>
            </w:r>
            <w:bookmarkEnd w:id="3270"/>
            <w:bookmarkEnd w:id="3271"/>
            <w:bookmarkEnd w:id="3272"/>
          </w:p>
        </w:tc>
        <w:tc>
          <w:tcPr>
            <w:tcW w:w="457" w:type="pct"/>
            <w:tcBorders>
              <w:tl2br w:val="nil"/>
              <w:tr2bl w:val="nil"/>
            </w:tcBorders>
            <w:shd w:val="clear" w:color="auto" w:fill="auto"/>
            <w:noWrap/>
            <w:vAlign w:val="center"/>
          </w:tcPr>
          <w:p w14:paraId="18A353B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73" w:name="_Toc16604"/>
            <w:bookmarkStart w:id="3274" w:name="_Toc13175"/>
            <w:bookmarkStart w:id="3275" w:name="_Toc3424"/>
            <w:r>
              <w:rPr>
                <w:rFonts w:hint="eastAsia" w:cs="Times New Roman"/>
                <w:color w:val="auto"/>
                <w:sz w:val="21"/>
                <w:szCs w:val="21"/>
                <w:highlight w:val="none"/>
                <w:lang w:val="en-US" w:eastAsia="zh-CN"/>
              </w:rPr>
              <w:t>0</w:t>
            </w:r>
            <w:bookmarkEnd w:id="3273"/>
            <w:bookmarkEnd w:id="3274"/>
            <w:bookmarkEnd w:id="3275"/>
          </w:p>
        </w:tc>
        <w:tc>
          <w:tcPr>
            <w:tcW w:w="519" w:type="pct"/>
            <w:tcBorders>
              <w:tl2br w:val="nil"/>
              <w:tr2bl w:val="nil"/>
            </w:tcBorders>
            <w:shd w:val="clear" w:color="auto" w:fill="auto"/>
            <w:noWrap/>
            <w:vAlign w:val="center"/>
          </w:tcPr>
          <w:p w14:paraId="4583CBFC">
            <w:pPr>
              <w:pStyle w:val="29"/>
              <w:suppressLineNumbers w:val="0"/>
              <w:bidi w:val="0"/>
              <w:spacing w:beforeAutospacing="0" w:afterAutospacing="0"/>
              <w:ind w:left="0" w:leftChars="0" w:right="0" w:rightChars="0" w:firstLine="0" w:firstLineChars="0"/>
              <w:jc w:val="center"/>
              <w:rPr>
                <w:rFonts w:hint="eastAsia" w:cs="Times New Roman"/>
                <w:color w:val="auto"/>
                <w:sz w:val="21"/>
                <w:szCs w:val="21"/>
                <w:highlight w:val="none"/>
                <w:lang w:val="en-US" w:eastAsia="zh-CN"/>
              </w:rPr>
            </w:pPr>
            <w:bookmarkStart w:id="3276" w:name="_Toc17586"/>
            <w:bookmarkStart w:id="3277" w:name="_Toc2094"/>
            <w:bookmarkStart w:id="3278" w:name="_Toc22753"/>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.15</w:t>
            </w:r>
            <w:bookmarkEnd w:id="3276"/>
            <w:bookmarkEnd w:id="3277"/>
            <w:bookmarkEnd w:id="3278"/>
          </w:p>
        </w:tc>
        <w:tc>
          <w:tcPr>
            <w:tcW w:w="1009" w:type="pct"/>
            <w:tcBorders>
              <w:tl2br w:val="nil"/>
              <w:tr2bl w:val="nil"/>
            </w:tcBorders>
            <w:shd w:val="clear" w:color="auto" w:fill="auto"/>
            <w:noWrap/>
            <w:vAlign w:val="center"/>
          </w:tcPr>
          <w:p w14:paraId="056430B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79" w:name="_Toc5179"/>
            <w:bookmarkStart w:id="3280" w:name="_Toc23718"/>
            <w:bookmarkStart w:id="3281" w:name="_Toc5481"/>
            <w:r>
              <w:rPr>
                <w:rFonts w:hint="default" w:ascii="Times New Roman" w:hAnsi="Times New Roman" w:eastAsia="宋体" w:cs="Times New Roman"/>
                <w:color w:val="auto"/>
                <w:sz w:val="21"/>
                <w:szCs w:val="21"/>
                <w:highlight w:val="none"/>
                <w:lang w:val="en-US" w:eastAsia="zh-CN"/>
              </w:rPr>
              <w:t>多余土方</w:t>
            </w:r>
            <w:r>
              <w:rPr>
                <w:rFonts w:hint="eastAsia" w:cs="Times New Roman"/>
                <w:color w:val="auto"/>
                <w:sz w:val="21"/>
                <w:szCs w:val="21"/>
                <w:highlight w:val="none"/>
                <w:lang w:val="en-US" w:eastAsia="zh-CN"/>
              </w:rPr>
              <w:t>用于</w:t>
            </w:r>
            <w:r>
              <w:rPr>
                <w:rFonts w:hint="eastAsia" w:ascii="Times New Roman" w:hAnsi="Times New Roman" w:eastAsia="宋体" w:cs="Times New Roman"/>
                <w:color w:val="auto"/>
                <w:sz w:val="21"/>
                <w:szCs w:val="21"/>
                <w:highlight w:val="none"/>
                <w:lang w:val="en-US" w:eastAsia="zh-CN"/>
              </w:rPr>
              <w:t>川口河段护岸工程</w:t>
            </w:r>
            <w:bookmarkEnd w:id="3279"/>
            <w:bookmarkEnd w:id="3280"/>
            <w:bookmarkEnd w:id="3281"/>
          </w:p>
        </w:tc>
      </w:tr>
      <w:tr w14:paraId="208C7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54" w:type="pct"/>
            <w:tcBorders>
              <w:tl2br w:val="nil"/>
              <w:tr2bl w:val="nil"/>
            </w:tcBorders>
            <w:shd w:val="clear" w:color="auto" w:fill="auto"/>
            <w:noWrap/>
            <w:vAlign w:val="center"/>
          </w:tcPr>
          <w:p w14:paraId="37659CF8">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82" w:name="_Toc23368"/>
            <w:bookmarkStart w:id="3283" w:name="_Toc15485"/>
            <w:bookmarkStart w:id="3284" w:name="_Toc14688"/>
            <w:r>
              <w:rPr>
                <w:rFonts w:hint="eastAsia" w:cs="Times New Roman"/>
                <w:color w:val="auto"/>
                <w:sz w:val="21"/>
                <w:szCs w:val="21"/>
                <w:highlight w:val="none"/>
                <w:lang w:val="en-US" w:eastAsia="zh-CN"/>
              </w:rPr>
              <w:t>6</w:t>
            </w:r>
            <w:bookmarkEnd w:id="3282"/>
            <w:bookmarkEnd w:id="3283"/>
            <w:bookmarkEnd w:id="3284"/>
          </w:p>
        </w:tc>
        <w:tc>
          <w:tcPr>
            <w:tcW w:w="354" w:type="pct"/>
            <w:vMerge w:val="continue"/>
            <w:tcBorders>
              <w:tl2br w:val="nil"/>
              <w:tr2bl w:val="nil"/>
            </w:tcBorders>
            <w:shd w:val="clear" w:color="auto" w:fill="auto"/>
            <w:noWrap/>
            <w:vAlign w:val="center"/>
          </w:tcPr>
          <w:p w14:paraId="5807BFE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10" w:type="pct"/>
            <w:tcBorders>
              <w:tl2br w:val="nil"/>
              <w:tr2bl w:val="nil"/>
            </w:tcBorders>
            <w:shd w:val="clear" w:color="auto" w:fill="auto"/>
            <w:noWrap/>
            <w:vAlign w:val="center"/>
          </w:tcPr>
          <w:p w14:paraId="02B9E284">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bookmarkStart w:id="3285" w:name="_Toc16783"/>
            <w:bookmarkStart w:id="3286" w:name="_Toc20972"/>
            <w:bookmarkStart w:id="3287" w:name="_Toc24583"/>
            <w:r>
              <w:rPr>
                <w:rFonts w:hint="eastAsia" w:ascii="Times New Roman" w:hAnsi="Times New Roman" w:eastAsia="宋体" w:cs="Times New Roman"/>
                <w:color w:val="auto"/>
                <w:sz w:val="21"/>
                <w:szCs w:val="21"/>
                <w:highlight w:val="none"/>
                <w:lang w:val="en-US" w:eastAsia="zh-CN"/>
              </w:rPr>
              <w:t>川口河段</w:t>
            </w:r>
            <w:bookmarkEnd w:id="3285"/>
            <w:bookmarkEnd w:id="3286"/>
            <w:bookmarkEnd w:id="3287"/>
          </w:p>
          <w:p w14:paraId="3EB70A2E">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288" w:name="_Toc23884"/>
            <w:bookmarkStart w:id="3289" w:name="_Toc5823"/>
            <w:bookmarkStart w:id="3290" w:name="_Toc5169"/>
            <w:r>
              <w:rPr>
                <w:rFonts w:hint="eastAsia" w:ascii="Times New Roman" w:hAnsi="Times New Roman" w:eastAsia="宋体" w:cs="Times New Roman"/>
                <w:color w:val="auto"/>
                <w:sz w:val="21"/>
                <w:szCs w:val="21"/>
                <w:highlight w:val="none"/>
                <w:lang w:val="en-US" w:eastAsia="zh-CN"/>
              </w:rPr>
              <w:t>护岸工程</w:t>
            </w:r>
            <w:bookmarkEnd w:id="3288"/>
            <w:bookmarkEnd w:id="3289"/>
            <w:bookmarkEnd w:id="3290"/>
          </w:p>
        </w:tc>
        <w:tc>
          <w:tcPr>
            <w:tcW w:w="561" w:type="pct"/>
            <w:tcBorders>
              <w:tl2br w:val="nil"/>
              <w:tr2bl w:val="nil"/>
            </w:tcBorders>
            <w:shd w:val="clear" w:color="auto" w:fill="auto"/>
            <w:noWrap/>
            <w:vAlign w:val="center"/>
          </w:tcPr>
          <w:p w14:paraId="12A75FBB">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91" w:name="_Toc27585"/>
            <w:bookmarkStart w:id="3292" w:name="_Toc15211"/>
            <w:bookmarkStart w:id="3293" w:name="_Toc12911"/>
            <w:r>
              <w:rPr>
                <w:rFonts w:hint="default" w:ascii="Times New Roman" w:hAnsi="Times New Roman" w:eastAsia="宋体" w:cs="Times New Roman"/>
                <w:color w:val="auto"/>
                <w:sz w:val="21"/>
                <w:szCs w:val="21"/>
                <w:highlight w:val="none"/>
                <w:lang w:val="en-US" w:eastAsia="zh-CN"/>
              </w:rPr>
              <w:t>1.19</w:t>
            </w:r>
            <w:bookmarkEnd w:id="3291"/>
            <w:bookmarkEnd w:id="3292"/>
            <w:bookmarkEnd w:id="3293"/>
          </w:p>
        </w:tc>
        <w:tc>
          <w:tcPr>
            <w:tcW w:w="404" w:type="pct"/>
            <w:tcBorders>
              <w:tl2br w:val="nil"/>
              <w:tr2bl w:val="nil"/>
            </w:tcBorders>
            <w:shd w:val="clear" w:color="auto" w:fill="auto"/>
            <w:noWrap/>
            <w:vAlign w:val="center"/>
          </w:tcPr>
          <w:p w14:paraId="52673B9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94" w:name="_Toc30661"/>
            <w:bookmarkStart w:id="3295" w:name="_Toc21932"/>
            <w:bookmarkStart w:id="3296" w:name="_Toc16235"/>
            <w:r>
              <w:rPr>
                <w:rFonts w:hint="default" w:ascii="Times New Roman" w:hAnsi="Times New Roman" w:eastAsia="宋体" w:cs="Times New Roman"/>
                <w:color w:val="auto"/>
                <w:sz w:val="21"/>
                <w:szCs w:val="21"/>
                <w:highlight w:val="none"/>
                <w:lang w:val="en-US" w:eastAsia="zh-CN"/>
              </w:rPr>
              <w:t>5.61</w:t>
            </w:r>
            <w:bookmarkEnd w:id="3294"/>
            <w:bookmarkEnd w:id="3295"/>
            <w:bookmarkEnd w:id="3296"/>
          </w:p>
        </w:tc>
        <w:tc>
          <w:tcPr>
            <w:tcW w:w="528" w:type="pct"/>
            <w:tcBorders>
              <w:tl2br w:val="nil"/>
              <w:tr2bl w:val="nil"/>
            </w:tcBorders>
            <w:shd w:val="clear" w:color="auto" w:fill="auto"/>
            <w:noWrap/>
            <w:vAlign w:val="center"/>
          </w:tcPr>
          <w:p w14:paraId="3AC98D6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297" w:name="_Toc20548"/>
            <w:bookmarkStart w:id="3298" w:name="_Toc8135"/>
            <w:bookmarkStart w:id="3299" w:name="_Toc4847"/>
            <w:r>
              <w:rPr>
                <w:rFonts w:hint="default" w:ascii="Times New Roman" w:hAnsi="Times New Roman" w:eastAsia="宋体" w:cs="Times New Roman"/>
                <w:color w:val="auto"/>
                <w:sz w:val="21"/>
                <w:szCs w:val="21"/>
                <w:highlight w:val="none"/>
                <w:lang w:val="en-US" w:eastAsia="zh-CN"/>
              </w:rPr>
              <w:t>0</w:t>
            </w:r>
            <w:bookmarkEnd w:id="3297"/>
            <w:bookmarkEnd w:id="3298"/>
            <w:bookmarkEnd w:id="3299"/>
          </w:p>
        </w:tc>
        <w:tc>
          <w:tcPr>
            <w:tcW w:w="457" w:type="pct"/>
            <w:tcBorders>
              <w:tl2br w:val="nil"/>
              <w:tr2bl w:val="nil"/>
            </w:tcBorders>
            <w:shd w:val="clear" w:color="auto" w:fill="auto"/>
            <w:noWrap/>
            <w:vAlign w:val="center"/>
          </w:tcPr>
          <w:p w14:paraId="3197156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00" w:name="_Toc3697"/>
            <w:bookmarkStart w:id="3301" w:name="_Toc8655"/>
            <w:bookmarkStart w:id="3302" w:name="_Toc8033"/>
            <w:r>
              <w:rPr>
                <w:rFonts w:hint="default" w:ascii="Times New Roman" w:hAnsi="Times New Roman" w:eastAsia="宋体" w:cs="Times New Roman"/>
                <w:color w:val="auto"/>
                <w:sz w:val="21"/>
                <w:szCs w:val="21"/>
                <w:highlight w:val="none"/>
                <w:lang w:val="en-US" w:eastAsia="zh-CN"/>
              </w:rPr>
              <w:t>4.42</w:t>
            </w:r>
            <w:bookmarkEnd w:id="3300"/>
            <w:bookmarkEnd w:id="3301"/>
            <w:bookmarkEnd w:id="3302"/>
          </w:p>
        </w:tc>
        <w:tc>
          <w:tcPr>
            <w:tcW w:w="519" w:type="pct"/>
            <w:tcBorders>
              <w:tl2br w:val="nil"/>
              <w:tr2bl w:val="nil"/>
            </w:tcBorders>
            <w:shd w:val="clear" w:color="auto" w:fill="auto"/>
            <w:noWrap/>
            <w:vAlign w:val="center"/>
          </w:tcPr>
          <w:p w14:paraId="322CF2F8">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03" w:name="_Toc25732"/>
            <w:bookmarkStart w:id="3304" w:name="_Toc856"/>
            <w:bookmarkStart w:id="3305" w:name="_Toc21214"/>
            <w:r>
              <w:rPr>
                <w:rFonts w:hint="eastAsia" w:cs="Times New Roman"/>
                <w:color w:val="auto"/>
                <w:sz w:val="21"/>
                <w:szCs w:val="21"/>
                <w:highlight w:val="none"/>
                <w:lang w:val="en-US" w:eastAsia="zh-CN"/>
              </w:rPr>
              <w:t>0</w:t>
            </w:r>
            <w:bookmarkEnd w:id="3303"/>
            <w:bookmarkEnd w:id="3304"/>
            <w:bookmarkEnd w:id="3305"/>
          </w:p>
        </w:tc>
        <w:tc>
          <w:tcPr>
            <w:tcW w:w="1009" w:type="pct"/>
            <w:tcBorders>
              <w:tl2br w:val="nil"/>
              <w:tr2bl w:val="nil"/>
            </w:tcBorders>
            <w:shd w:val="clear" w:color="auto" w:fill="auto"/>
            <w:noWrap/>
            <w:vAlign w:val="center"/>
          </w:tcPr>
          <w:p w14:paraId="2F2FCAB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6E7750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54" w:type="pct"/>
            <w:tcBorders>
              <w:tl2br w:val="nil"/>
              <w:tr2bl w:val="nil"/>
            </w:tcBorders>
            <w:shd w:val="clear" w:color="auto" w:fill="auto"/>
            <w:noWrap/>
            <w:vAlign w:val="center"/>
          </w:tcPr>
          <w:p w14:paraId="74D82C4E">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306" w:name="_Toc17164"/>
            <w:bookmarkStart w:id="3307" w:name="_Toc5978"/>
            <w:bookmarkStart w:id="3308" w:name="_Toc20908"/>
            <w:r>
              <w:rPr>
                <w:rFonts w:hint="eastAsia" w:cs="Times New Roman"/>
                <w:color w:val="auto"/>
                <w:sz w:val="21"/>
                <w:szCs w:val="21"/>
                <w:highlight w:val="none"/>
                <w:lang w:val="en-US" w:eastAsia="zh-CN"/>
              </w:rPr>
              <w:t>7</w:t>
            </w:r>
            <w:bookmarkEnd w:id="3306"/>
            <w:bookmarkEnd w:id="3307"/>
            <w:bookmarkEnd w:id="3308"/>
          </w:p>
        </w:tc>
        <w:tc>
          <w:tcPr>
            <w:tcW w:w="354" w:type="pct"/>
            <w:vMerge w:val="continue"/>
            <w:tcBorders>
              <w:tl2br w:val="nil"/>
              <w:tr2bl w:val="nil"/>
            </w:tcBorders>
            <w:shd w:val="clear" w:color="auto" w:fill="auto"/>
            <w:noWrap/>
            <w:vAlign w:val="center"/>
          </w:tcPr>
          <w:p w14:paraId="364FDDBE">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810" w:type="pct"/>
            <w:tcBorders>
              <w:tl2br w:val="nil"/>
              <w:tr2bl w:val="nil"/>
            </w:tcBorders>
            <w:shd w:val="clear" w:color="auto" w:fill="auto"/>
            <w:noWrap/>
            <w:vAlign w:val="center"/>
          </w:tcPr>
          <w:p w14:paraId="403021AE">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bookmarkStart w:id="3309" w:name="_Toc27305"/>
            <w:bookmarkStart w:id="3310" w:name="_Toc19117"/>
            <w:bookmarkStart w:id="3311" w:name="_Toc4768"/>
            <w:r>
              <w:rPr>
                <w:rFonts w:hint="eastAsia" w:cs="Times New Roman"/>
                <w:color w:val="auto"/>
                <w:sz w:val="21"/>
                <w:szCs w:val="21"/>
                <w:highlight w:val="none"/>
                <w:lang w:val="en-US" w:eastAsia="zh-CN"/>
              </w:rPr>
              <w:t>小计</w:t>
            </w:r>
            <w:bookmarkEnd w:id="3309"/>
            <w:bookmarkEnd w:id="3310"/>
            <w:bookmarkEnd w:id="3311"/>
          </w:p>
        </w:tc>
        <w:tc>
          <w:tcPr>
            <w:tcW w:w="561" w:type="pct"/>
            <w:tcBorders>
              <w:tl2br w:val="nil"/>
              <w:tr2bl w:val="nil"/>
            </w:tcBorders>
            <w:shd w:val="clear" w:color="auto" w:fill="auto"/>
            <w:noWrap/>
            <w:vAlign w:val="bottom"/>
          </w:tcPr>
          <w:p w14:paraId="44136A1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12" w:name="_Toc9678"/>
            <w:bookmarkStart w:id="3313" w:name="_Toc14807"/>
            <w:bookmarkStart w:id="3314" w:name="_Toc15974"/>
            <w:r>
              <w:rPr>
                <w:rFonts w:hint="default" w:ascii="Times New Roman" w:hAnsi="Times New Roman" w:eastAsia="宋体" w:cs="Times New Roman"/>
                <w:color w:val="auto"/>
                <w:sz w:val="21"/>
                <w:szCs w:val="21"/>
                <w:highlight w:val="none"/>
                <w:lang w:val="en-US" w:eastAsia="zh-CN"/>
              </w:rPr>
              <w:t>16.9</w:t>
            </w:r>
            <w:r>
              <w:rPr>
                <w:rFonts w:hint="eastAsia" w:cs="Times New Roman"/>
                <w:color w:val="auto"/>
                <w:sz w:val="21"/>
                <w:szCs w:val="21"/>
                <w:highlight w:val="none"/>
                <w:lang w:val="en-US" w:eastAsia="zh-CN"/>
              </w:rPr>
              <w:t>3</w:t>
            </w:r>
            <w:bookmarkEnd w:id="3312"/>
            <w:bookmarkEnd w:id="3313"/>
            <w:bookmarkEnd w:id="3314"/>
          </w:p>
        </w:tc>
        <w:tc>
          <w:tcPr>
            <w:tcW w:w="404" w:type="pct"/>
            <w:tcBorders>
              <w:tl2br w:val="nil"/>
              <w:tr2bl w:val="nil"/>
            </w:tcBorders>
            <w:shd w:val="clear" w:color="auto" w:fill="auto"/>
            <w:noWrap/>
            <w:vAlign w:val="bottom"/>
          </w:tcPr>
          <w:p w14:paraId="080FFEF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15" w:name="_Toc29714"/>
            <w:bookmarkStart w:id="3316" w:name="_Toc19372"/>
            <w:bookmarkStart w:id="3317" w:name="_Toc28285"/>
            <w:r>
              <w:rPr>
                <w:rFonts w:hint="default" w:ascii="Times New Roman" w:hAnsi="Times New Roman" w:eastAsia="宋体" w:cs="Times New Roman"/>
                <w:color w:val="auto"/>
                <w:sz w:val="21"/>
                <w:szCs w:val="21"/>
                <w:highlight w:val="none"/>
                <w:lang w:val="en-US" w:eastAsia="zh-CN"/>
              </w:rPr>
              <w:t>16.9</w:t>
            </w:r>
            <w:r>
              <w:rPr>
                <w:rFonts w:hint="eastAsia" w:cs="Times New Roman"/>
                <w:color w:val="auto"/>
                <w:sz w:val="21"/>
                <w:szCs w:val="21"/>
                <w:highlight w:val="none"/>
                <w:lang w:val="en-US" w:eastAsia="zh-CN"/>
              </w:rPr>
              <w:t>3</w:t>
            </w:r>
            <w:bookmarkEnd w:id="3315"/>
            <w:bookmarkEnd w:id="3316"/>
            <w:bookmarkEnd w:id="3317"/>
          </w:p>
        </w:tc>
        <w:tc>
          <w:tcPr>
            <w:tcW w:w="528" w:type="pct"/>
            <w:tcBorders>
              <w:tl2br w:val="nil"/>
              <w:tr2bl w:val="nil"/>
            </w:tcBorders>
            <w:shd w:val="clear" w:color="auto" w:fill="auto"/>
            <w:noWrap/>
            <w:vAlign w:val="bottom"/>
          </w:tcPr>
          <w:p w14:paraId="1E2D854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18" w:name="_Toc25536"/>
            <w:bookmarkStart w:id="3319" w:name="_Toc1539"/>
            <w:bookmarkStart w:id="3320" w:name="_Toc9227"/>
            <w:r>
              <w:rPr>
                <w:rFonts w:hint="eastAsia" w:cs="Times New Roman"/>
                <w:color w:val="auto"/>
                <w:sz w:val="21"/>
                <w:szCs w:val="21"/>
                <w:highlight w:val="none"/>
                <w:lang w:val="en-US" w:eastAsia="zh-CN"/>
              </w:rPr>
              <w:t>0</w:t>
            </w:r>
            <w:bookmarkEnd w:id="3318"/>
            <w:bookmarkEnd w:id="3319"/>
            <w:bookmarkEnd w:id="3320"/>
          </w:p>
        </w:tc>
        <w:tc>
          <w:tcPr>
            <w:tcW w:w="457" w:type="pct"/>
            <w:tcBorders>
              <w:tl2br w:val="nil"/>
              <w:tr2bl w:val="nil"/>
            </w:tcBorders>
            <w:shd w:val="clear" w:color="auto" w:fill="auto"/>
            <w:noWrap/>
            <w:vAlign w:val="bottom"/>
          </w:tcPr>
          <w:p w14:paraId="3ED1AE3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21" w:name="_Toc23941"/>
            <w:bookmarkStart w:id="3322" w:name="_Toc3412"/>
            <w:bookmarkStart w:id="3323" w:name="_Toc4029"/>
            <w:r>
              <w:rPr>
                <w:rFonts w:hint="default" w:ascii="Times New Roman" w:hAnsi="Times New Roman" w:eastAsia="宋体" w:cs="Times New Roman"/>
                <w:color w:val="auto"/>
                <w:sz w:val="21"/>
                <w:szCs w:val="21"/>
                <w:highlight w:val="none"/>
                <w:lang w:val="en-US" w:eastAsia="zh-CN"/>
              </w:rPr>
              <w:t>4.42</w:t>
            </w:r>
            <w:bookmarkEnd w:id="3321"/>
            <w:bookmarkEnd w:id="3322"/>
            <w:bookmarkEnd w:id="3323"/>
          </w:p>
        </w:tc>
        <w:tc>
          <w:tcPr>
            <w:tcW w:w="519" w:type="pct"/>
            <w:tcBorders>
              <w:tl2br w:val="nil"/>
              <w:tr2bl w:val="nil"/>
            </w:tcBorders>
            <w:shd w:val="clear" w:color="auto" w:fill="auto"/>
            <w:noWrap/>
            <w:vAlign w:val="center"/>
          </w:tcPr>
          <w:p w14:paraId="3147E71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24" w:name="_Toc22157"/>
            <w:bookmarkStart w:id="3325" w:name="_Toc22603"/>
            <w:bookmarkStart w:id="3326" w:name="_Toc31856"/>
            <w:r>
              <w:rPr>
                <w:rFonts w:hint="eastAsia" w:cs="Times New Roman"/>
                <w:color w:val="auto"/>
                <w:sz w:val="21"/>
                <w:szCs w:val="21"/>
                <w:highlight w:val="none"/>
                <w:lang w:val="en-US" w:eastAsia="zh-CN"/>
              </w:rPr>
              <w:t>-4.42</w:t>
            </w:r>
            <w:bookmarkEnd w:id="3324"/>
            <w:bookmarkEnd w:id="3325"/>
            <w:bookmarkEnd w:id="3326"/>
          </w:p>
        </w:tc>
        <w:tc>
          <w:tcPr>
            <w:tcW w:w="1009" w:type="pct"/>
            <w:tcBorders>
              <w:tl2br w:val="nil"/>
              <w:tr2bl w:val="nil"/>
            </w:tcBorders>
            <w:shd w:val="clear" w:color="auto" w:fill="auto"/>
            <w:noWrap/>
            <w:vAlign w:val="center"/>
          </w:tcPr>
          <w:p w14:paraId="7B1ACFC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77DB84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54" w:type="pct"/>
            <w:tcBorders>
              <w:tl2br w:val="nil"/>
              <w:tr2bl w:val="nil"/>
            </w:tcBorders>
            <w:shd w:val="clear" w:color="auto" w:fill="auto"/>
            <w:noWrap/>
            <w:vAlign w:val="center"/>
          </w:tcPr>
          <w:p w14:paraId="51157BDE">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327" w:name="_Toc1801"/>
            <w:bookmarkStart w:id="3328" w:name="_Toc29656"/>
            <w:bookmarkStart w:id="3329" w:name="_Toc23933"/>
            <w:r>
              <w:rPr>
                <w:rFonts w:hint="eastAsia" w:cs="Times New Roman"/>
                <w:color w:val="auto"/>
                <w:sz w:val="21"/>
                <w:szCs w:val="21"/>
                <w:highlight w:val="none"/>
                <w:lang w:val="en-US" w:eastAsia="zh-CN"/>
              </w:rPr>
              <w:t>8</w:t>
            </w:r>
            <w:bookmarkEnd w:id="3327"/>
            <w:bookmarkEnd w:id="3328"/>
            <w:bookmarkEnd w:id="3329"/>
          </w:p>
        </w:tc>
        <w:tc>
          <w:tcPr>
            <w:tcW w:w="354" w:type="pct"/>
            <w:vMerge w:val="restart"/>
            <w:tcBorders>
              <w:tl2br w:val="nil"/>
              <w:tr2bl w:val="nil"/>
            </w:tcBorders>
            <w:shd w:val="clear" w:color="auto" w:fill="auto"/>
            <w:noWrap/>
            <w:vAlign w:val="center"/>
          </w:tcPr>
          <w:p w14:paraId="0C331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i w:val="0"/>
                <w:iCs w:val="0"/>
                <w:color w:val="auto"/>
                <w:sz w:val="21"/>
                <w:szCs w:val="21"/>
                <w:highlight w:val="none"/>
                <w:u w:val="none"/>
                <w:lang w:eastAsia="zh-CN"/>
              </w:rPr>
            </w:pPr>
            <w:r>
              <w:rPr>
                <w:rFonts w:hint="eastAsia" w:cs="Times New Roman" w:eastAsiaTheme="minorEastAsia"/>
                <w:i w:val="0"/>
                <w:iCs w:val="0"/>
                <w:color w:val="auto"/>
                <w:sz w:val="21"/>
                <w:szCs w:val="21"/>
                <w:highlight w:val="none"/>
                <w:u w:val="none"/>
                <w:lang w:eastAsia="zh-CN"/>
              </w:rPr>
              <w:t>二</w:t>
            </w:r>
            <w:r>
              <w:rPr>
                <w:rFonts w:hint="eastAsia" w:ascii="Times New Roman" w:hAnsi="Times New Roman" w:cs="Times New Roman" w:eastAsiaTheme="minorEastAsia"/>
                <w:i w:val="0"/>
                <w:iCs w:val="0"/>
                <w:color w:val="auto"/>
                <w:sz w:val="21"/>
                <w:szCs w:val="21"/>
                <w:highlight w:val="none"/>
                <w:u w:val="none"/>
                <w:lang w:eastAsia="zh-CN"/>
              </w:rPr>
              <w:t>期</w:t>
            </w:r>
          </w:p>
          <w:p w14:paraId="09F97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i w:val="0"/>
                <w:iCs w:val="0"/>
                <w:color w:val="auto"/>
                <w:sz w:val="21"/>
                <w:szCs w:val="21"/>
                <w:highlight w:val="none"/>
                <w:u w:val="none"/>
                <w:lang w:eastAsia="zh-CN"/>
              </w:rPr>
              <w:t>工程</w:t>
            </w:r>
          </w:p>
        </w:tc>
        <w:tc>
          <w:tcPr>
            <w:tcW w:w="810" w:type="pct"/>
            <w:tcBorders>
              <w:tl2br w:val="nil"/>
              <w:tr2bl w:val="nil"/>
            </w:tcBorders>
            <w:shd w:val="clear" w:color="auto" w:fill="auto"/>
            <w:noWrap/>
            <w:vAlign w:val="center"/>
          </w:tcPr>
          <w:p w14:paraId="19DB8026">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330" w:name="_Toc27169"/>
            <w:bookmarkStart w:id="3331" w:name="_Toc22209"/>
            <w:bookmarkStart w:id="3332" w:name="_Toc9217"/>
            <w:r>
              <w:rPr>
                <w:rFonts w:hint="eastAsia" w:cs="Times New Roman"/>
                <w:color w:val="auto"/>
                <w:sz w:val="21"/>
                <w:szCs w:val="21"/>
                <w:highlight w:val="none"/>
                <w:lang w:val="en-US" w:eastAsia="zh-CN"/>
              </w:rPr>
              <w:t>水库清淤</w:t>
            </w:r>
            <w:bookmarkEnd w:id="3330"/>
            <w:bookmarkEnd w:id="3331"/>
            <w:bookmarkEnd w:id="3332"/>
          </w:p>
        </w:tc>
        <w:tc>
          <w:tcPr>
            <w:tcW w:w="561" w:type="pct"/>
            <w:tcBorders>
              <w:tl2br w:val="nil"/>
              <w:tr2bl w:val="nil"/>
            </w:tcBorders>
            <w:shd w:val="clear" w:color="auto" w:fill="auto"/>
            <w:noWrap/>
            <w:vAlign w:val="center"/>
          </w:tcPr>
          <w:p w14:paraId="5FBED86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33" w:name="_Toc19808"/>
            <w:bookmarkStart w:id="3334" w:name="_Toc22405"/>
            <w:bookmarkStart w:id="3335" w:name="_Toc13850"/>
            <w:r>
              <w:rPr>
                <w:rFonts w:hint="default" w:ascii="Times New Roman" w:hAnsi="Times New Roman" w:eastAsia="宋体" w:cs="Times New Roman"/>
                <w:color w:val="auto"/>
                <w:sz w:val="21"/>
                <w:szCs w:val="21"/>
                <w:highlight w:val="none"/>
                <w:lang w:val="en-US" w:eastAsia="zh-CN"/>
              </w:rPr>
              <w:t>120</w:t>
            </w:r>
            <w:bookmarkEnd w:id="3333"/>
            <w:bookmarkEnd w:id="3334"/>
            <w:bookmarkEnd w:id="3335"/>
          </w:p>
        </w:tc>
        <w:tc>
          <w:tcPr>
            <w:tcW w:w="404" w:type="pct"/>
            <w:tcBorders>
              <w:tl2br w:val="nil"/>
              <w:tr2bl w:val="nil"/>
            </w:tcBorders>
            <w:shd w:val="clear" w:color="auto" w:fill="auto"/>
            <w:noWrap/>
            <w:vAlign w:val="center"/>
          </w:tcPr>
          <w:p w14:paraId="21FC8E0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28" w:type="pct"/>
            <w:tcBorders>
              <w:tl2br w:val="nil"/>
              <w:tr2bl w:val="nil"/>
            </w:tcBorders>
            <w:shd w:val="clear" w:color="auto" w:fill="auto"/>
            <w:noWrap/>
            <w:vAlign w:val="center"/>
          </w:tcPr>
          <w:p w14:paraId="42A680B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36" w:name="_Toc22289"/>
            <w:bookmarkStart w:id="3337" w:name="_Toc8723"/>
            <w:bookmarkStart w:id="3338" w:name="_Toc6445"/>
            <w:r>
              <w:rPr>
                <w:rFonts w:hint="default" w:ascii="Times New Roman" w:hAnsi="Times New Roman" w:eastAsia="宋体" w:cs="Times New Roman"/>
                <w:color w:val="auto"/>
                <w:sz w:val="21"/>
                <w:szCs w:val="21"/>
                <w:highlight w:val="none"/>
                <w:lang w:val="en-US" w:eastAsia="zh-CN"/>
              </w:rPr>
              <w:t>120</w:t>
            </w:r>
            <w:bookmarkEnd w:id="3336"/>
            <w:bookmarkEnd w:id="3337"/>
            <w:bookmarkEnd w:id="3338"/>
          </w:p>
        </w:tc>
        <w:tc>
          <w:tcPr>
            <w:tcW w:w="457" w:type="pct"/>
            <w:tcBorders>
              <w:tl2br w:val="nil"/>
              <w:tr2bl w:val="nil"/>
            </w:tcBorders>
            <w:shd w:val="clear" w:color="auto" w:fill="auto"/>
            <w:noWrap/>
            <w:vAlign w:val="center"/>
          </w:tcPr>
          <w:p w14:paraId="794AC0B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19" w:type="pct"/>
            <w:tcBorders>
              <w:tl2br w:val="nil"/>
              <w:tr2bl w:val="nil"/>
            </w:tcBorders>
            <w:shd w:val="clear" w:color="auto" w:fill="auto"/>
            <w:noWrap/>
            <w:vAlign w:val="center"/>
          </w:tcPr>
          <w:p w14:paraId="0C080C7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009" w:type="pct"/>
            <w:tcBorders>
              <w:tl2br w:val="nil"/>
              <w:tr2bl w:val="nil"/>
            </w:tcBorders>
            <w:shd w:val="clear" w:color="auto" w:fill="auto"/>
            <w:noWrap/>
            <w:vAlign w:val="center"/>
          </w:tcPr>
          <w:p w14:paraId="4ECC6468">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39" w:name="_Toc28344"/>
            <w:bookmarkStart w:id="3340" w:name="_Toc17129"/>
            <w:bookmarkStart w:id="3341" w:name="_Toc5587"/>
            <w:r>
              <w:rPr>
                <w:rFonts w:hint="default" w:ascii="Times New Roman" w:hAnsi="Times New Roman" w:eastAsia="宋体" w:cs="Times New Roman"/>
                <w:color w:val="auto"/>
                <w:sz w:val="21"/>
                <w:szCs w:val="21"/>
                <w:highlight w:val="none"/>
                <w:lang w:val="en-US" w:eastAsia="zh-CN"/>
              </w:rPr>
              <w:t>运至</w:t>
            </w:r>
            <w:r>
              <w:rPr>
                <w:rFonts w:hint="default" w:ascii="Times New Roman" w:hAnsi="Times New Roman" w:cs="Times New Roman"/>
                <w:color w:val="auto"/>
                <w:sz w:val="21"/>
                <w:szCs w:val="21"/>
                <w:highlight w:val="none"/>
                <w:lang w:val="en-US" w:eastAsia="zh-CN"/>
              </w:rPr>
              <w:t>堆场</w:t>
            </w:r>
            <w:r>
              <w:rPr>
                <w:rFonts w:hint="default" w:ascii="Times New Roman" w:hAnsi="Times New Roman" w:eastAsia="宋体" w:cs="Times New Roman"/>
                <w:color w:val="auto"/>
                <w:sz w:val="21"/>
                <w:szCs w:val="21"/>
                <w:highlight w:val="none"/>
                <w:lang w:val="en-US" w:eastAsia="zh-CN"/>
              </w:rPr>
              <w:t>堆存</w:t>
            </w:r>
            <w:bookmarkEnd w:id="3339"/>
            <w:bookmarkEnd w:id="3340"/>
            <w:bookmarkEnd w:id="3341"/>
          </w:p>
        </w:tc>
      </w:tr>
      <w:tr w14:paraId="641ED4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354" w:type="pct"/>
            <w:tcBorders>
              <w:tl2br w:val="nil"/>
              <w:tr2bl w:val="nil"/>
            </w:tcBorders>
            <w:shd w:val="clear" w:color="auto" w:fill="auto"/>
            <w:noWrap/>
            <w:vAlign w:val="center"/>
          </w:tcPr>
          <w:p w14:paraId="1C4DD6B1">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342" w:name="_Toc11740"/>
            <w:bookmarkStart w:id="3343" w:name="_Toc15946"/>
            <w:bookmarkStart w:id="3344" w:name="_Toc3241"/>
            <w:r>
              <w:rPr>
                <w:rFonts w:hint="eastAsia" w:cs="Times New Roman"/>
                <w:color w:val="auto"/>
                <w:sz w:val="21"/>
                <w:szCs w:val="21"/>
                <w:highlight w:val="none"/>
                <w:lang w:val="en-US" w:eastAsia="zh-CN"/>
              </w:rPr>
              <w:t>9</w:t>
            </w:r>
            <w:bookmarkEnd w:id="3342"/>
            <w:bookmarkEnd w:id="3343"/>
            <w:bookmarkEnd w:id="3344"/>
          </w:p>
        </w:tc>
        <w:tc>
          <w:tcPr>
            <w:tcW w:w="354" w:type="pct"/>
            <w:vMerge w:val="continue"/>
            <w:tcBorders>
              <w:tl2br w:val="nil"/>
              <w:tr2bl w:val="nil"/>
            </w:tcBorders>
            <w:shd w:val="clear" w:color="auto" w:fill="auto"/>
            <w:noWrap/>
            <w:vAlign w:val="center"/>
          </w:tcPr>
          <w:p w14:paraId="35F54156">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p>
        </w:tc>
        <w:tc>
          <w:tcPr>
            <w:tcW w:w="810" w:type="pct"/>
            <w:tcBorders>
              <w:tl2br w:val="nil"/>
              <w:tr2bl w:val="nil"/>
            </w:tcBorders>
            <w:shd w:val="clear" w:color="auto" w:fill="auto"/>
            <w:noWrap/>
            <w:vAlign w:val="center"/>
          </w:tcPr>
          <w:p w14:paraId="413092FC">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b w:val="0"/>
                <w:color w:val="auto"/>
                <w:kern w:val="0"/>
                <w:sz w:val="21"/>
                <w:szCs w:val="21"/>
                <w:highlight w:val="none"/>
                <w:lang w:val="en-US" w:eastAsia="zh-CN" w:bidi="ar-SA"/>
              </w:rPr>
            </w:pPr>
            <w:bookmarkStart w:id="3345" w:name="_Toc32259"/>
            <w:bookmarkStart w:id="3346" w:name="_Toc14377"/>
            <w:bookmarkStart w:id="3347" w:name="_Toc31137"/>
            <w:r>
              <w:rPr>
                <w:rFonts w:hint="eastAsia" w:ascii="Times New Roman" w:hAnsi="Times New Roman" w:eastAsia="宋体" w:cs="Times New Roman"/>
                <w:color w:val="auto"/>
                <w:sz w:val="21"/>
                <w:szCs w:val="21"/>
                <w:highlight w:val="none"/>
                <w:lang w:val="en-US" w:eastAsia="zh-CN"/>
              </w:rPr>
              <w:t>临时清淤道路</w:t>
            </w:r>
            <w:bookmarkEnd w:id="3345"/>
            <w:bookmarkEnd w:id="3346"/>
            <w:bookmarkEnd w:id="3347"/>
          </w:p>
        </w:tc>
        <w:tc>
          <w:tcPr>
            <w:tcW w:w="561" w:type="pct"/>
            <w:tcBorders>
              <w:tl2br w:val="nil"/>
              <w:tr2bl w:val="nil"/>
            </w:tcBorders>
            <w:shd w:val="clear" w:color="auto" w:fill="auto"/>
            <w:noWrap/>
            <w:vAlign w:val="center"/>
          </w:tcPr>
          <w:p w14:paraId="19492AD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48" w:name="_Toc1564"/>
            <w:bookmarkStart w:id="3349" w:name="_Toc16536"/>
            <w:bookmarkStart w:id="3350" w:name="_Toc21413"/>
            <w:r>
              <w:rPr>
                <w:rFonts w:hint="default" w:ascii="Times New Roman" w:hAnsi="Times New Roman" w:eastAsia="宋体" w:cs="Times New Roman"/>
                <w:color w:val="auto"/>
                <w:sz w:val="21"/>
                <w:szCs w:val="21"/>
                <w:highlight w:val="none"/>
                <w:lang w:val="en-US" w:eastAsia="zh-CN"/>
              </w:rPr>
              <w:t>16</w:t>
            </w:r>
            <w:bookmarkEnd w:id="3348"/>
            <w:bookmarkEnd w:id="3349"/>
            <w:bookmarkEnd w:id="3350"/>
          </w:p>
        </w:tc>
        <w:tc>
          <w:tcPr>
            <w:tcW w:w="404" w:type="pct"/>
            <w:tcBorders>
              <w:tl2br w:val="nil"/>
              <w:tr2bl w:val="nil"/>
            </w:tcBorders>
            <w:shd w:val="clear" w:color="auto" w:fill="auto"/>
            <w:noWrap/>
            <w:vAlign w:val="center"/>
          </w:tcPr>
          <w:p w14:paraId="4C2DC90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28" w:type="pct"/>
            <w:tcBorders>
              <w:tl2br w:val="nil"/>
              <w:tr2bl w:val="nil"/>
            </w:tcBorders>
            <w:shd w:val="clear" w:color="auto" w:fill="auto"/>
            <w:noWrap/>
            <w:vAlign w:val="center"/>
          </w:tcPr>
          <w:p w14:paraId="03B0FCB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51" w:name="_Toc5011"/>
            <w:bookmarkStart w:id="3352" w:name="_Toc28068"/>
            <w:bookmarkStart w:id="3353" w:name="_Toc14323"/>
            <w:r>
              <w:rPr>
                <w:rFonts w:hint="default" w:ascii="Times New Roman" w:hAnsi="Times New Roman" w:eastAsia="宋体" w:cs="Times New Roman"/>
                <w:color w:val="auto"/>
                <w:sz w:val="21"/>
                <w:szCs w:val="21"/>
                <w:highlight w:val="none"/>
                <w:lang w:val="en-US" w:eastAsia="zh-CN"/>
              </w:rPr>
              <w:t>16</w:t>
            </w:r>
            <w:bookmarkEnd w:id="3351"/>
            <w:bookmarkEnd w:id="3352"/>
            <w:bookmarkEnd w:id="3353"/>
          </w:p>
        </w:tc>
        <w:tc>
          <w:tcPr>
            <w:tcW w:w="457" w:type="pct"/>
            <w:tcBorders>
              <w:tl2br w:val="nil"/>
              <w:tr2bl w:val="nil"/>
            </w:tcBorders>
            <w:shd w:val="clear" w:color="auto" w:fill="auto"/>
            <w:noWrap/>
            <w:vAlign w:val="center"/>
          </w:tcPr>
          <w:p w14:paraId="7BC8C85D">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19" w:type="pct"/>
            <w:tcBorders>
              <w:tl2br w:val="nil"/>
              <w:tr2bl w:val="nil"/>
            </w:tcBorders>
            <w:shd w:val="clear" w:color="auto" w:fill="auto"/>
            <w:noWrap/>
            <w:vAlign w:val="center"/>
          </w:tcPr>
          <w:p w14:paraId="1159A06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009" w:type="pct"/>
            <w:tcBorders>
              <w:tl2br w:val="nil"/>
              <w:tr2bl w:val="nil"/>
            </w:tcBorders>
            <w:shd w:val="clear" w:color="auto" w:fill="auto"/>
            <w:noWrap/>
            <w:vAlign w:val="center"/>
          </w:tcPr>
          <w:p w14:paraId="0802B91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54" w:name="_Toc32135"/>
            <w:bookmarkStart w:id="3355" w:name="_Toc18100"/>
            <w:bookmarkStart w:id="3356" w:name="_Toc3113"/>
            <w:r>
              <w:rPr>
                <w:rFonts w:hint="default" w:ascii="Times New Roman" w:hAnsi="Times New Roman" w:eastAsia="宋体" w:cs="Times New Roman"/>
                <w:color w:val="auto"/>
                <w:sz w:val="21"/>
                <w:szCs w:val="21"/>
                <w:highlight w:val="none"/>
                <w:lang w:val="en-US" w:eastAsia="zh-CN"/>
              </w:rPr>
              <w:t>运至</w:t>
            </w:r>
            <w:r>
              <w:rPr>
                <w:rFonts w:hint="default" w:ascii="Times New Roman" w:hAnsi="Times New Roman" w:cs="Times New Roman"/>
                <w:color w:val="auto"/>
                <w:sz w:val="21"/>
                <w:szCs w:val="21"/>
                <w:highlight w:val="none"/>
                <w:lang w:val="en-US" w:eastAsia="zh-CN"/>
              </w:rPr>
              <w:t>堆场</w:t>
            </w:r>
            <w:r>
              <w:rPr>
                <w:rFonts w:hint="default" w:ascii="Times New Roman" w:hAnsi="Times New Roman" w:eastAsia="宋体" w:cs="Times New Roman"/>
                <w:color w:val="auto"/>
                <w:sz w:val="21"/>
                <w:szCs w:val="21"/>
                <w:highlight w:val="none"/>
                <w:lang w:val="en-US" w:eastAsia="zh-CN"/>
              </w:rPr>
              <w:t>堆存</w:t>
            </w:r>
            <w:bookmarkEnd w:id="3354"/>
            <w:bookmarkEnd w:id="3355"/>
            <w:bookmarkEnd w:id="3356"/>
          </w:p>
        </w:tc>
      </w:tr>
      <w:tr w14:paraId="689D56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354" w:type="pct"/>
            <w:tcBorders>
              <w:tl2br w:val="nil"/>
              <w:tr2bl w:val="nil"/>
            </w:tcBorders>
            <w:shd w:val="clear" w:color="auto" w:fill="auto"/>
            <w:noWrap/>
            <w:vAlign w:val="center"/>
          </w:tcPr>
          <w:p w14:paraId="00F7AE89">
            <w:pPr>
              <w:pStyle w:val="29"/>
              <w:suppressLineNumbers w:val="0"/>
              <w:bidi w:val="0"/>
              <w:spacing w:beforeAutospacing="0" w:afterAutospacing="0"/>
              <w:ind w:left="0" w:leftChars="0" w:right="0" w:rightChars="0" w:firstLine="0" w:firstLineChars="0"/>
              <w:jc w:val="center"/>
              <w:rPr>
                <w:rFonts w:hint="default" w:cs="Times New Roman"/>
                <w:color w:val="auto"/>
                <w:sz w:val="21"/>
                <w:szCs w:val="21"/>
                <w:highlight w:val="none"/>
                <w:lang w:val="en-US" w:eastAsia="zh-CN"/>
              </w:rPr>
            </w:pPr>
            <w:bookmarkStart w:id="3357" w:name="_Toc5625"/>
            <w:bookmarkStart w:id="3358" w:name="_Toc28239"/>
            <w:bookmarkStart w:id="3359" w:name="_Toc30057"/>
            <w:r>
              <w:rPr>
                <w:rFonts w:hint="eastAsia" w:cs="Times New Roman"/>
                <w:color w:val="auto"/>
                <w:sz w:val="21"/>
                <w:szCs w:val="21"/>
                <w:highlight w:val="none"/>
                <w:lang w:val="en-US" w:eastAsia="zh-CN"/>
              </w:rPr>
              <w:t>10</w:t>
            </w:r>
            <w:bookmarkEnd w:id="3357"/>
            <w:bookmarkEnd w:id="3358"/>
            <w:bookmarkEnd w:id="3359"/>
          </w:p>
        </w:tc>
        <w:tc>
          <w:tcPr>
            <w:tcW w:w="354" w:type="pct"/>
            <w:vMerge w:val="continue"/>
            <w:tcBorders>
              <w:tl2br w:val="nil"/>
              <w:tr2bl w:val="nil"/>
            </w:tcBorders>
            <w:shd w:val="clear" w:color="auto" w:fill="auto"/>
            <w:noWrap/>
            <w:vAlign w:val="center"/>
          </w:tcPr>
          <w:p w14:paraId="5A258AB8">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p>
        </w:tc>
        <w:tc>
          <w:tcPr>
            <w:tcW w:w="810" w:type="pct"/>
            <w:tcBorders>
              <w:tl2br w:val="nil"/>
              <w:tr2bl w:val="nil"/>
            </w:tcBorders>
            <w:shd w:val="clear" w:color="auto" w:fill="auto"/>
            <w:noWrap/>
            <w:vAlign w:val="center"/>
          </w:tcPr>
          <w:p w14:paraId="1EB46171">
            <w:pPr>
              <w:pStyle w:val="29"/>
              <w:suppressLineNumbers w:val="0"/>
              <w:bidi w:val="0"/>
              <w:spacing w:beforeAutospacing="0" w:afterAutospacing="0"/>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bookmarkStart w:id="3360" w:name="_Toc27152"/>
            <w:bookmarkStart w:id="3361" w:name="_Toc30740"/>
            <w:bookmarkStart w:id="3362" w:name="_Toc1987"/>
            <w:r>
              <w:rPr>
                <w:rFonts w:hint="eastAsia" w:cs="Times New Roman"/>
                <w:color w:val="auto"/>
                <w:sz w:val="21"/>
                <w:szCs w:val="21"/>
                <w:highlight w:val="none"/>
                <w:lang w:val="en-US" w:eastAsia="zh-CN"/>
              </w:rPr>
              <w:t>小计</w:t>
            </w:r>
            <w:bookmarkEnd w:id="3360"/>
            <w:bookmarkEnd w:id="3361"/>
            <w:bookmarkEnd w:id="3362"/>
          </w:p>
        </w:tc>
        <w:tc>
          <w:tcPr>
            <w:tcW w:w="561" w:type="pct"/>
            <w:tcBorders>
              <w:tl2br w:val="nil"/>
              <w:tr2bl w:val="nil"/>
            </w:tcBorders>
            <w:shd w:val="clear" w:color="auto" w:fill="auto"/>
            <w:noWrap/>
            <w:vAlign w:val="center"/>
          </w:tcPr>
          <w:p w14:paraId="7902B37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63" w:name="_Toc19993"/>
            <w:bookmarkStart w:id="3364" w:name="_Toc1763"/>
            <w:bookmarkStart w:id="3365" w:name="_Toc6673"/>
            <w:r>
              <w:rPr>
                <w:rFonts w:hint="eastAsia" w:cs="Times New Roman"/>
                <w:color w:val="auto"/>
                <w:sz w:val="21"/>
                <w:szCs w:val="21"/>
                <w:highlight w:val="none"/>
                <w:lang w:val="en-US" w:eastAsia="zh-CN"/>
              </w:rPr>
              <w:t>136</w:t>
            </w:r>
            <w:bookmarkEnd w:id="3363"/>
            <w:bookmarkEnd w:id="3364"/>
            <w:bookmarkEnd w:id="3365"/>
          </w:p>
        </w:tc>
        <w:tc>
          <w:tcPr>
            <w:tcW w:w="404" w:type="pct"/>
            <w:tcBorders>
              <w:tl2br w:val="nil"/>
              <w:tr2bl w:val="nil"/>
            </w:tcBorders>
            <w:shd w:val="clear" w:color="auto" w:fill="auto"/>
            <w:noWrap/>
            <w:vAlign w:val="center"/>
          </w:tcPr>
          <w:p w14:paraId="7BCE309D">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28" w:type="pct"/>
            <w:tcBorders>
              <w:tl2br w:val="nil"/>
              <w:tr2bl w:val="nil"/>
            </w:tcBorders>
            <w:shd w:val="clear" w:color="auto" w:fill="auto"/>
            <w:noWrap/>
            <w:vAlign w:val="center"/>
          </w:tcPr>
          <w:p w14:paraId="1DDCAC1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66" w:name="_Toc6906"/>
            <w:bookmarkStart w:id="3367" w:name="_Toc17780"/>
            <w:bookmarkStart w:id="3368" w:name="_Toc23674"/>
            <w:r>
              <w:rPr>
                <w:rFonts w:hint="eastAsia" w:cs="Times New Roman"/>
                <w:color w:val="auto"/>
                <w:sz w:val="21"/>
                <w:szCs w:val="21"/>
                <w:highlight w:val="none"/>
                <w:lang w:val="en-US" w:eastAsia="zh-CN"/>
              </w:rPr>
              <w:t>136</w:t>
            </w:r>
            <w:bookmarkEnd w:id="3366"/>
            <w:bookmarkEnd w:id="3367"/>
            <w:bookmarkEnd w:id="3368"/>
          </w:p>
        </w:tc>
        <w:tc>
          <w:tcPr>
            <w:tcW w:w="457" w:type="pct"/>
            <w:tcBorders>
              <w:tl2br w:val="nil"/>
              <w:tr2bl w:val="nil"/>
            </w:tcBorders>
            <w:shd w:val="clear" w:color="auto" w:fill="auto"/>
            <w:noWrap/>
            <w:vAlign w:val="center"/>
          </w:tcPr>
          <w:p w14:paraId="3957413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19" w:type="pct"/>
            <w:tcBorders>
              <w:tl2br w:val="nil"/>
              <w:tr2bl w:val="nil"/>
            </w:tcBorders>
            <w:shd w:val="clear" w:color="auto" w:fill="auto"/>
            <w:noWrap/>
            <w:vAlign w:val="center"/>
          </w:tcPr>
          <w:p w14:paraId="465AD7A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009" w:type="pct"/>
            <w:tcBorders>
              <w:tl2br w:val="nil"/>
              <w:tr2bl w:val="nil"/>
            </w:tcBorders>
            <w:shd w:val="clear" w:color="auto" w:fill="auto"/>
            <w:noWrap/>
            <w:vAlign w:val="center"/>
          </w:tcPr>
          <w:p w14:paraId="7D80EB1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7818DB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54" w:type="pct"/>
            <w:tcBorders>
              <w:tl2br w:val="nil"/>
              <w:tr2bl w:val="nil"/>
            </w:tcBorders>
            <w:shd w:val="clear" w:color="auto" w:fill="auto"/>
            <w:noWrap/>
            <w:vAlign w:val="center"/>
          </w:tcPr>
          <w:p w14:paraId="449526C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69" w:name="_Toc13987"/>
            <w:bookmarkStart w:id="3370" w:name="_Toc27038"/>
            <w:bookmarkStart w:id="3371" w:name="_Toc3257"/>
            <w:r>
              <w:rPr>
                <w:rFonts w:hint="eastAsia" w:cs="Times New Roman"/>
                <w:color w:val="auto"/>
                <w:sz w:val="21"/>
                <w:szCs w:val="21"/>
                <w:highlight w:val="none"/>
                <w:lang w:val="en-US" w:eastAsia="zh-CN"/>
              </w:rPr>
              <w:t>11</w:t>
            </w:r>
            <w:bookmarkEnd w:id="3369"/>
            <w:bookmarkEnd w:id="3370"/>
            <w:bookmarkEnd w:id="3371"/>
          </w:p>
        </w:tc>
        <w:tc>
          <w:tcPr>
            <w:tcW w:w="1164" w:type="pct"/>
            <w:gridSpan w:val="2"/>
            <w:tcBorders>
              <w:tl2br w:val="nil"/>
              <w:tr2bl w:val="nil"/>
            </w:tcBorders>
            <w:shd w:val="clear" w:color="auto" w:fill="auto"/>
            <w:noWrap/>
            <w:vAlign w:val="center"/>
          </w:tcPr>
          <w:p w14:paraId="2EB258C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72" w:name="_Toc25212"/>
            <w:bookmarkStart w:id="3373" w:name="_Toc7878"/>
            <w:bookmarkStart w:id="3374" w:name="_Toc14826"/>
            <w:r>
              <w:rPr>
                <w:rFonts w:hint="eastAsia" w:ascii="Times New Roman" w:hAnsi="Times New Roman" w:eastAsia="宋体" w:cs="Times New Roman"/>
                <w:color w:val="auto"/>
                <w:sz w:val="21"/>
                <w:szCs w:val="21"/>
                <w:highlight w:val="none"/>
                <w:lang w:val="en-US" w:eastAsia="zh-CN"/>
              </w:rPr>
              <w:t>合计</w:t>
            </w:r>
            <w:bookmarkEnd w:id="3372"/>
            <w:bookmarkEnd w:id="3373"/>
            <w:bookmarkEnd w:id="3374"/>
          </w:p>
        </w:tc>
        <w:tc>
          <w:tcPr>
            <w:tcW w:w="561" w:type="pct"/>
            <w:tcBorders>
              <w:tl2br w:val="nil"/>
              <w:tr2bl w:val="nil"/>
            </w:tcBorders>
            <w:shd w:val="clear" w:color="auto" w:fill="auto"/>
            <w:noWrap/>
            <w:vAlign w:val="center"/>
          </w:tcPr>
          <w:p w14:paraId="23B654B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75" w:name="_Toc22784"/>
            <w:bookmarkStart w:id="3376" w:name="_Toc8556"/>
            <w:bookmarkStart w:id="3377" w:name="_Toc30979"/>
            <w:r>
              <w:rPr>
                <w:rFonts w:hint="default" w:ascii="Times New Roman" w:hAnsi="Times New Roman" w:eastAsia="宋体" w:cs="Times New Roman"/>
                <w:color w:val="auto"/>
                <w:sz w:val="21"/>
                <w:szCs w:val="21"/>
                <w:highlight w:val="none"/>
                <w:lang w:val="en-US" w:eastAsia="zh-CN"/>
              </w:rPr>
              <w:t>152.92</w:t>
            </w:r>
            <w:bookmarkEnd w:id="3375"/>
            <w:bookmarkEnd w:id="3376"/>
            <w:bookmarkEnd w:id="3377"/>
          </w:p>
        </w:tc>
        <w:tc>
          <w:tcPr>
            <w:tcW w:w="404" w:type="pct"/>
            <w:tcBorders>
              <w:tl2br w:val="nil"/>
              <w:tr2bl w:val="nil"/>
            </w:tcBorders>
            <w:shd w:val="clear" w:color="auto" w:fill="auto"/>
            <w:noWrap/>
            <w:vAlign w:val="center"/>
          </w:tcPr>
          <w:p w14:paraId="6C7D8A9D">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78" w:name="_Toc24188"/>
            <w:bookmarkStart w:id="3379" w:name="_Toc25351"/>
            <w:bookmarkStart w:id="3380" w:name="_Toc9837"/>
            <w:r>
              <w:rPr>
                <w:rFonts w:hint="default" w:ascii="Times New Roman" w:hAnsi="Times New Roman" w:eastAsia="宋体" w:cs="Times New Roman"/>
                <w:color w:val="auto"/>
                <w:sz w:val="21"/>
                <w:szCs w:val="21"/>
                <w:highlight w:val="none"/>
                <w:lang w:val="en-US" w:eastAsia="zh-CN"/>
              </w:rPr>
              <w:t>16.93</w:t>
            </w:r>
            <w:bookmarkEnd w:id="3378"/>
            <w:bookmarkEnd w:id="3379"/>
            <w:bookmarkEnd w:id="3380"/>
          </w:p>
        </w:tc>
        <w:tc>
          <w:tcPr>
            <w:tcW w:w="528" w:type="pct"/>
            <w:tcBorders>
              <w:tl2br w:val="nil"/>
              <w:tr2bl w:val="nil"/>
            </w:tcBorders>
            <w:shd w:val="clear" w:color="auto" w:fill="auto"/>
            <w:noWrap/>
            <w:vAlign w:val="center"/>
          </w:tcPr>
          <w:p w14:paraId="4A03FEA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136</w:t>
            </w:r>
          </w:p>
        </w:tc>
        <w:tc>
          <w:tcPr>
            <w:tcW w:w="457" w:type="pct"/>
            <w:tcBorders>
              <w:tl2br w:val="nil"/>
              <w:tr2bl w:val="nil"/>
            </w:tcBorders>
            <w:shd w:val="clear" w:color="auto" w:fill="auto"/>
            <w:noWrap/>
            <w:vAlign w:val="center"/>
          </w:tcPr>
          <w:p w14:paraId="2F8914B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381" w:name="_Toc16722"/>
            <w:bookmarkStart w:id="3382" w:name="_Toc14791"/>
            <w:bookmarkStart w:id="3383" w:name="_Toc19463"/>
            <w:r>
              <w:rPr>
                <w:rFonts w:hint="default" w:ascii="Times New Roman" w:hAnsi="Times New Roman" w:eastAsia="宋体" w:cs="Times New Roman"/>
                <w:color w:val="auto"/>
                <w:sz w:val="21"/>
                <w:szCs w:val="21"/>
                <w:highlight w:val="none"/>
                <w:lang w:val="en-US" w:eastAsia="zh-CN"/>
              </w:rPr>
              <w:t>4.42</w:t>
            </w:r>
            <w:bookmarkEnd w:id="3381"/>
            <w:bookmarkEnd w:id="3382"/>
            <w:bookmarkEnd w:id="3383"/>
          </w:p>
        </w:tc>
        <w:tc>
          <w:tcPr>
            <w:tcW w:w="519" w:type="pct"/>
            <w:tcBorders>
              <w:tl2br w:val="nil"/>
              <w:tr2bl w:val="nil"/>
            </w:tcBorders>
            <w:shd w:val="clear" w:color="auto" w:fill="auto"/>
            <w:noWrap/>
            <w:vAlign w:val="center"/>
          </w:tcPr>
          <w:p w14:paraId="78B846D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009" w:type="pct"/>
            <w:tcBorders>
              <w:tl2br w:val="nil"/>
              <w:tr2bl w:val="nil"/>
            </w:tcBorders>
            <w:shd w:val="clear" w:color="auto" w:fill="auto"/>
            <w:noWrap/>
            <w:vAlign w:val="center"/>
          </w:tcPr>
          <w:p w14:paraId="78609E8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p>
        </w:tc>
      </w:tr>
    </w:tbl>
    <w:p w14:paraId="32598A4D">
      <w:pPr>
        <w:ind w:left="0" w:leftChars="0" w:firstLine="0" w:firstLineChar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26" o:spt="75" type="#_x0000_t75" style="height:292.35pt;width:414.7pt;" o:ole="t" filled="f" o:preferrelative="t" stroked="f" coordsize="21600,21600">
            <v:path/>
            <v:fill on="f" focussize="0,0"/>
            <v:stroke on="f"/>
            <v:imagedata r:id="rId41" o:title=""/>
            <o:lock v:ext="edit" aspectratio="f"/>
            <w10:wrap type="none"/>
            <w10:anchorlock/>
          </v:shape>
          <o:OLEObject Type="Embed" ProgID="Visio.Drawing.15" ShapeID="_x0000_i1026" DrawAspect="Content" ObjectID="_1468075726" r:id="rId40">
            <o:LockedField>false</o:LockedField>
          </o:OLEObject>
        </w:object>
      </w:r>
    </w:p>
    <w:p w14:paraId="4EFD5290">
      <w:pPr>
        <w:jc w:val="center"/>
        <w:rPr>
          <w:rFonts w:hint="default" w:ascii="Times New Roman" w:hAnsi="Times New Roman" w:eastAsia="宋体" w:cs="Times New Roman"/>
          <w:color w:val="auto"/>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color w:val="auto"/>
          <w:sz w:val="24"/>
          <w:highlight w:val="none"/>
          <w:lang w:val="en-US" w:eastAsia="zh-CN"/>
        </w:rPr>
        <w:t>图</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cs="Times New Roman"/>
          <w:b/>
          <w:bCs/>
          <w:color w:val="auto"/>
          <w:sz w:val="24"/>
          <w:highlight w:val="none"/>
          <w:lang w:val="en-US" w:eastAsia="zh-CN"/>
        </w:rPr>
        <w:t>.11-1</w:t>
      </w:r>
      <w:r>
        <w:rPr>
          <w:rFonts w:hint="default" w:ascii="Times New Roman" w:hAnsi="Times New Roman" w:eastAsia="宋体" w:cs="Times New Roman"/>
          <w:b/>
          <w:bCs/>
          <w:color w:val="auto"/>
          <w:sz w:val="24"/>
          <w:highlight w:val="none"/>
          <w:lang w:val="en-US" w:eastAsia="zh-CN"/>
        </w:rPr>
        <w:t>土方平衡图</w:t>
      </w:r>
      <w:r>
        <w:rPr>
          <w:rFonts w:hint="eastAsia" w:cs="Times New Roman"/>
          <w:b/>
          <w:bCs/>
          <w:color w:val="auto"/>
          <w:sz w:val="24"/>
          <w:highlight w:val="none"/>
          <w:lang w:val="en-US" w:eastAsia="zh-CN"/>
        </w:rPr>
        <w:t>（单位 万m</w:t>
      </w:r>
      <w:r>
        <w:rPr>
          <w:rFonts w:hint="eastAsia" w:cs="Times New Roman"/>
          <w:b/>
          <w:bCs/>
          <w:color w:val="auto"/>
          <w:sz w:val="24"/>
          <w:highlight w:val="none"/>
          <w:vertAlign w:val="superscript"/>
          <w:lang w:val="en-US" w:eastAsia="zh-CN"/>
        </w:rPr>
        <w:t>3</w:t>
      </w:r>
      <w:r>
        <w:rPr>
          <w:rFonts w:hint="eastAsia" w:cs="Times New Roman"/>
          <w:b/>
          <w:bCs/>
          <w:color w:val="auto"/>
          <w:sz w:val="24"/>
          <w:highlight w:val="none"/>
          <w:lang w:val="en-US" w:eastAsia="zh-CN"/>
        </w:rPr>
        <w:t>）</w:t>
      </w:r>
    </w:p>
    <w:p w14:paraId="223DCF9A">
      <w:pPr>
        <w:pStyle w:val="3"/>
        <w:rPr>
          <w:rFonts w:hint="default" w:ascii="Times New Roman" w:hAnsi="Times New Roman" w:cs="Times New Roman"/>
          <w:snapToGrid w:val="0"/>
          <w:color w:val="auto"/>
          <w:sz w:val="28"/>
          <w:szCs w:val="28"/>
          <w:highlight w:val="none"/>
        </w:rPr>
      </w:pPr>
      <w:bookmarkStart w:id="3384" w:name="_Toc24259"/>
      <w:bookmarkStart w:id="3385" w:name="_Toc23748"/>
      <w:bookmarkStart w:id="3386" w:name="_Toc21360"/>
      <w:bookmarkStart w:id="3387" w:name="_Toc28141"/>
      <w:r>
        <w:rPr>
          <w:rFonts w:hint="default" w:ascii="Times New Roman" w:hAnsi="Times New Roman" w:cs="Times New Roman"/>
          <w:snapToGrid w:val="0"/>
          <w:color w:val="auto"/>
          <w:sz w:val="28"/>
          <w:szCs w:val="28"/>
          <w:highlight w:val="none"/>
        </w:rPr>
        <w:t>3工程分析</w:t>
      </w:r>
      <w:bookmarkEnd w:id="3384"/>
      <w:bookmarkEnd w:id="3385"/>
      <w:bookmarkEnd w:id="3386"/>
      <w:bookmarkEnd w:id="3387"/>
      <w:bookmarkStart w:id="3388" w:name="_Toc5311"/>
    </w:p>
    <w:p w14:paraId="2CCAC1FE">
      <w:pPr>
        <w:pStyle w:val="4"/>
        <w:rPr>
          <w:rFonts w:hint="default" w:ascii="Times New Roman" w:hAnsi="Times New Roman" w:cs="Times New Roman"/>
          <w:color w:val="auto"/>
          <w:sz w:val="28"/>
          <w:szCs w:val="28"/>
          <w:highlight w:val="none"/>
        </w:rPr>
      </w:pPr>
      <w:bookmarkStart w:id="3389" w:name="_Toc18275"/>
      <w:bookmarkStart w:id="3390" w:name="_Toc22347"/>
      <w:bookmarkStart w:id="3391" w:name="_Toc30786"/>
      <w:r>
        <w:rPr>
          <w:rFonts w:hint="default" w:ascii="Times New Roman" w:hAnsi="Times New Roman" w:cs="Times New Roman"/>
          <w:color w:val="auto"/>
          <w:sz w:val="28"/>
          <w:szCs w:val="28"/>
          <w:highlight w:val="none"/>
        </w:rPr>
        <w:t>3.1工程方案环境合理性分析</w:t>
      </w:r>
      <w:bookmarkEnd w:id="3388"/>
      <w:bookmarkEnd w:id="3389"/>
      <w:bookmarkEnd w:id="3390"/>
      <w:bookmarkEnd w:id="3391"/>
    </w:p>
    <w:p w14:paraId="09A26305">
      <w:pPr>
        <w:pStyle w:val="6"/>
        <w:outlineLvl w:val="2"/>
        <w:rPr>
          <w:rFonts w:hint="default" w:ascii="Times New Roman" w:hAnsi="Times New Roman" w:cs="Times New Roman"/>
          <w:color w:val="auto"/>
          <w:sz w:val="28"/>
          <w:szCs w:val="28"/>
          <w:highlight w:val="none"/>
        </w:rPr>
      </w:pPr>
      <w:bookmarkStart w:id="3392" w:name="_Toc24992"/>
      <w:bookmarkStart w:id="3393" w:name="_Toc6721"/>
      <w:bookmarkStart w:id="3394" w:name="_Toc10272"/>
      <w:r>
        <w:rPr>
          <w:rFonts w:hint="default" w:ascii="Times New Roman" w:hAnsi="Times New Roman" w:cs="Times New Roman"/>
          <w:color w:val="auto"/>
          <w:sz w:val="28"/>
          <w:szCs w:val="28"/>
          <w:highlight w:val="none"/>
        </w:rPr>
        <w:t>3.1.1工程建设必要性</w:t>
      </w:r>
      <w:bookmarkEnd w:id="3392"/>
      <w:bookmarkEnd w:id="3393"/>
      <w:bookmarkEnd w:id="3394"/>
    </w:p>
    <w:p w14:paraId="5C9A6C9A">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eastAsia" w:cs="Times New Roman"/>
          <w:color w:val="auto"/>
          <w:highlight w:val="none"/>
          <w:lang w:eastAsia="zh-CN"/>
        </w:rPr>
        <w:t>）</w:t>
      </w:r>
      <w:r>
        <w:rPr>
          <w:rFonts w:hint="default" w:ascii="Times New Roman" w:hAnsi="Times New Roman" w:eastAsia="宋体" w:cs="Times New Roman"/>
          <w:color w:val="auto"/>
          <w:highlight w:val="none"/>
        </w:rPr>
        <w:t>防洪减灾的迫切需要</w:t>
      </w:r>
    </w:p>
    <w:p w14:paraId="148482BD">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通过对工程区河道治理工程的实施，可有效提高河道的设防标准，改善河道现状，恢复和强化河道行洪功能，稳定河势，改善区域环境，适应河道的自然性、安全性和生态性的要求。</w:t>
      </w:r>
    </w:p>
    <w:p w14:paraId="13DC846C">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eastAsia" w:cs="Times New Roman"/>
          <w:color w:val="auto"/>
          <w:highlight w:val="none"/>
          <w:lang w:eastAsia="zh-CN"/>
        </w:rPr>
        <w:t>）</w:t>
      </w:r>
      <w:r>
        <w:rPr>
          <w:rFonts w:hint="default" w:ascii="Times New Roman" w:hAnsi="Times New Roman" w:eastAsia="宋体" w:cs="Times New Roman"/>
          <w:color w:val="auto"/>
          <w:highlight w:val="none"/>
        </w:rPr>
        <w:t>进一步巩固生态安全屏障，贯彻国家生态战略的需要</w:t>
      </w:r>
    </w:p>
    <w:p w14:paraId="5AB5F4AD">
      <w:pPr>
        <w:spacing w:beforeLines="0" w:afterLines="0"/>
        <w:jc w:val="both"/>
        <w:rPr>
          <w:rFonts w:hint="default" w:ascii="Times New Roman" w:hAnsi="Times New Roman" w:eastAsia="宋体" w:cs="Times New Roman"/>
          <w:color w:val="auto"/>
          <w:highlight w:val="none"/>
        </w:rPr>
      </w:pPr>
      <w:r>
        <w:rPr>
          <w:rFonts w:hint="eastAsia" w:cs="Times New Roman"/>
          <w:color w:val="auto"/>
          <w:highlight w:val="none"/>
          <w:lang w:eastAsia="zh-CN"/>
        </w:rPr>
        <w:t>本工程</w:t>
      </w:r>
      <w:r>
        <w:rPr>
          <w:rFonts w:hint="default" w:ascii="Times New Roman" w:hAnsi="Times New Roman" w:eastAsia="宋体" w:cs="Times New Roman"/>
          <w:color w:val="auto"/>
          <w:highlight w:val="none"/>
        </w:rPr>
        <w:t>将从区域空间格局优化、景观单元整体性和关联、生态系统功能提升等方面，系统实现茹河（小河段）流域的山水林田湖草生态修复。项目实施，将有力推动茹河（小河段）流域功能区山水林田湖草沙综合治理、系统修复、整体保护，有效涵养水源、改善生态、调节气候，促进局部气候条件、区域生态环境逐步改善，维护彭阳县区域生态安全。</w:t>
      </w:r>
    </w:p>
    <w:p w14:paraId="6FC83E73">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（3）是落实</w:t>
      </w:r>
      <w:r>
        <w:rPr>
          <w:rFonts w:hint="eastAsia" w:cs="Times New Roman"/>
          <w:color w:val="auto"/>
          <w:highlight w:val="none"/>
          <w:lang w:eastAsia="zh-CN"/>
        </w:rPr>
        <w:t>“</w:t>
      </w:r>
      <w:r>
        <w:rPr>
          <w:rFonts w:hint="default" w:ascii="Times New Roman" w:hAnsi="Times New Roman" w:eastAsia="宋体" w:cs="Times New Roman"/>
          <w:color w:val="auto"/>
          <w:highlight w:val="none"/>
        </w:rPr>
        <w:t>山水林田湖草是一个生命共同体</w:t>
      </w:r>
      <w:r>
        <w:rPr>
          <w:rFonts w:hint="eastAsia" w:cs="Times New Roman"/>
          <w:color w:val="auto"/>
          <w:highlight w:val="none"/>
          <w:lang w:eastAsia="zh-CN"/>
        </w:rPr>
        <w:t>”</w:t>
      </w:r>
      <w:r>
        <w:rPr>
          <w:rFonts w:hint="default" w:ascii="Times New Roman" w:hAnsi="Times New Roman" w:eastAsia="宋体" w:cs="Times New Roman"/>
          <w:color w:val="auto"/>
          <w:highlight w:val="none"/>
        </w:rPr>
        <w:t>的生态治理理念的根本需要</w:t>
      </w:r>
    </w:p>
    <w:p w14:paraId="01EEC576">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彭阳县牢固树立山水林田湖草是一个生命共同体的理念，从全方位、全</w:t>
      </w:r>
      <w:r>
        <w:rPr>
          <w:rFonts w:hint="eastAsia" w:cs="Times New Roman"/>
          <w:color w:val="auto"/>
          <w:highlight w:val="none"/>
          <w:lang w:eastAsia="zh-CN"/>
        </w:rPr>
        <w:t>地域</w:t>
      </w:r>
      <w:r>
        <w:rPr>
          <w:rFonts w:hint="default" w:ascii="Times New Roman" w:hAnsi="Times New Roman" w:eastAsia="宋体" w:cs="Times New Roman"/>
          <w:color w:val="auto"/>
          <w:highlight w:val="none"/>
        </w:rPr>
        <w:t>、全过程开展生态文明建设，统筹山水林田湖草系统治理，通过综合治理茹河（小河段）支流河道，达到统一保护、统一修复，为建设美丽彭阳夯基筑台、保驾护航。</w:t>
      </w:r>
    </w:p>
    <w:p w14:paraId="3A89E568">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eastAsia" w:cs="Times New Roman"/>
          <w:color w:val="auto"/>
          <w:highlight w:val="none"/>
          <w:lang w:eastAsia="zh-CN"/>
        </w:rPr>
        <w:t>）</w:t>
      </w:r>
      <w:r>
        <w:rPr>
          <w:rFonts w:hint="default" w:ascii="Times New Roman" w:hAnsi="Times New Roman" w:eastAsia="宋体" w:cs="Times New Roman"/>
          <w:color w:val="auto"/>
          <w:highlight w:val="none"/>
        </w:rPr>
        <w:t>切实贯彻新时期固原市重点生态系统保护与修复重大工程规划的要求</w:t>
      </w:r>
    </w:p>
    <w:p w14:paraId="4CDF01EE">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鉴于茹河（小河段）流域在固原市区域生态格局中的重要性，区域生态建设历史成效和现状问题的典型性，</w:t>
      </w:r>
      <w:r>
        <w:rPr>
          <w:rFonts w:hint="eastAsia" w:cs="Times New Roman"/>
          <w:color w:val="auto"/>
          <w:highlight w:val="none"/>
          <w:lang w:eastAsia="zh-CN"/>
        </w:rPr>
        <w:t>本工程</w:t>
      </w:r>
      <w:r>
        <w:rPr>
          <w:rFonts w:hint="default" w:ascii="Times New Roman" w:hAnsi="Times New Roman" w:eastAsia="宋体" w:cs="Times New Roman"/>
          <w:color w:val="auto"/>
          <w:highlight w:val="none"/>
        </w:rPr>
        <w:t>的实施将是贯彻全市重点生态系统保护与修复重大工程规划的创新实践。同时，也是地方转变社会经济发展方式，把生态建设成效优势转化为社会经济优势，推动生态</w:t>
      </w:r>
      <w:r>
        <w:rPr>
          <w:rFonts w:hint="eastAsia" w:cs="Times New Roman"/>
          <w:color w:val="auto"/>
          <w:highlight w:val="none"/>
          <w:lang w:eastAsia="zh-CN"/>
        </w:rPr>
        <w:t>－</w:t>
      </w:r>
      <w:r>
        <w:rPr>
          <w:rFonts w:hint="default" w:ascii="Times New Roman" w:hAnsi="Times New Roman" w:eastAsia="宋体" w:cs="Times New Roman"/>
          <w:color w:val="auto"/>
          <w:highlight w:val="none"/>
        </w:rPr>
        <w:t>经济</w:t>
      </w:r>
      <w:r>
        <w:rPr>
          <w:rFonts w:hint="eastAsia" w:cs="Times New Roman"/>
          <w:color w:val="auto"/>
          <w:highlight w:val="none"/>
          <w:lang w:eastAsia="zh-CN"/>
        </w:rPr>
        <w:t>－</w:t>
      </w:r>
      <w:r>
        <w:rPr>
          <w:rFonts w:hint="default" w:ascii="Times New Roman" w:hAnsi="Times New Roman" w:eastAsia="宋体" w:cs="Times New Roman"/>
          <w:color w:val="auto"/>
          <w:highlight w:val="none"/>
        </w:rPr>
        <w:t>社会协调发展的必由之路。</w:t>
      </w:r>
    </w:p>
    <w:p w14:paraId="6B99CB62">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（5）是落实</w:t>
      </w:r>
      <w:r>
        <w:rPr>
          <w:rFonts w:hint="eastAsia" w:cs="Times New Roman"/>
          <w:color w:val="auto"/>
          <w:highlight w:val="none"/>
          <w:lang w:eastAsia="zh-CN"/>
        </w:rPr>
        <w:t>“</w:t>
      </w:r>
      <w:r>
        <w:rPr>
          <w:rFonts w:hint="default" w:ascii="Times New Roman" w:hAnsi="Times New Roman" w:eastAsia="宋体" w:cs="Times New Roman"/>
          <w:color w:val="auto"/>
          <w:highlight w:val="none"/>
        </w:rPr>
        <w:t>山水林田湖草是一个生命共同体</w:t>
      </w:r>
      <w:r>
        <w:rPr>
          <w:rFonts w:hint="eastAsia" w:cs="Times New Roman"/>
          <w:color w:val="auto"/>
          <w:highlight w:val="none"/>
          <w:lang w:eastAsia="zh-CN"/>
        </w:rPr>
        <w:t>”</w:t>
      </w:r>
      <w:r>
        <w:rPr>
          <w:rFonts w:hint="default" w:ascii="Times New Roman" w:hAnsi="Times New Roman" w:eastAsia="宋体" w:cs="Times New Roman"/>
          <w:color w:val="auto"/>
          <w:highlight w:val="none"/>
        </w:rPr>
        <w:t>的生态治理理念的根本需要</w:t>
      </w:r>
    </w:p>
    <w:p w14:paraId="6A8DC81A">
      <w:pPr>
        <w:spacing w:beforeLines="0" w:afterLine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彭阳县牢固树立山水林田湖草是一个生命共同体的理念，从全方位、全</w:t>
      </w:r>
      <w:r>
        <w:rPr>
          <w:rFonts w:hint="eastAsia" w:cs="Times New Roman"/>
          <w:color w:val="auto"/>
          <w:highlight w:val="none"/>
          <w:lang w:eastAsia="zh-CN"/>
        </w:rPr>
        <w:t>地域</w:t>
      </w:r>
      <w:r>
        <w:rPr>
          <w:rFonts w:hint="default" w:ascii="Times New Roman" w:hAnsi="Times New Roman" w:eastAsia="宋体" w:cs="Times New Roman"/>
          <w:color w:val="auto"/>
          <w:highlight w:val="none"/>
        </w:rPr>
        <w:t>、全过程开展生态文明建设，统筹山水林田湖草系统治理，通过综合治理茹河（小河段）河道，达到统一保护、统一修复，为建设美丽彭阳夯基筑台、保驾护航。</w:t>
      </w:r>
    </w:p>
    <w:p w14:paraId="7C4CC20E">
      <w:pPr>
        <w:pStyle w:val="6"/>
        <w:bidi w:val="0"/>
        <w:outlineLvl w:val="2"/>
        <w:rPr>
          <w:rFonts w:hint="default" w:ascii="Times New Roman" w:hAnsi="Times New Roman" w:cs="Times New Roman"/>
          <w:color w:val="auto"/>
          <w:sz w:val="28"/>
          <w:szCs w:val="28"/>
          <w:highlight w:val="none"/>
        </w:rPr>
      </w:pPr>
      <w:bookmarkStart w:id="3395" w:name="_Toc118_WPSOffice_Level2"/>
      <w:bookmarkStart w:id="3396" w:name="_Toc23489_WPSOffice_Level2"/>
      <w:bookmarkStart w:id="3397" w:name="_Toc18979"/>
      <w:bookmarkStart w:id="3398" w:name="_Toc2836_WPSOffice_Level2"/>
      <w:bookmarkStart w:id="3399" w:name="_Toc21042"/>
      <w:bookmarkStart w:id="3400" w:name="_Toc9516_WPSOffice_Level2"/>
      <w:bookmarkStart w:id="3401" w:name="_Toc9542_WPSOffice_Level2"/>
      <w:bookmarkStart w:id="3402" w:name="_Toc23999"/>
      <w:bookmarkStart w:id="3403" w:name="_Toc6293_WPSOffice_Level2"/>
      <w:r>
        <w:rPr>
          <w:rFonts w:hint="default" w:ascii="Times New Roman" w:hAnsi="Times New Roman" w:cs="Times New Roman"/>
          <w:color w:val="auto"/>
          <w:sz w:val="28"/>
          <w:szCs w:val="28"/>
          <w:highlight w:val="none"/>
        </w:rPr>
        <w:t>3.1.</w:t>
      </w: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工程选址合理性分析</w:t>
      </w:r>
      <w:bookmarkEnd w:id="3395"/>
      <w:bookmarkEnd w:id="3396"/>
      <w:bookmarkEnd w:id="3397"/>
      <w:bookmarkEnd w:id="3398"/>
      <w:bookmarkEnd w:id="3399"/>
      <w:bookmarkEnd w:id="3400"/>
      <w:bookmarkEnd w:id="3401"/>
      <w:bookmarkEnd w:id="3402"/>
    </w:p>
    <w:bookmarkEnd w:id="3403"/>
    <w:p w14:paraId="70D961A9">
      <w:pPr>
        <w:jc w:val="both"/>
        <w:rPr>
          <w:rFonts w:hint="default" w:ascii="Times New Roman" w:hAnsi="Times New Roman" w:cs="Times New Roman"/>
          <w:b/>
          <w:bCs/>
          <w:color w:val="auto"/>
          <w:kern w:val="0"/>
          <w:sz w:val="24"/>
          <w:highlight w:val="none"/>
          <w:lang w:bidi="ar"/>
        </w:rPr>
      </w:pPr>
      <w:bookmarkStart w:id="3404" w:name="_Toc2725_WPSOffice_Level3"/>
      <w:bookmarkStart w:id="3405" w:name="_Toc21394_WPSOffice_Level3"/>
      <w:r>
        <w:rPr>
          <w:rFonts w:hint="default" w:ascii="Times New Roman" w:hAnsi="Times New Roman" w:cs="Times New Roman"/>
          <w:b/>
          <w:bCs/>
          <w:color w:val="auto"/>
          <w:kern w:val="0"/>
          <w:sz w:val="24"/>
          <w:highlight w:val="none"/>
          <w:lang w:eastAsia="zh-CN" w:bidi="ar"/>
        </w:rPr>
        <w:t>（</w:t>
      </w:r>
      <w:r>
        <w:rPr>
          <w:rFonts w:hint="default" w:ascii="Times New Roman" w:hAnsi="Times New Roman" w:cs="Times New Roman"/>
          <w:b/>
          <w:bCs/>
          <w:color w:val="auto"/>
          <w:kern w:val="0"/>
          <w:sz w:val="24"/>
          <w:highlight w:val="none"/>
          <w:lang w:val="en-US" w:eastAsia="zh-CN" w:bidi="ar"/>
        </w:rPr>
        <w:t>1</w:t>
      </w:r>
      <w:r>
        <w:rPr>
          <w:rFonts w:hint="default" w:ascii="Times New Roman" w:hAnsi="Times New Roman" w:cs="Times New Roman"/>
          <w:b/>
          <w:bCs/>
          <w:color w:val="auto"/>
          <w:kern w:val="0"/>
          <w:sz w:val="24"/>
          <w:highlight w:val="none"/>
          <w:lang w:eastAsia="zh-CN" w:bidi="ar"/>
        </w:rPr>
        <w:t>）</w:t>
      </w:r>
      <w:r>
        <w:rPr>
          <w:rFonts w:hint="default" w:ascii="Times New Roman" w:hAnsi="Times New Roman" w:cs="Times New Roman"/>
          <w:b/>
          <w:bCs/>
          <w:color w:val="auto"/>
          <w:kern w:val="0"/>
          <w:sz w:val="24"/>
          <w:highlight w:val="none"/>
          <w:lang w:bidi="ar"/>
        </w:rPr>
        <w:t>建设区域选址</w:t>
      </w:r>
    </w:p>
    <w:p w14:paraId="5CF24D80">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目前，该河段存在突出的安全隐患与生态问题：一是河岸坍塌、滑坡现象频发，部分岸段因长期水流冲刷、岩土侵蚀，岸坡稳定性极差，已出现多处坍塌缺口，不仅导致河道行洪断面缩窄、行洪能力大幅下降，还直接威胁沿岸村镇、农田及基础设施安全；二是河道淤积严重，泥沙长期堆积导致河床抬高，汛期洪水宣泄不畅，进一步加剧了区域防洪风险，对沿岸群众生命财产安全构成严重威胁。因此，针对该特定河段实施生态护岸与清淤工程，是修复受损岸线、恢复河道行洪功能、保障区域防洪安全的必要举措，其选址完全依附于现有河道，无其他可替代区域，选址</w:t>
      </w:r>
      <w:r>
        <w:rPr>
          <w:rFonts w:hint="eastAsia" w:ascii="Times New Roman" w:hAnsi="Times New Roman" w:eastAsia="宋体" w:cs="Times New Roman"/>
          <w:color w:val="auto"/>
          <w:sz w:val="24"/>
          <w:szCs w:val="24"/>
          <w:highlight w:val="none"/>
          <w:lang w:val="en-US" w:eastAsia="zh-CN"/>
        </w:rPr>
        <w:t>唯一</w:t>
      </w:r>
      <w:r>
        <w:rPr>
          <w:rFonts w:hint="default" w:ascii="Times New Roman" w:hAnsi="Times New Roman" w:eastAsia="宋体" w:cs="Times New Roman"/>
          <w:color w:val="auto"/>
          <w:sz w:val="24"/>
          <w:szCs w:val="24"/>
          <w:highlight w:val="none"/>
          <w:lang w:val="en-US" w:eastAsia="zh-CN"/>
        </w:rPr>
        <w:t>。</w:t>
      </w:r>
    </w:p>
    <w:p w14:paraId="3DE3C2B1">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项目选址位</w:t>
      </w:r>
      <w:r>
        <w:rPr>
          <w:rFonts w:hint="eastAsia"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val="en-US" w:eastAsia="zh-CN"/>
        </w:rPr>
        <w:t>茹河小河段及川口河段河道，严格遵循生态保护与防洪安全原则。工程采用纯生态砌护、格宾+生态砖等柔性护岸形式，有效减少硬质结构对河岸生态的破坏，符合《河道生态治理技术导则》要求；疏浚工程避开主汛期施工，降低水流冲刷风险。茹河小河段及川口段河道冲毁严重，淤积影响行洪安全，生态护岸与清淤工程为修复河岸生态、保障防洪功能的必要措施。清淤后将淤泥晾晒并堆至堆场，完工后对7处堆场进行生态</w:t>
      </w:r>
      <w:r>
        <w:rPr>
          <w:rFonts w:hint="eastAsia" w:cs="Times New Roman"/>
          <w:color w:val="auto"/>
          <w:sz w:val="24"/>
          <w:szCs w:val="24"/>
          <w:highlight w:val="none"/>
          <w:lang w:val="en-US" w:eastAsia="zh-CN"/>
        </w:rPr>
        <w:t>修复</w:t>
      </w:r>
      <w:r>
        <w:rPr>
          <w:rFonts w:hint="default" w:ascii="Times New Roman" w:hAnsi="Times New Roman" w:eastAsia="宋体" w:cs="Times New Roman"/>
          <w:color w:val="auto"/>
          <w:sz w:val="24"/>
          <w:szCs w:val="24"/>
          <w:highlight w:val="none"/>
          <w:lang w:val="en-US" w:eastAsia="zh-CN"/>
        </w:rPr>
        <w:t>。淤泥全部堆存，</w:t>
      </w:r>
      <w:r>
        <w:rPr>
          <w:rFonts w:hint="eastAsia" w:cs="Times New Roman"/>
          <w:color w:val="auto"/>
          <w:sz w:val="24"/>
          <w:szCs w:val="24"/>
          <w:highlight w:val="none"/>
          <w:lang w:val="en-US" w:eastAsia="zh-CN"/>
        </w:rPr>
        <w:t>并在堆场</w:t>
      </w:r>
      <w:r>
        <w:rPr>
          <w:rFonts w:hint="default" w:ascii="Times New Roman" w:hAnsi="Times New Roman" w:eastAsia="宋体" w:cs="Times New Roman"/>
          <w:color w:val="auto"/>
          <w:sz w:val="24"/>
          <w:szCs w:val="24"/>
          <w:highlight w:val="none"/>
          <w:lang w:val="en-US" w:eastAsia="zh-CN"/>
        </w:rPr>
        <w:t>撒播草籽</w:t>
      </w:r>
      <w:r>
        <w:rPr>
          <w:rFonts w:hint="eastAsia" w:cs="Times New Roman"/>
          <w:color w:val="auto"/>
          <w:sz w:val="24"/>
          <w:szCs w:val="24"/>
          <w:highlight w:val="none"/>
          <w:lang w:val="en-US" w:eastAsia="zh-CN"/>
        </w:rPr>
        <w:t>进行</w:t>
      </w:r>
      <w:r>
        <w:rPr>
          <w:rFonts w:hint="default" w:ascii="Times New Roman" w:hAnsi="Times New Roman" w:eastAsia="宋体" w:cs="Times New Roman"/>
          <w:color w:val="auto"/>
          <w:sz w:val="24"/>
          <w:szCs w:val="24"/>
          <w:highlight w:val="none"/>
          <w:lang w:val="en-US" w:eastAsia="zh-CN"/>
        </w:rPr>
        <w:t>生态</w:t>
      </w:r>
      <w:r>
        <w:rPr>
          <w:rFonts w:hint="eastAsia" w:cs="Times New Roman"/>
          <w:color w:val="auto"/>
          <w:sz w:val="24"/>
          <w:szCs w:val="24"/>
          <w:highlight w:val="none"/>
          <w:lang w:val="en-US" w:eastAsia="zh-CN"/>
        </w:rPr>
        <w:t>修复。</w:t>
      </w:r>
    </w:p>
    <w:p w14:paraId="281E8B2B">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河道走向及周边村镇分布决定了工程必须沿河施工。新增永久占地为拦泥坝及巡检道路，沿河岸布设以保障河道管理及防洪抢险需求；临时占地限于施工区及临时道路，项目占地不在生态保护红线范围内，且不在红线内设置施工工区。</w:t>
      </w:r>
    </w:p>
    <w:p w14:paraId="7C7C6F88">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周边村镇聚集，交通水电便利，且工程布设均位于河道范围内，工程严格避让生态保护红线及基本农田，符合土地利用规划与环保法规。</w:t>
      </w:r>
    </w:p>
    <w:p w14:paraId="525AF9E9">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综上，项目建设区选址合理可行。</w:t>
      </w:r>
    </w:p>
    <w:p w14:paraId="2CF920F0">
      <w:pPr>
        <w:jc w:val="both"/>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en-US" w:eastAsia="zh-CN" w:bidi="ar"/>
        </w:rPr>
        <w:t>（2）堆场选址合理性分析</w:t>
      </w:r>
    </w:p>
    <w:p w14:paraId="4950819F">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①地形条件与空间适配‌</w:t>
      </w:r>
    </w:p>
    <w:p w14:paraId="58F6A054">
      <w:pPr>
        <w:spacing w:beforeLines="0" w:afterLines="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t>石头崾岘水库库区为狭窄长条式水面，平均宽度290m左右，由于左岸原始河床凹凸不平，水库淤积后库区左岸形成了数个大小不等的凹湾，通过实际勘测，在确保不挤占防洪库容（高于校核洪水位1472.45m的淤积高程）的前提下，存在7处凹湾具有堆放条件。这些凹湾作为天然场地，既契合库区地形特征，又为淤泥消纳提供了可利用的空间载体，实现对现有地形资源的高效利用。</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41"/>
        <w:gridCol w:w="4081"/>
      </w:tblGrid>
      <w:tr w14:paraId="4E8E2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1" w:type="dxa"/>
          </w:tcPr>
          <w:p w14:paraId="48FC0C7F">
            <w:pPr>
              <w:keepNext w:val="0"/>
              <w:keepLines w:val="0"/>
              <w:suppressLineNumbers w:val="0"/>
              <w:spacing w:before="0" w:beforeLines="0" w:beforeAutospacing="0" w:after="0" w:afterLines="0" w:afterAutospacing="0"/>
              <w:ind w:left="0" w:leftChars="0" w:right="0" w:firstLine="0" w:firstLineChars="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64765" cy="1779905"/>
                  <wp:effectExtent l="0" t="0" r="6985" b="10795"/>
                  <wp:docPr id="27" name="图片 27" descr="6d85371e-5902-414c-b458-5898e0854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d85371e-5902-414c-b458-5898e08548f6"/>
                          <pic:cNvPicPr>
                            <a:picLocks noChangeAspect="1"/>
                          </pic:cNvPicPr>
                        </pic:nvPicPr>
                        <pic:blipFill>
                          <a:blip r:embed="rId42"/>
                          <a:stretch>
                            <a:fillRect/>
                          </a:stretch>
                        </pic:blipFill>
                        <pic:spPr>
                          <a:xfrm>
                            <a:off x="0" y="0"/>
                            <a:ext cx="2564765" cy="1779905"/>
                          </a:xfrm>
                          <a:prstGeom prst="rect">
                            <a:avLst/>
                          </a:prstGeom>
                        </pic:spPr>
                      </pic:pic>
                    </a:graphicData>
                  </a:graphic>
                </wp:inline>
              </w:drawing>
            </w:r>
          </w:p>
        </w:tc>
        <w:tc>
          <w:tcPr>
            <w:tcW w:w="4081" w:type="dxa"/>
          </w:tcPr>
          <w:p w14:paraId="0886FEEF">
            <w:pPr>
              <w:keepNext w:val="0"/>
              <w:keepLines w:val="0"/>
              <w:suppressLineNumbers w:val="0"/>
              <w:spacing w:before="0" w:beforeLines="0" w:beforeAutospacing="0" w:after="0" w:afterLines="0" w:afterAutospacing="0"/>
              <w:ind w:left="0" w:leftChars="0" w:right="0" w:firstLine="0" w:firstLineChars="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471420" cy="1831340"/>
                  <wp:effectExtent l="0" t="0" r="5080" b="16510"/>
                  <wp:docPr id="28" name="图片 28" descr="0574b9f0-cc39-49e5-bf70-23e682c35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574b9f0-cc39-49e5-bf70-23e682c359e1"/>
                          <pic:cNvPicPr>
                            <a:picLocks noChangeAspect="1"/>
                          </pic:cNvPicPr>
                        </pic:nvPicPr>
                        <pic:blipFill>
                          <a:blip r:embed="rId43"/>
                          <a:stretch>
                            <a:fillRect/>
                          </a:stretch>
                        </pic:blipFill>
                        <pic:spPr>
                          <a:xfrm>
                            <a:off x="0" y="0"/>
                            <a:ext cx="2471420" cy="1831340"/>
                          </a:xfrm>
                          <a:prstGeom prst="rect">
                            <a:avLst/>
                          </a:prstGeom>
                        </pic:spPr>
                      </pic:pic>
                    </a:graphicData>
                  </a:graphic>
                </wp:inline>
              </w:drawing>
            </w:r>
          </w:p>
        </w:tc>
      </w:tr>
      <w:tr w14:paraId="30AEE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1" w:type="dxa"/>
          </w:tcPr>
          <w:p w14:paraId="4D10392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1</w:t>
            </w:r>
            <w:r>
              <w:rPr>
                <w:rFonts w:hint="eastAsia" w:cs="Times New Roman"/>
                <w:color w:val="auto"/>
                <w:highlight w:val="none"/>
                <w:vertAlign w:val="superscript"/>
                <w:lang w:val="en-US" w:eastAsia="zh-CN"/>
              </w:rPr>
              <w:t>#</w:t>
            </w:r>
            <w:r>
              <w:rPr>
                <w:rFonts w:hint="eastAsia" w:cs="Times New Roman"/>
                <w:color w:val="auto"/>
                <w:highlight w:val="none"/>
                <w:vertAlign w:val="baseline"/>
                <w:lang w:val="en-US" w:eastAsia="zh-CN"/>
              </w:rPr>
              <w:t>堆场</w:t>
            </w:r>
          </w:p>
        </w:tc>
        <w:tc>
          <w:tcPr>
            <w:tcW w:w="4081" w:type="dxa"/>
          </w:tcPr>
          <w:p w14:paraId="42005A7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2</w:t>
            </w:r>
            <w:r>
              <w:rPr>
                <w:rFonts w:hint="eastAsia" w:cs="Times New Roman"/>
                <w:color w:val="auto"/>
                <w:highlight w:val="none"/>
                <w:vertAlign w:val="superscript"/>
                <w:lang w:val="en-US" w:eastAsia="zh-CN"/>
              </w:rPr>
              <w:t>#</w:t>
            </w:r>
            <w:r>
              <w:rPr>
                <w:rFonts w:hint="eastAsia" w:cs="Times New Roman"/>
                <w:color w:val="auto"/>
                <w:highlight w:val="none"/>
                <w:vertAlign w:val="baseline"/>
                <w:lang w:val="en-US" w:eastAsia="zh-CN"/>
              </w:rPr>
              <w:t>堆场</w:t>
            </w:r>
          </w:p>
        </w:tc>
      </w:tr>
      <w:tr w14:paraId="45796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1" w:type="dxa"/>
          </w:tcPr>
          <w:p w14:paraId="5E2B15B4">
            <w:pPr>
              <w:keepNext w:val="0"/>
              <w:keepLines w:val="0"/>
              <w:suppressLineNumbers w:val="0"/>
              <w:spacing w:before="0" w:beforeLines="0" w:beforeAutospacing="0" w:after="0" w:afterLines="0" w:afterAutospacing="0"/>
              <w:ind w:left="0" w:leftChars="0" w:right="0" w:firstLine="0" w:firstLineChars="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698750" cy="1406525"/>
                  <wp:effectExtent l="0" t="0" r="6350" b="3175"/>
                  <wp:docPr id="37" name="图片 37" descr="0f293073-717d-4830-9e06-e3c53025b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f293073-717d-4830-9e06-e3c53025b73b"/>
                          <pic:cNvPicPr>
                            <a:picLocks noChangeAspect="1"/>
                          </pic:cNvPicPr>
                        </pic:nvPicPr>
                        <pic:blipFill>
                          <a:blip r:embed="rId44"/>
                          <a:stretch>
                            <a:fillRect/>
                          </a:stretch>
                        </pic:blipFill>
                        <pic:spPr>
                          <a:xfrm>
                            <a:off x="0" y="0"/>
                            <a:ext cx="2698750" cy="1406525"/>
                          </a:xfrm>
                          <a:prstGeom prst="rect">
                            <a:avLst/>
                          </a:prstGeom>
                        </pic:spPr>
                      </pic:pic>
                    </a:graphicData>
                  </a:graphic>
                </wp:inline>
              </w:drawing>
            </w:r>
          </w:p>
        </w:tc>
        <w:tc>
          <w:tcPr>
            <w:tcW w:w="4081" w:type="dxa"/>
          </w:tcPr>
          <w:p w14:paraId="03C925D3">
            <w:pPr>
              <w:keepNext w:val="0"/>
              <w:keepLines w:val="0"/>
              <w:suppressLineNumbers w:val="0"/>
              <w:spacing w:before="0" w:beforeLines="0" w:beforeAutospacing="0" w:after="0" w:afterLines="0" w:afterAutospacing="0"/>
              <w:ind w:left="0" w:leftChars="0" w:right="0" w:firstLine="0" w:firstLineChars="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436495" cy="1391920"/>
                  <wp:effectExtent l="0" t="0" r="1905" b="17780"/>
                  <wp:docPr id="39" name="图片 39" descr="4a85be84-5ac2-4c63-94ab-5df4a7b6c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a85be84-5ac2-4c63-94ab-5df4a7b6ce9c"/>
                          <pic:cNvPicPr>
                            <a:picLocks noChangeAspect="1"/>
                          </pic:cNvPicPr>
                        </pic:nvPicPr>
                        <pic:blipFill>
                          <a:blip r:embed="rId45"/>
                          <a:stretch>
                            <a:fillRect/>
                          </a:stretch>
                        </pic:blipFill>
                        <pic:spPr>
                          <a:xfrm>
                            <a:off x="0" y="0"/>
                            <a:ext cx="2436495" cy="1391920"/>
                          </a:xfrm>
                          <a:prstGeom prst="rect">
                            <a:avLst/>
                          </a:prstGeom>
                        </pic:spPr>
                      </pic:pic>
                    </a:graphicData>
                  </a:graphic>
                </wp:inline>
              </w:drawing>
            </w:r>
          </w:p>
        </w:tc>
      </w:tr>
      <w:tr w14:paraId="582A4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1" w:type="dxa"/>
          </w:tcPr>
          <w:p w14:paraId="719B634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3</w:t>
            </w:r>
            <w:r>
              <w:rPr>
                <w:rFonts w:hint="eastAsia" w:cs="Times New Roman"/>
                <w:color w:val="auto"/>
                <w:highlight w:val="none"/>
                <w:vertAlign w:val="superscript"/>
                <w:lang w:val="en-US" w:eastAsia="zh-CN"/>
              </w:rPr>
              <w:t>#</w:t>
            </w:r>
            <w:r>
              <w:rPr>
                <w:rFonts w:hint="eastAsia" w:cs="Times New Roman"/>
                <w:color w:val="auto"/>
                <w:highlight w:val="none"/>
                <w:vertAlign w:val="baseline"/>
                <w:lang w:val="en-US" w:eastAsia="zh-CN"/>
              </w:rPr>
              <w:t>堆场</w:t>
            </w:r>
          </w:p>
        </w:tc>
        <w:tc>
          <w:tcPr>
            <w:tcW w:w="4081" w:type="dxa"/>
          </w:tcPr>
          <w:p w14:paraId="6B6CECD5">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4</w:t>
            </w:r>
            <w:r>
              <w:rPr>
                <w:rFonts w:hint="eastAsia" w:cs="Times New Roman"/>
                <w:color w:val="auto"/>
                <w:highlight w:val="none"/>
                <w:vertAlign w:val="superscript"/>
                <w:lang w:val="en-US" w:eastAsia="zh-CN"/>
              </w:rPr>
              <w:t>#</w:t>
            </w:r>
            <w:r>
              <w:rPr>
                <w:rFonts w:hint="eastAsia" w:cs="Times New Roman"/>
                <w:color w:val="auto"/>
                <w:highlight w:val="none"/>
                <w:vertAlign w:val="baseline"/>
                <w:lang w:val="en-US" w:eastAsia="zh-CN"/>
              </w:rPr>
              <w:t>堆场</w:t>
            </w:r>
          </w:p>
        </w:tc>
      </w:tr>
      <w:tr w14:paraId="51AD1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1" w:type="dxa"/>
          </w:tcPr>
          <w:p w14:paraId="64D6FFB8">
            <w:pPr>
              <w:keepNext w:val="0"/>
              <w:keepLines w:val="0"/>
              <w:suppressLineNumbers w:val="0"/>
              <w:spacing w:before="0" w:beforeLines="0" w:beforeAutospacing="0" w:after="0" w:afterLines="0" w:afterAutospacing="0"/>
              <w:ind w:left="0" w:leftChars="0" w:right="0" w:firstLine="0" w:firstLineChars="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885440" cy="1674495"/>
                  <wp:effectExtent l="0" t="0" r="10160" b="1905"/>
                  <wp:docPr id="38" name="图片 38" descr="220dc056-16bb-4f47-a920-36fdb1d82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20dc056-16bb-4f47-a920-36fdb1d8258a"/>
                          <pic:cNvPicPr>
                            <a:picLocks noChangeAspect="1"/>
                          </pic:cNvPicPr>
                        </pic:nvPicPr>
                        <pic:blipFill>
                          <a:blip r:embed="rId46"/>
                          <a:stretch>
                            <a:fillRect/>
                          </a:stretch>
                        </pic:blipFill>
                        <pic:spPr>
                          <a:xfrm>
                            <a:off x="0" y="0"/>
                            <a:ext cx="2885440" cy="1674495"/>
                          </a:xfrm>
                          <a:prstGeom prst="rect">
                            <a:avLst/>
                          </a:prstGeom>
                        </pic:spPr>
                      </pic:pic>
                    </a:graphicData>
                  </a:graphic>
                </wp:inline>
              </w:drawing>
            </w:r>
          </w:p>
        </w:tc>
        <w:tc>
          <w:tcPr>
            <w:tcW w:w="4081" w:type="dxa"/>
          </w:tcPr>
          <w:p w14:paraId="595D04D7">
            <w:pPr>
              <w:keepNext w:val="0"/>
              <w:keepLines w:val="0"/>
              <w:suppressLineNumbers w:val="0"/>
              <w:spacing w:before="0" w:beforeLines="0" w:beforeAutospacing="0" w:after="0" w:afterLines="0" w:afterAutospacing="0"/>
              <w:ind w:left="0" w:leftChars="0" w:right="0" w:firstLine="0" w:firstLineChars="0"/>
              <w:jc w:val="both"/>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353945" cy="1760220"/>
                  <wp:effectExtent l="0" t="0" r="8255" b="11430"/>
                  <wp:docPr id="40" name="图片 40" descr="dc8dbe6b-e522-4979-bbec-90bc0e95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c8dbe6b-e522-4979-bbec-90bc0e95e252"/>
                          <pic:cNvPicPr>
                            <a:picLocks noChangeAspect="1"/>
                          </pic:cNvPicPr>
                        </pic:nvPicPr>
                        <pic:blipFill>
                          <a:blip r:embed="rId47"/>
                          <a:stretch>
                            <a:fillRect/>
                          </a:stretch>
                        </pic:blipFill>
                        <pic:spPr>
                          <a:xfrm>
                            <a:off x="0" y="0"/>
                            <a:ext cx="2353945" cy="1760220"/>
                          </a:xfrm>
                          <a:prstGeom prst="rect">
                            <a:avLst/>
                          </a:prstGeom>
                        </pic:spPr>
                      </pic:pic>
                    </a:graphicData>
                  </a:graphic>
                </wp:inline>
              </w:drawing>
            </w:r>
          </w:p>
        </w:tc>
      </w:tr>
      <w:tr w14:paraId="7AD5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1" w:type="dxa"/>
          </w:tcPr>
          <w:p w14:paraId="0F492EE6">
            <w:pPr>
              <w:keepNext w:val="0"/>
              <w:keepLines w:val="0"/>
              <w:suppressLineNumbers w:val="0"/>
              <w:spacing w:before="0" w:beforeLines="0" w:beforeAutospacing="0" w:after="0" w:afterLines="0" w:afterAutospacing="0"/>
              <w:ind w:left="0" w:leftChars="0" w:right="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5</w:t>
            </w:r>
            <w:r>
              <w:rPr>
                <w:rFonts w:hint="eastAsia" w:cs="Times New Roman"/>
                <w:color w:val="auto"/>
                <w:highlight w:val="none"/>
                <w:vertAlign w:val="superscript"/>
                <w:lang w:val="en-US" w:eastAsia="zh-CN"/>
              </w:rPr>
              <w:t>#</w:t>
            </w:r>
            <w:r>
              <w:rPr>
                <w:rFonts w:hint="eastAsia" w:cs="Times New Roman"/>
                <w:color w:val="auto"/>
                <w:highlight w:val="none"/>
                <w:vertAlign w:val="baseline"/>
                <w:lang w:val="en-US" w:eastAsia="zh-CN"/>
              </w:rPr>
              <w:t>堆场</w:t>
            </w:r>
          </w:p>
        </w:tc>
        <w:tc>
          <w:tcPr>
            <w:tcW w:w="4081" w:type="dxa"/>
          </w:tcPr>
          <w:p w14:paraId="7FC558C3">
            <w:pPr>
              <w:keepNext w:val="0"/>
              <w:keepLines w:val="0"/>
              <w:suppressLineNumbers w:val="0"/>
              <w:spacing w:before="0" w:beforeLines="0" w:beforeAutospacing="0" w:after="0" w:afterLines="0" w:afterAutospacing="0"/>
              <w:ind w:left="0" w:leftChars="0" w:right="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6</w:t>
            </w:r>
            <w:r>
              <w:rPr>
                <w:rFonts w:hint="eastAsia" w:cs="Times New Roman"/>
                <w:color w:val="auto"/>
                <w:highlight w:val="none"/>
                <w:vertAlign w:val="superscript"/>
                <w:lang w:val="en-US" w:eastAsia="zh-CN"/>
              </w:rPr>
              <w:t>#</w:t>
            </w:r>
            <w:r>
              <w:rPr>
                <w:rFonts w:hint="eastAsia" w:cs="Times New Roman"/>
                <w:color w:val="auto"/>
                <w:highlight w:val="none"/>
                <w:vertAlign w:val="baseline"/>
                <w:lang w:val="en-US" w:eastAsia="zh-CN"/>
              </w:rPr>
              <w:t>堆场</w:t>
            </w:r>
          </w:p>
        </w:tc>
      </w:tr>
      <w:tr w14:paraId="4A825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41" w:type="dxa"/>
          </w:tcPr>
          <w:p w14:paraId="41C0CB8F">
            <w:pPr>
              <w:keepNext w:val="0"/>
              <w:keepLines w:val="0"/>
              <w:suppressLineNumbers w:val="0"/>
              <w:spacing w:before="0" w:beforeLines="0" w:beforeAutospacing="0" w:after="0" w:afterLines="0" w:afterAutospacing="0"/>
              <w:ind w:left="0" w:leftChars="0" w:right="0" w:firstLine="0" w:firstLineChars="0"/>
              <w:jc w:val="center"/>
              <w:rPr>
                <w:rFonts w:hint="default" w:cs="Times New Roman"/>
                <w:color w:val="auto"/>
                <w:highlight w:val="none"/>
                <w:vertAlign w:val="baseline"/>
                <w:lang w:val="en-US" w:eastAsia="zh-CN"/>
              </w:rPr>
            </w:pPr>
            <w:r>
              <w:rPr>
                <w:rFonts w:hint="default" w:cs="Times New Roman"/>
                <w:color w:val="auto"/>
                <w:highlight w:val="none"/>
                <w:vertAlign w:val="baseline"/>
                <w:lang w:val="en-US" w:eastAsia="zh-CN"/>
              </w:rPr>
              <w:drawing>
                <wp:inline distT="0" distB="0" distL="114300" distR="114300">
                  <wp:extent cx="2673985" cy="1849755"/>
                  <wp:effectExtent l="0" t="0" r="12065" b="17145"/>
                  <wp:docPr id="33" name="图片 33" descr="0c161c18-3601-4029-bf8d-87f6cd9be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c161c18-3601-4029-bf8d-87f6cd9bebc1"/>
                          <pic:cNvPicPr>
                            <a:picLocks noChangeAspect="1"/>
                          </pic:cNvPicPr>
                        </pic:nvPicPr>
                        <pic:blipFill>
                          <a:blip r:embed="rId48"/>
                          <a:stretch>
                            <a:fillRect/>
                          </a:stretch>
                        </pic:blipFill>
                        <pic:spPr>
                          <a:xfrm>
                            <a:off x="0" y="0"/>
                            <a:ext cx="2673985" cy="1849755"/>
                          </a:xfrm>
                          <a:prstGeom prst="rect">
                            <a:avLst/>
                          </a:prstGeom>
                        </pic:spPr>
                      </pic:pic>
                    </a:graphicData>
                  </a:graphic>
                </wp:inline>
              </w:drawing>
            </w:r>
          </w:p>
        </w:tc>
        <w:tc>
          <w:tcPr>
            <w:tcW w:w="4081" w:type="dxa"/>
          </w:tcPr>
          <w:p w14:paraId="383C842B">
            <w:pPr>
              <w:keepNext w:val="0"/>
              <w:keepLines w:val="0"/>
              <w:suppressLineNumbers w:val="0"/>
              <w:spacing w:before="0" w:beforeLines="0" w:beforeAutospacing="0" w:after="0" w:afterLines="0" w:afterAutospacing="0"/>
              <w:ind w:left="0" w:leftChars="0" w:right="0" w:firstLine="0" w:firstLineChars="0"/>
              <w:jc w:val="center"/>
              <w:rPr>
                <w:rFonts w:hint="default" w:cs="Times New Roman"/>
                <w:color w:val="auto"/>
                <w:highlight w:val="none"/>
                <w:vertAlign w:val="baseline"/>
                <w:lang w:val="en-US" w:eastAsia="zh-CN"/>
              </w:rPr>
            </w:pPr>
          </w:p>
        </w:tc>
      </w:tr>
      <w:tr w14:paraId="0ECDA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4441" w:type="dxa"/>
          </w:tcPr>
          <w:p w14:paraId="7B0FC14D">
            <w:pPr>
              <w:keepNext w:val="0"/>
              <w:keepLines w:val="0"/>
              <w:suppressLineNumbers w:val="0"/>
              <w:spacing w:before="0" w:beforeLines="0" w:beforeAutospacing="0" w:after="0" w:afterLines="0" w:afterAutospacing="0"/>
              <w:ind w:left="0" w:leftChars="0" w:right="0" w:firstLine="0" w:firstLineChars="0"/>
              <w:jc w:val="center"/>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7</w:t>
            </w:r>
            <w:r>
              <w:rPr>
                <w:rFonts w:hint="eastAsia" w:cs="Times New Roman"/>
                <w:color w:val="auto"/>
                <w:highlight w:val="none"/>
                <w:vertAlign w:val="superscript"/>
                <w:lang w:val="en-US" w:eastAsia="zh-CN"/>
              </w:rPr>
              <w:t>#</w:t>
            </w:r>
            <w:r>
              <w:rPr>
                <w:rFonts w:hint="eastAsia" w:cs="Times New Roman"/>
                <w:color w:val="auto"/>
                <w:highlight w:val="none"/>
                <w:vertAlign w:val="baseline"/>
                <w:lang w:val="en-US" w:eastAsia="zh-CN"/>
              </w:rPr>
              <w:t>堆场</w:t>
            </w:r>
          </w:p>
        </w:tc>
        <w:tc>
          <w:tcPr>
            <w:tcW w:w="4081" w:type="dxa"/>
          </w:tcPr>
          <w:p w14:paraId="58A31953">
            <w:pPr>
              <w:keepNext w:val="0"/>
              <w:keepLines w:val="0"/>
              <w:suppressLineNumbers w:val="0"/>
              <w:spacing w:before="0" w:beforeLines="0" w:beforeAutospacing="0" w:after="0" w:afterLines="0" w:afterAutospacing="0"/>
              <w:ind w:left="0" w:leftChars="0" w:right="0" w:firstLine="0" w:firstLineChars="0"/>
              <w:jc w:val="center"/>
              <w:rPr>
                <w:rFonts w:hint="default" w:cs="Times New Roman"/>
                <w:color w:val="auto"/>
                <w:highlight w:val="none"/>
                <w:vertAlign w:val="baseline"/>
                <w:lang w:val="en-US" w:eastAsia="zh-CN"/>
              </w:rPr>
            </w:pPr>
          </w:p>
        </w:tc>
      </w:tr>
    </w:tbl>
    <w:p w14:paraId="2D1F97B6">
      <w:pPr>
        <w:spacing w:beforeLines="0" w:afterLines="0"/>
        <w:jc w:val="center"/>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图3.1-1堆场现状图</w:t>
      </w:r>
    </w:p>
    <w:p w14:paraId="521E12B6">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②防洪库容保障‌</w:t>
      </w:r>
    </w:p>
    <w:p w14:paraId="116F2688">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选址严格遵循</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不挤占防洪库容</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的原则，确保堆场淤积高程高于校核洪水位（1472.45m），从源头上规避了堆场建设对防洪功能的潜在干扰，保障水库汛期行洪安全。</w:t>
      </w:r>
    </w:p>
    <w:p w14:paraId="3C41755E">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③消纳能力匹配‌</w:t>
      </w:r>
    </w:p>
    <w:p w14:paraId="73E5E137">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通过对库区库尾实测地形及沟道容积量算，7个堆场可消纳淤泥136万m³（含清淤120万m³、临时道路土方16万m³），消纳规模与工程需求精准匹配，满足淤泥处置的总量要求。</w:t>
      </w:r>
    </w:p>
    <w:p w14:paraId="0B74FB22">
      <w:pPr>
        <w:spacing w:beforeLines="0" w:afterLines="0"/>
        <w:jc w:val="center"/>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表3.1-1堆场淤泥消纳规模</w:t>
      </w:r>
    </w:p>
    <w:tbl>
      <w:tblPr>
        <w:tblStyle w:val="3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57"/>
        <w:gridCol w:w="2313"/>
        <w:gridCol w:w="2299"/>
        <w:gridCol w:w="2550"/>
      </w:tblGrid>
      <w:tr w14:paraId="6572D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trPr>
        <w:tc>
          <w:tcPr>
            <w:tcW w:w="796" w:type="pct"/>
            <w:tcBorders>
              <w:tl2br w:val="nil"/>
              <w:tr2bl w:val="nil"/>
            </w:tcBorders>
            <w:shd w:val="clear" w:color="auto" w:fill="auto"/>
            <w:noWrap/>
            <w:vAlign w:val="center"/>
          </w:tcPr>
          <w:p w14:paraId="079191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堆场编号</w:t>
            </w:r>
          </w:p>
        </w:tc>
        <w:tc>
          <w:tcPr>
            <w:tcW w:w="1357" w:type="pct"/>
            <w:tcBorders>
              <w:tl2br w:val="nil"/>
              <w:tr2bl w:val="nil"/>
            </w:tcBorders>
            <w:shd w:val="clear" w:color="auto" w:fill="auto"/>
            <w:noWrap/>
            <w:vAlign w:val="center"/>
          </w:tcPr>
          <w:p w14:paraId="50293A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桩号（km+m）</w:t>
            </w:r>
          </w:p>
        </w:tc>
        <w:tc>
          <w:tcPr>
            <w:tcW w:w="1349" w:type="pct"/>
            <w:tcBorders>
              <w:tl2br w:val="nil"/>
              <w:tr2bl w:val="nil"/>
            </w:tcBorders>
            <w:shd w:val="clear" w:color="auto" w:fill="auto"/>
            <w:vAlign w:val="center"/>
          </w:tcPr>
          <w:p w14:paraId="18B2C7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容积（m</w:t>
            </w:r>
            <w:r>
              <w:rPr>
                <w:rStyle w:val="79"/>
                <w:rFonts w:hint="default" w:ascii="Times New Roman" w:hAnsi="Times New Roman" w:cs="Times New Roman"/>
                <w:b/>
                <w:bCs/>
                <w:color w:val="auto"/>
                <w:sz w:val="21"/>
                <w:szCs w:val="21"/>
                <w:highlight w:val="none"/>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1496" w:type="pct"/>
            <w:tcBorders>
              <w:tl2br w:val="nil"/>
              <w:tr2bl w:val="nil"/>
            </w:tcBorders>
            <w:shd w:val="clear" w:color="auto" w:fill="auto"/>
            <w:vAlign w:val="center"/>
          </w:tcPr>
          <w:p w14:paraId="0929A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平均堆积高度（</w:t>
            </w:r>
            <w:r>
              <w:rPr>
                <w:rStyle w:val="80"/>
                <w:rFonts w:hint="default" w:ascii="Times New Roman" w:hAnsi="Times New Roman" w:eastAsia="宋体" w:cs="Times New Roman"/>
                <w:b/>
                <w:bCs/>
                <w:color w:val="auto"/>
                <w:sz w:val="21"/>
                <w:szCs w:val="21"/>
                <w:highlight w:val="none"/>
                <w:lang w:val="en-US" w:eastAsia="zh-CN" w:bidi="ar"/>
              </w:rPr>
              <w:t>m</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r>
      <w:tr w14:paraId="33F47C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96" w:type="pct"/>
            <w:tcBorders>
              <w:tl2br w:val="nil"/>
              <w:tr2bl w:val="nil"/>
            </w:tcBorders>
            <w:shd w:val="clear" w:color="auto" w:fill="auto"/>
            <w:noWrap/>
            <w:vAlign w:val="center"/>
          </w:tcPr>
          <w:p w14:paraId="57CB3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357" w:type="pct"/>
            <w:tcBorders>
              <w:tl2br w:val="nil"/>
              <w:tr2bl w:val="nil"/>
            </w:tcBorders>
            <w:shd w:val="clear" w:color="auto" w:fill="auto"/>
            <w:noWrap/>
            <w:vAlign w:val="center"/>
          </w:tcPr>
          <w:p w14:paraId="6E509C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0+000~0+140</w:t>
            </w:r>
          </w:p>
        </w:tc>
        <w:tc>
          <w:tcPr>
            <w:tcW w:w="1349" w:type="pct"/>
            <w:tcBorders>
              <w:tl2br w:val="nil"/>
              <w:tr2bl w:val="nil"/>
            </w:tcBorders>
            <w:shd w:val="clear" w:color="auto" w:fill="auto"/>
            <w:noWrap/>
            <w:vAlign w:val="center"/>
          </w:tcPr>
          <w:p w14:paraId="010FEE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30005</w:t>
            </w:r>
          </w:p>
        </w:tc>
        <w:tc>
          <w:tcPr>
            <w:tcW w:w="1496" w:type="pct"/>
            <w:tcBorders>
              <w:tl2br w:val="nil"/>
              <w:tr2bl w:val="nil"/>
            </w:tcBorders>
            <w:shd w:val="clear" w:color="auto" w:fill="auto"/>
            <w:noWrap/>
            <w:vAlign w:val="center"/>
          </w:tcPr>
          <w:p w14:paraId="51C91F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r>
      <w:tr w14:paraId="0E9D84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6" w:type="pct"/>
            <w:tcBorders>
              <w:tl2br w:val="nil"/>
              <w:tr2bl w:val="nil"/>
            </w:tcBorders>
            <w:shd w:val="clear" w:color="auto" w:fill="auto"/>
            <w:noWrap/>
            <w:vAlign w:val="center"/>
          </w:tcPr>
          <w:p w14:paraId="313310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357" w:type="pct"/>
            <w:tcBorders>
              <w:tl2br w:val="nil"/>
              <w:tr2bl w:val="nil"/>
            </w:tcBorders>
            <w:shd w:val="clear" w:color="auto" w:fill="auto"/>
            <w:noWrap/>
            <w:vAlign w:val="center"/>
          </w:tcPr>
          <w:p w14:paraId="2AECC7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0+000~0+350</w:t>
            </w:r>
          </w:p>
        </w:tc>
        <w:tc>
          <w:tcPr>
            <w:tcW w:w="1349" w:type="pct"/>
            <w:tcBorders>
              <w:tl2br w:val="nil"/>
              <w:tr2bl w:val="nil"/>
            </w:tcBorders>
            <w:shd w:val="clear" w:color="auto" w:fill="auto"/>
            <w:noWrap/>
            <w:vAlign w:val="center"/>
          </w:tcPr>
          <w:p w14:paraId="2A0A4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115212.83</w:t>
            </w:r>
          </w:p>
        </w:tc>
        <w:tc>
          <w:tcPr>
            <w:tcW w:w="1496" w:type="pct"/>
            <w:tcBorders>
              <w:tl2br w:val="nil"/>
              <w:tr2bl w:val="nil"/>
            </w:tcBorders>
            <w:shd w:val="clear" w:color="auto" w:fill="auto"/>
            <w:noWrap/>
            <w:vAlign w:val="center"/>
          </w:tcPr>
          <w:p w14:paraId="04255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r>
      <w:tr w14:paraId="5BB802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6" w:type="pct"/>
            <w:tcBorders>
              <w:tl2br w:val="nil"/>
              <w:tr2bl w:val="nil"/>
            </w:tcBorders>
            <w:shd w:val="clear" w:color="auto" w:fill="auto"/>
            <w:noWrap/>
            <w:vAlign w:val="center"/>
          </w:tcPr>
          <w:p w14:paraId="128350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357" w:type="pct"/>
            <w:tcBorders>
              <w:tl2br w:val="nil"/>
              <w:tr2bl w:val="nil"/>
            </w:tcBorders>
            <w:shd w:val="clear" w:color="auto" w:fill="auto"/>
            <w:noWrap/>
            <w:vAlign w:val="center"/>
          </w:tcPr>
          <w:p w14:paraId="1D1DD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0+000~0+350</w:t>
            </w:r>
          </w:p>
        </w:tc>
        <w:tc>
          <w:tcPr>
            <w:tcW w:w="1349" w:type="pct"/>
            <w:tcBorders>
              <w:tl2br w:val="nil"/>
              <w:tr2bl w:val="nil"/>
            </w:tcBorders>
            <w:shd w:val="clear" w:color="auto" w:fill="auto"/>
            <w:noWrap/>
            <w:vAlign w:val="center"/>
          </w:tcPr>
          <w:p w14:paraId="568EB6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184237.5</w:t>
            </w:r>
          </w:p>
        </w:tc>
        <w:tc>
          <w:tcPr>
            <w:tcW w:w="1496" w:type="pct"/>
            <w:tcBorders>
              <w:tl2br w:val="nil"/>
              <w:tr2bl w:val="nil"/>
            </w:tcBorders>
            <w:shd w:val="clear" w:color="auto" w:fill="auto"/>
            <w:noWrap/>
            <w:vAlign w:val="center"/>
          </w:tcPr>
          <w:p w14:paraId="4C3269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14:paraId="46986C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6" w:type="pct"/>
            <w:tcBorders>
              <w:tl2br w:val="nil"/>
              <w:tr2bl w:val="nil"/>
            </w:tcBorders>
            <w:shd w:val="clear" w:color="auto" w:fill="auto"/>
            <w:noWrap/>
            <w:vAlign w:val="center"/>
          </w:tcPr>
          <w:p w14:paraId="116919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357" w:type="pct"/>
            <w:tcBorders>
              <w:tl2br w:val="nil"/>
              <w:tr2bl w:val="nil"/>
            </w:tcBorders>
            <w:shd w:val="clear" w:color="auto" w:fill="auto"/>
            <w:noWrap/>
            <w:vAlign w:val="center"/>
          </w:tcPr>
          <w:p w14:paraId="25CE0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0+000~0+450</w:t>
            </w:r>
          </w:p>
        </w:tc>
        <w:tc>
          <w:tcPr>
            <w:tcW w:w="1349" w:type="pct"/>
            <w:tcBorders>
              <w:tl2br w:val="nil"/>
              <w:tr2bl w:val="nil"/>
            </w:tcBorders>
            <w:shd w:val="clear" w:color="auto" w:fill="auto"/>
            <w:noWrap/>
            <w:vAlign w:val="center"/>
          </w:tcPr>
          <w:p w14:paraId="018B8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306000</w:t>
            </w:r>
          </w:p>
        </w:tc>
        <w:tc>
          <w:tcPr>
            <w:tcW w:w="1496" w:type="pct"/>
            <w:tcBorders>
              <w:tl2br w:val="nil"/>
              <w:tr2bl w:val="nil"/>
            </w:tcBorders>
            <w:shd w:val="clear" w:color="auto" w:fill="auto"/>
            <w:noWrap/>
            <w:vAlign w:val="center"/>
          </w:tcPr>
          <w:p w14:paraId="3EFE53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r>
      <w:tr w14:paraId="4C4D71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6" w:type="pct"/>
            <w:tcBorders>
              <w:tl2br w:val="nil"/>
              <w:tr2bl w:val="nil"/>
            </w:tcBorders>
            <w:shd w:val="clear" w:color="auto" w:fill="auto"/>
            <w:noWrap/>
            <w:vAlign w:val="center"/>
          </w:tcPr>
          <w:p w14:paraId="616D36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357" w:type="pct"/>
            <w:tcBorders>
              <w:tl2br w:val="nil"/>
              <w:tr2bl w:val="nil"/>
            </w:tcBorders>
            <w:shd w:val="clear" w:color="auto" w:fill="auto"/>
            <w:noWrap/>
            <w:vAlign w:val="center"/>
          </w:tcPr>
          <w:p w14:paraId="23E22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0+000~0+450</w:t>
            </w:r>
          </w:p>
        </w:tc>
        <w:tc>
          <w:tcPr>
            <w:tcW w:w="1349" w:type="pct"/>
            <w:tcBorders>
              <w:tl2br w:val="nil"/>
              <w:tr2bl w:val="nil"/>
            </w:tcBorders>
            <w:shd w:val="clear" w:color="auto" w:fill="auto"/>
            <w:noWrap/>
            <w:vAlign w:val="center"/>
          </w:tcPr>
          <w:p w14:paraId="45FF46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323362.5</w:t>
            </w:r>
          </w:p>
        </w:tc>
        <w:tc>
          <w:tcPr>
            <w:tcW w:w="1496" w:type="pct"/>
            <w:tcBorders>
              <w:tl2br w:val="nil"/>
              <w:tr2bl w:val="nil"/>
            </w:tcBorders>
            <w:shd w:val="clear" w:color="auto" w:fill="auto"/>
            <w:noWrap/>
            <w:vAlign w:val="center"/>
          </w:tcPr>
          <w:p w14:paraId="25D173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3C1E88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6" w:type="pct"/>
            <w:tcBorders>
              <w:tl2br w:val="nil"/>
              <w:tr2bl w:val="nil"/>
            </w:tcBorders>
            <w:shd w:val="clear" w:color="auto" w:fill="auto"/>
            <w:noWrap/>
            <w:vAlign w:val="center"/>
          </w:tcPr>
          <w:p w14:paraId="55E198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357" w:type="pct"/>
            <w:tcBorders>
              <w:tl2br w:val="nil"/>
              <w:tr2bl w:val="nil"/>
            </w:tcBorders>
            <w:shd w:val="clear" w:color="auto" w:fill="auto"/>
            <w:noWrap/>
            <w:vAlign w:val="center"/>
          </w:tcPr>
          <w:p w14:paraId="0C3B76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0+000~0+350</w:t>
            </w:r>
          </w:p>
        </w:tc>
        <w:tc>
          <w:tcPr>
            <w:tcW w:w="1349" w:type="pct"/>
            <w:tcBorders>
              <w:tl2br w:val="nil"/>
              <w:tr2bl w:val="nil"/>
            </w:tcBorders>
            <w:shd w:val="clear" w:color="auto" w:fill="auto"/>
            <w:noWrap/>
            <w:vAlign w:val="center"/>
          </w:tcPr>
          <w:p w14:paraId="5B080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301087.5</w:t>
            </w:r>
          </w:p>
        </w:tc>
        <w:tc>
          <w:tcPr>
            <w:tcW w:w="1496" w:type="pct"/>
            <w:tcBorders>
              <w:tl2br w:val="nil"/>
              <w:tr2bl w:val="nil"/>
            </w:tcBorders>
            <w:shd w:val="clear" w:color="auto" w:fill="auto"/>
            <w:noWrap/>
            <w:vAlign w:val="center"/>
          </w:tcPr>
          <w:p w14:paraId="621C7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r>
      <w:tr w14:paraId="2E028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6" w:type="pct"/>
            <w:tcBorders>
              <w:tl2br w:val="nil"/>
              <w:tr2bl w:val="nil"/>
            </w:tcBorders>
            <w:shd w:val="clear" w:color="auto" w:fill="auto"/>
            <w:noWrap/>
            <w:vAlign w:val="center"/>
          </w:tcPr>
          <w:p w14:paraId="6C713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357" w:type="pct"/>
            <w:tcBorders>
              <w:tl2br w:val="nil"/>
              <w:tr2bl w:val="nil"/>
            </w:tcBorders>
            <w:shd w:val="clear" w:color="auto" w:fill="auto"/>
            <w:noWrap/>
            <w:vAlign w:val="center"/>
          </w:tcPr>
          <w:p w14:paraId="4E83C8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0+000~0+400</w:t>
            </w:r>
          </w:p>
        </w:tc>
        <w:tc>
          <w:tcPr>
            <w:tcW w:w="1349" w:type="pct"/>
            <w:tcBorders>
              <w:tl2br w:val="nil"/>
              <w:tr2bl w:val="nil"/>
            </w:tcBorders>
            <w:shd w:val="clear" w:color="auto" w:fill="auto"/>
            <w:noWrap/>
            <w:vAlign w:val="center"/>
          </w:tcPr>
          <w:p w14:paraId="3C1B63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104262.5</w:t>
            </w:r>
          </w:p>
        </w:tc>
        <w:tc>
          <w:tcPr>
            <w:tcW w:w="1496" w:type="pct"/>
            <w:tcBorders>
              <w:tl2br w:val="nil"/>
              <w:tr2bl w:val="nil"/>
            </w:tcBorders>
            <w:shd w:val="clear" w:color="auto" w:fill="auto"/>
            <w:noWrap/>
            <w:vAlign w:val="center"/>
          </w:tcPr>
          <w:p w14:paraId="7D4505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14:paraId="060815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796" w:type="pct"/>
            <w:tcBorders>
              <w:tl2br w:val="nil"/>
              <w:tr2bl w:val="nil"/>
            </w:tcBorders>
            <w:shd w:val="clear" w:color="auto" w:fill="auto"/>
            <w:noWrap/>
            <w:vAlign w:val="center"/>
          </w:tcPr>
          <w:p w14:paraId="3D0A1C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357" w:type="pct"/>
            <w:tcBorders>
              <w:tl2br w:val="nil"/>
              <w:tr2bl w:val="nil"/>
            </w:tcBorders>
            <w:shd w:val="clear" w:color="auto" w:fill="auto"/>
            <w:noWrap/>
            <w:vAlign w:val="center"/>
          </w:tcPr>
          <w:p w14:paraId="7F0D76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349" w:type="pct"/>
            <w:tcBorders>
              <w:tl2br w:val="nil"/>
              <w:tr2bl w:val="nil"/>
            </w:tcBorders>
            <w:shd w:val="clear" w:color="auto" w:fill="auto"/>
            <w:noWrap/>
            <w:vAlign w:val="center"/>
          </w:tcPr>
          <w:p w14:paraId="4E8DE2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1364167.83</w:t>
            </w:r>
          </w:p>
        </w:tc>
        <w:tc>
          <w:tcPr>
            <w:tcW w:w="1496" w:type="pct"/>
            <w:tcBorders>
              <w:tl2br w:val="nil"/>
              <w:tr2bl w:val="nil"/>
            </w:tcBorders>
            <w:shd w:val="clear" w:color="auto" w:fill="auto"/>
            <w:noWrap/>
            <w:vAlign w:val="center"/>
          </w:tcPr>
          <w:p w14:paraId="2CA767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i w:val="0"/>
                <w:iCs w:val="0"/>
                <w:color w:val="auto"/>
                <w:sz w:val="21"/>
                <w:szCs w:val="21"/>
                <w:highlight w:val="none"/>
                <w:u w:val="none"/>
              </w:rPr>
            </w:pPr>
          </w:p>
        </w:tc>
      </w:tr>
    </w:tbl>
    <w:p w14:paraId="0A835575">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④防护措施保障稳定性‌</w:t>
      </w:r>
    </w:p>
    <w:p w14:paraId="022A5EC4">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为应对洪水冲刷风险，堆场迎水面设计拦泥护脚，护脚外侧采用格宾防护，底部设置排水层。这些防护措施从结构稳定、排水防冲等层面，全方位保障堆场在汛期及长期使用中的安全性与耐久性。</w:t>
      </w:r>
    </w:p>
    <w:p w14:paraId="09CA38AA">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⑤生态环境影响性</w:t>
      </w:r>
    </w:p>
    <w:p w14:paraId="67A218DE">
      <w:pPr>
        <w:spacing w:beforeLines="0" w:afterLines="0"/>
        <w:jc w:val="both"/>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堆场选址不涉及生态红线及基本农田，且位于河道范围内不占用水域，可避免对生态敏感区的直接破坏，符合生态保护的基本要求。</w:t>
      </w:r>
      <w:r>
        <w:rPr>
          <w:rFonts w:hint="eastAsia" w:cs="Times New Roman"/>
          <w:color w:val="auto"/>
          <w:highlight w:val="none"/>
          <w:lang w:val="en-US" w:eastAsia="zh-CN"/>
        </w:rPr>
        <w:t>堆场占地类型均为河滩地，部分区域经周边农户擅自改造为耕地，部分沟壑内自然生长出小片乔木，已改变河道原有生态，将按规定予以清退，恢复河道功能。本次清淤后将淤泥晾晒并堆至堆场，</w:t>
      </w:r>
      <w:r>
        <w:rPr>
          <w:rFonts w:hint="default" w:ascii="Times New Roman" w:hAnsi="Times New Roman" w:eastAsia="宋体" w:cs="Times New Roman"/>
          <w:color w:val="auto"/>
          <w:highlight w:val="none"/>
          <w:lang w:val="en-US" w:eastAsia="zh-CN"/>
        </w:rPr>
        <w:t>完工后对7处堆场进行生态修复，播撒草籽6.8公顷，有效降低因土方堆填对区域植被量减少的影响。</w:t>
      </w:r>
      <w:r>
        <w:rPr>
          <w:rFonts w:hint="eastAsia" w:ascii="Times New Roman" w:hAnsi="Times New Roman" w:eastAsia="宋体" w:cs="Times New Roman"/>
          <w:color w:val="auto"/>
          <w:highlight w:val="none"/>
          <w:lang w:val="en-US" w:eastAsia="zh-CN"/>
        </w:rPr>
        <w:t>详见表3.1.2-1。</w:t>
      </w:r>
    </w:p>
    <w:p w14:paraId="69A14938">
      <w:pPr>
        <w:spacing w:beforeLines="0" w:afterLine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综上，堆场选址在地形适配、防洪安全、消纳能力、防护稳定性、生态影响性等关键维度均满足工程需求，选址合理可行。</w:t>
      </w:r>
    </w:p>
    <w:p w14:paraId="250E6EAB">
      <w:pPr>
        <w:spacing w:beforeLines="0" w:afterLines="0"/>
        <w:ind w:left="0" w:leftChars="0" w:firstLine="0" w:firstLineChars="0"/>
        <w:jc w:val="both"/>
        <w:rPr>
          <w:rFonts w:hint="default" w:cs="Times New Roman"/>
          <w:color w:val="auto"/>
          <w:sz w:val="24"/>
          <w:highlight w:val="none"/>
          <w:lang w:val="en-US" w:eastAsia="zh-CN"/>
        </w:r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DB0F4A">
      <w:pPr>
        <w:spacing w:beforeLines="0" w:afterLines="0"/>
        <w:jc w:val="center"/>
        <w:rPr>
          <w:rFonts w:hint="default" w:ascii="Times New Roman" w:hAnsi="Times New Roman" w:cs="Times New Roman"/>
          <w:b/>
          <w:bCs/>
          <w:color w:val="auto"/>
          <w:sz w:val="24"/>
          <w:highlight w:val="none"/>
          <w:vertAlign w:val="baseline"/>
          <w:lang w:val="en-US" w:eastAsia="zh-CN"/>
        </w:rPr>
      </w:pPr>
      <w:r>
        <w:rPr>
          <w:rFonts w:hint="eastAsia" w:cs="Times New Roman"/>
          <w:b/>
          <w:bCs/>
          <w:color w:val="auto"/>
          <w:sz w:val="24"/>
          <w:highlight w:val="none"/>
          <w:lang w:eastAsia="zh-CN"/>
        </w:rPr>
        <w:t>表</w:t>
      </w:r>
      <w:r>
        <w:rPr>
          <w:rFonts w:hint="eastAsia" w:cs="Times New Roman"/>
          <w:b/>
          <w:bCs/>
          <w:color w:val="auto"/>
          <w:sz w:val="24"/>
          <w:highlight w:val="none"/>
          <w:lang w:val="en-US" w:eastAsia="zh-CN"/>
        </w:rPr>
        <w:t>3.1.2-1 堆场选址合理性分析</w:t>
      </w:r>
    </w:p>
    <w:tbl>
      <w:tblPr>
        <w:tblStyle w:val="32"/>
        <w:tblW w:w="45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81"/>
        <w:gridCol w:w="1119"/>
        <w:gridCol w:w="1393"/>
        <w:gridCol w:w="1350"/>
        <w:gridCol w:w="4072"/>
        <w:gridCol w:w="2963"/>
      </w:tblGrid>
      <w:tr w14:paraId="3EB4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318" w:type="pct"/>
            <w:vMerge w:val="restart"/>
            <w:vAlign w:val="center"/>
          </w:tcPr>
          <w:p w14:paraId="6572AF2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457" w:type="pct"/>
            <w:vMerge w:val="restart"/>
            <w:vAlign w:val="center"/>
          </w:tcPr>
          <w:p w14:paraId="126DD29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堆场名称</w:t>
            </w:r>
          </w:p>
        </w:tc>
        <w:tc>
          <w:tcPr>
            <w:tcW w:w="3075" w:type="pct"/>
            <w:gridSpan w:val="4"/>
            <w:vAlign w:val="center"/>
          </w:tcPr>
          <w:p w14:paraId="6F6E29D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选址位置</w:t>
            </w:r>
          </w:p>
        </w:tc>
        <w:tc>
          <w:tcPr>
            <w:tcW w:w="1148" w:type="pct"/>
            <w:vMerge w:val="restart"/>
            <w:vAlign w:val="center"/>
          </w:tcPr>
          <w:p w14:paraId="3FEB4B6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环境合理性</w:t>
            </w:r>
          </w:p>
        </w:tc>
      </w:tr>
      <w:tr w14:paraId="1711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318" w:type="pct"/>
            <w:vMerge w:val="continue"/>
            <w:vAlign w:val="center"/>
          </w:tcPr>
          <w:p w14:paraId="370C95F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color w:val="auto"/>
                <w:sz w:val="21"/>
                <w:szCs w:val="21"/>
                <w:highlight w:val="none"/>
              </w:rPr>
            </w:pPr>
          </w:p>
        </w:tc>
        <w:tc>
          <w:tcPr>
            <w:tcW w:w="457" w:type="pct"/>
            <w:vMerge w:val="continue"/>
            <w:vAlign w:val="center"/>
          </w:tcPr>
          <w:p w14:paraId="6E2AAAF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color w:val="auto"/>
                <w:sz w:val="21"/>
                <w:szCs w:val="21"/>
                <w:highlight w:val="none"/>
              </w:rPr>
            </w:pPr>
          </w:p>
        </w:tc>
        <w:tc>
          <w:tcPr>
            <w:tcW w:w="433" w:type="pct"/>
            <w:vAlign w:val="center"/>
          </w:tcPr>
          <w:p w14:paraId="2FD9846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面积（m</w:t>
            </w:r>
            <w:r>
              <w:rPr>
                <w:rFonts w:hint="eastAsia" w:cs="Times New Roman"/>
                <w:b/>
                <w:bCs/>
                <w:color w:val="auto"/>
                <w:sz w:val="21"/>
                <w:szCs w:val="21"/>
                <w:highlight w:val="none"/>
                <w:vertAlign w:val="superscript"/>
                <w:lang w:val="en-US" w:eastAsia="zh-CN"/>
              </w:rPr>
              <w:t>2</w:t>
            </w:r>
            <w:r>
              <w:rPr>
                <w:rFonts w:hint="eastAsia" w:cs="Times New Roman"/>
                <w:b/>
                <w:bCs/>
                <w:color w:val="auto"/>
                <w:sz w:val="21"/>
                <w:szCs w:val="21"/>
                <w:highlight w:val="none"/>
                <w:vertAlign w:val="baseline"/>
                <w:lang w:val="en-US" w:eastAsia="zh-CN"/>
              </w:rPr>
              <w:t>）</w:t>
            </w:r>
          </w:p>
        </w:tc>
        <w:tc>
          <w:tcPr>
            <w:tcW w:w="1063" w:type="pct"/>
            <w:gridSpan w:val="2"/>
            <w:vAlign w:val="center"/>
          </w:tcPr>
          <w:p w14:paraId="2EF553A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中心坐标</w:t>
            </w:r>
          </w:p>
        </w:tc>
        <w:tc>
          <w:tcPr>
            <w:tcW w:w="1578" w:type="pct"/>
            <w:vAlign w:val="center"/>
          </w:tcPr>
          <w:p w14:paraId="68821C8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地址位置图</w:t>
            </w:r>
          </w:p>
        </w:tc>
        <w:tc>
          <w:tcPr>
            <w:tcW w:w="1148" w:type="pct"/>
            <w:vMerge w:val="continue"/>
            <w:vAlign w:val="center"/>
          </w:tcPr>
          <w:p w14:paraId="24F63DA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7468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0CE8219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457" w:type="pct"/>
            <w:vAlign w:val="center"/>
          </w:tcPr>
          <w:p w14:paraId="73E67A3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堆场1</w:t>
            </w:r>
            <w:r>
              <w:rPr>
                <w:rFonts w:hint="eastAsia" w:cs="Times New Roman"/>
                <w:color w:val="auto"/>
                <w:sz w:val="21"/>
                <w:szCs w:val="21"/>
                <w:highlight w:val="none"/>
                <w:vertAlign w:val="superscript"/>
                <w:lang w:val="en-US" w:eastAsia="zh-CN"/>
              </w:rPr>
              <w:t>#</w:t>
            </w:r>
          </w:p>
        </w:tc>
        <w:tc>
          <w:tcPr>
            <w:tcW w:w="433" w:type="pct"/>
            <w:vAlign w:val="center"/>
          </w:tcPr>
          <w:p w14:paraId="24E363B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3200</w:t>
            </w:r>
          </w:p>
        </w:tc>
        <w:tc>
          <w:tcPr>
            <w:tcW w:w="539" w:type="pct"/>
            <w:vAlign w:val="center"/>
          </w:tcPr>
          <w:p w14:paraId="4B586C7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106.627796 </w:t>
            </w:r>
          </w:p>
        </w:tc>
        <w:tc>
          <w:tcPr>
            <w:tcW w:w="523" w:type="pct"/>
            <w:vAlign w:val="center"/>
          </w:tcPr>
          <w:p w14:paraId="23EB9BC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35.875576 </w:t>
            </w:r>
          </w:p>
        </w:tc>
        <w:tc>
          <w:tcPr>
            <w:tcW w:w="1578" w:type="pct"/>
            <w:vAlign w:val="center"/>
          </w:tcPr>
          <w:p w14:paraId="28C4BF3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2263140" cy="1943100"/>
                  <wp:effectExtent l="0" t="0" r="3810" b="0"/>
                  <wp:docPr id="7" name="图片 7" descr="7618a2a4-381f-4695-bbf8-2ad17e606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618a2a4-381f-4695-bbf8-2ad17e606a0f"/>
                          <pic:cNvPicPr>
                            <a:picLocks noChangeAspect="1"/>
                          </pic:cNvPicPr>
                        </pic:nvPicPr>
                        <pic:blipFill>
                          <a:blip r:embed="rId49"/>
                          <a:stretch>
                            <a:fillRect/>
                          </a:stretch>
                        </pic:blipFill>
                        <pic:spPr>
                          <a:xfrm>
                            <a:off x="0" y="0"/>
                            <a:ext cx="2263140" cy="1943100"/>
                          </a:xfrm>
                          <a:prstGeom prst="rect">
                            <a:avLst/>
                          </a:prstGeom>
                        </pic:spPr>
                      </pic:pic>
                    </a:graphicData>
                  </a:graphic>
                </wp:inline>
              </w:drawing>
            </w:r>
          </w:p>
        </w:tc>
        <w:tc>
          <w:tcPr>
            <w:tcW w:w="1148" w:type="pct"/>
            <w:vAlign w:val="center"/>
          </w:tcPr>
          <w:p w14:paraId="3269319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选址不涉及自然保护区、风景名胜区，不占用基本农田；属于河道治理工程，位于一般管控单元且符合准入要求；选址合理可行。</w:t>
            </w:r>
          </w:p>
          <w:p w14:paraId="61C43A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将原有沟壑平整为堆场，并进行生态恢复，对区域生态环境影响可接受。</w:t>
            </w:r>
          </w:p>
        </w:tc>
      </w:tr>
      <w:tr w14:paraId="41D5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6475890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457" w:type="pct"/>
            <w:vAlign w:val="center"/>
          </w:tcPr>
          <w:p w14:paraId="4141137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堆场2</w:t>
            </w:r>
            <w:r>
              <w:rPr>
                <w:rFonts w:hint="eastAsia" w:cs="Times New Roman"/>
                <w:color w:val="auto"/>
                <w:sz w:val="21"/>
                <w:szCs w:val="21"/>
                <w:highlight w:val="none"/>
                <w:vertAlign w:val="superscript"/>
                <w:lang w:val="en-US" w:eastAsia="zh-CN"/>
              </w:rPr>
              <w:t>#</w:t>
            </w:r>
          </w:p>
        </w:tc>
        <w:tc>
          <w:tcPr>
            <w:tcW w:w="433" w:type="pct"/>
            <w:vAlign w:val="center"/>
          </w:tcPr>
          <w:p w14:paraId="43661ED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12900</w:t>
            </w:r>
          </w:p>
        </w:tc>
        <w:tc>
          <w:tcPr>
            <w:tcW w:w="539" w:type="pct"/>
            <w:vAlign w:val="center"/>
          </w:tcPr>
          <w:p w14:paraId="3EF35AD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106.622214 </w:t>
            </w:r>
          </w:p>
        </w:tc>
        <w:tc>
          <w:tcPr>
            <w:tcW w:w="523" w:type="pct"/>
            <w:vAlign w:val="center"/>
          </w:tcPr>
          <w:p w14:paraId="1C304A4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35.876014 </w:t>
            </w:r>
          </w:p>
        </w:tc>
        <w:tc>
          <w:tcPr>
            <w:tcW w:w="1578" w:type="pct"/>
            <w:vAlign w:val="center"/>
          </w:tcPr>
          <w:p w14:paraId="77531B2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2386330" cy="1198245"/>
                  <wp:effectExtent l="0" t="0" r="13970" b="1905"/>
                  <wp:docPr id="12" name="图片 12" descr="d3a94800-227d-4833-810a-b0b54d20d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3a94800-227d-4833-810a-b0b54d20d98b"/>
                          <pic:cNvPicPr>
                            <a:picLocks noChangeAspect="1"/>
                          </pic:cNvPicPr>
                        </pic:nvPicPr>
                        <pic:blipFill>
                          <a:blip r:embed="rId50"/>
                          <a:stretch>
                            <a:fillRect/>
                          </a:stretch>
                        </pic:blipFill>
                        <pic:spPr>
                          <a:xfrm>
                            <a:off x="0" y="0"/>
                            <a:ext cx="2386330" cy="1198245"/>
                          </a:xfrm>
                          <a:prstGeom prst="rect">
                            <a:avLst/>
                          </a:prstGeom>
                        </pic:spPr>
                      </pic:pic>
                    </a:graphicData>
                  </a:graphic>
                </wp:inline>
              </w:drawing>
            </w:r>
          </w:p>
        </w:tc>
        <w:tc>
          <w:tcPr>
            <w:tcW w:w="1148" w:type="pct"/>
            <w:vAlign w:val="center"/>
          </w:tcPr>
          <w:p w14:paraId="1E9C600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选址不涉及自然保护区、风景名胜区，不占用基本农田；属于河道治理工程，位于一般管控单元且符合准入要求；选址合理可行。</w:t>
            </w:r>
          </w:p>
          <w:p w14:paraId="74D2071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将原有河滩地在不干扰行洪的前提下平整为堆场，并进行生态恢复，对区域生态环境影响可接受。</w:t>
            </w:r>
          </w:p>
        </w:tc>
      </w:tr>
      <w:tr w14:paraId="4AF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23490E8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457" w:type="pct"/>
            <w:vAlign w:val="center"/>
          </w:tcPr>
          <w:p w14:paraId="0CD27A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堆场3</w:t>
            </w:r>
            <w:r>
              <w:rPr>
                <w:rFonts w:hint="eastAsia" w:cs="Times New Roman"/>
                <w:color w:val="auto"/>
                <w:sz w:val="21"/>
                <w:szCs w:val="21"/>
                <w:highlight w:val="none"/>
                <w:vertAlign w:val="superscript"/>
                <w:lang w:val="en-US" w:eastAsia="zh-CN"/>
              </w:rPr>
              <w:t>#</w:t>
            </w:r>
          </w:p>
        </w:tc>
        <w:tc>
          <w:tcPr>
            <w:tcW w:w="433" w:type="pct"/>
            <w:vAlign w:val="center"/>
          </w:tcPr>
          <w:p w14:paraId="4D57F6D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33300</w:t>
            </w:r>
          </w:p>
        </w:tc>
        <w:tc>
          <w:tcPr>
            <w:tcW w:w="539" w:type="pct"/>
            <w:vAlign w:val="center"/>
          </w:tcPr>
          <w:p w14:paraId="7DAE954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106.618309 </w:t>
            </w:r>
          </w:p>
        </w:tc>
        <w:tc>
          <w:tcPr>
            <w:tcW w:w="523" w:type="pct"/>
            <w:vAlign w:val="center"/>
          </w:tcPr>
          <w:p w14:paraId="0754DB0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35.877988 </w:t>
            </w:r>
          </w:p>
        </w:tc>
        <w:tc>
          <w:tcPr>
            <w:tcW w:w="1578" w:type="pct"/>
            <w:vAlign w:val="center"/>
          </w:tcPr>
          <w:p w14:paraId="0A6C77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2383790" cy="1292860"/>
                  <wp:effectExtent l="0" t="0" r="16510" b="2540"/>
                  <wp:docPr id="16" name="图片 16" descr="1bc5ee19-af21-4892-b715-8605e80b7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bc5ee19-af21-4892-b715-8605e80b77d3"/>
                          <pic:cNvPicPr>
                            <a:picLocks noChangeAspect="1"/>
                          </pic:cNvPicPr>
                        </pic:nvPicPr>
                        <pic:blipFill>
                          <a:blip r:embed="rId51"/>
                          <a:stretch>
                            <a:fillRect/>
                          </a:stretch>
                        </pic:blipFill>
                        <pic:spPr>
                          <a:xfrm>
                            <a:off x="0" y="0"/>
                            <a:ext cx="2383790" cy="1292860"/>
                          </a:xfrm>
                          <a:prstGeom prst="rect">
                            <a:avLst/>
                          </a:prstGeom>
                        </pic:spPr>
                      </pic:pic>
                    </a:graphicData>
                  </a:graphic>
                </wp:inline>
              </w:drawing>
            </w:r>
          </w:p>
        </w:tc>
        <w:tc>
          <w:tcPr>
            <w:tcW w:w="1148" w:type="pct"/>
            <w:vAlign w:val="center"/>
          </w:tcPr>
          <w:p w14:paraId="280E39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选址不涉及自然保护区、风景名胜区，不占用基本农田；属于河道治理工程，位于一般管控单元且符合准入要求；选址合理可行。</w:t>
            </w:r>
          </w:p>
          <w:p w14:paraId="5EB955F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将原有河滩地在不干扰行洪的前提下平整为堆场，并进行生态恢复，对区域生态环境影响可接受。</w:t>
            </w:r>
          </w:p>
        </w:tc>
      </w:tr>
      <w:tr w14:paraId="6E1D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4CC560F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457" w:type="pct"/>
            <w:vAlign w:val="center"/>
          </w:tcPr>
          <w:p w14:paraId="3B5AC1F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堆场4</w:t>
            </w:r>
            <w:r>
              <w:rPr>
                <w:rFonts w:hint="eastAsia" w:cs="Times New Roman"/>
                <w:color w:val="auto"/>
                <w:sz w:val="21"/>
                <w:szCs w:val="21"/>
                <w:highlight w:val="none"/>
                <w:vertAlign w:val="superscript"/>
                <w:lang w:val="en-US" w:eastAsia="zh-CN"/>
              </w:rPr>
              <w:t>#</w:t>
            </w:r>
          </w:p>
        </w:tc>
        <w:tc>
          <w:tcPr>
            <w:tcW w:w="433" w:type="pct"/>
            <w:vAlign w:val="center"/>
          </w:tcPr>
          <w:p w14:paraId="319E285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37500</w:t>
            </w:r>
          </w:p>
        </w:tc>
        <w:tc>
          <w:tcPr>
            <w:tcW w:w="539" w:type="pct"/>
            <w:vAlign w:val="center"/>
          </w:tcPr>
          <w:p w14:paraId="62EB89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106.612430 </w:t>
            </w:r>
          </w:p>
        </w:tc>
        <w:tc>
          <w:tcPr>
            <w:tcW w:w="523" w:type="pct"/>
            <w:vAlign w:val="center"/>
          </w:tcPr>
          <w:p w14:paraId="7268BD4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35.880391 </w:t>
            </w:r>
          </w:p>
        </w:tc>
        <w:tc>
          <w:tcPr>
            <w:tcW w:w="1578" w:type="pct"/>
            <w:vAlign w:val="center"/>
          </w:tcPr>
          <w:p w14:paraId="1CC4A1E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2388235" cy="1726565"/>
                  <wp:effectExtent l="0" t="0" r="12065" b="6985"/>
                  <wp:docPr id="19" name="图片 19" descr="68355575-4794-4257-987e-d8f4c193e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8355575-4794-4257-987e-d8f4c193e966"/>
                          <pic:cNvPicPr>
                            <a:picLocks noChangeAspect="1"/>
                          </pic:cNvPicPr>
                        </pic:nvPicPr>
                        <pic:blipFill>
                          <a:blip r:embed="rId52"/>
                          <a:stretch>
                            <a:fillRect/>
                          </a:stretch>
                        </pic:blipFill>
                        <pic:spPr>
                          <a:xfrm>
                            <a:off x="0" y="0"/>
                            <a:ext cx="2388235" cy="1726565"/>
                          </a:xfrm>
                          <a:prstGeom prst="rect">
                            <a:avLst/>
                          </a:prstGeom>
                        </pic:spPr>
                      </pic:pic>
                    </a:graphicData>
                  </a:graphic>
                </wp:inline>
              </w:drawing>
            </w:r>
          </w:p>
        </w:tc>
        <w:tc>
          <w:tcPr>
            <w:tcW w:w="1148" w:type="pct"/>
            <w:vAlign w:val="center"/>
          </w:tcPr>
          <w:p w14:paraId="5A0C3CD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选址不涉及自然保护区、风景名胜区，不占用基本农田；属于河道治理工程，位于一般管控单元且符合准入要求；选址合理可行。</w:t>
            </w:r>
          </w:p>
          <w:p w14:paraId="5B257C9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将原有河滩地在不干扰行洪的前提下平整为堆场，并进行生态恢复，对区域生态环境影响可接受。</w:t>
            </w:r>
          </w:p>
        </w:tc>
      </w:tr>
      <w:tr w14:paraId="69A2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2CD5A3E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457" w:type="pct"/>
            <w:vAlign w:val="center"/>
          </w:tcPr>
          <w:p w14:paraId="294BCD6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堆场5</w:t>
            </w:r>
            <w:r>
              <w:rPr>
                <w:rFonts w:hint="eastAsia" w:cs="Times New Roman"/>
                <w:color w:val="auto"/>
                <w:sz w:val="21"/>
                <w:szCs w:val="21"/>
                <w:highlight w:val="none"/>
                <w:vertAlign w:val="superscript"/>
                <w:lang w:val="en-US" w:eastAsia="zh-CN"/>
              </w:rPr>
              <w:t>#</w:t>
            </w:r>
          </w:p>
        </w:tc>
        <w:tc>
          <w:tcPr>
            <w:tcW w:w="433" w:type="pct"/>
            <w:vAlign w:val="center"/>
          </w:tcPr>
          <w:p w14:paraId="65261A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22500</w:t>
            </w:r>
          </w:p>
        </w:tc>
        <w:tc>
          <w:tcPr>
            <w:tcW w:w="539" w:type="pct"/>
            <w:vAlign w:val="center"/>
          </w:tcPr>
          <w:p w14:paraId="72B4A5E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106.603503 </w:t>
            </w:r>
          </w:p>
        </w:tc>
        <w:tc>
          <w:tcPr>
            <w:tcW w:w="523" w:type="pct"/>
            <w:vAlign w:val="center"/>
          </w:tcPr>
          <w:p w14:paraId="66FA370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35.884253 </w:t>
            </w:r>
          </w:p>
        </w:tc>
        <w:tc>
          <w:tcPr>
            <w:tcW w:w="1578" w:type="pct"/>
            <w:vAlign w:val="center"/>
          </w:tcPr>
          <w:p w14:paraId="46A3E3E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2390140" cy="1374775"/>
                  <wp:effectExtent l="0" t="0" r="10160" b="15875"/>
                  <wp:docPr id="20" name="图片 20" descr="9e6dcb0f-d48c-457e-912d-fca63f66a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e6dcb0f-d48c-457e-912d-fca63f66a252"/>
                          <pic:cNvPicPr>
                            <a:picLocks noChangeAspect="1"/>
                          </pic:cNvPicPr>
                        </pic:nvPicPr>
                        <pic:blipFill>
                          <a:blip r:embed="rId53"/>
                          <a:stretch>
                            <a:fillRect/>
                          </a:stretch>
                        </pic:blipFill>
                        <pic:spPr>
                          <a:xfrm>
                            <a:off x="0" y="0"/>
                            <a:ext cx="2390140" cy="1374775"/>
                          </a:xfrm>
                          <a:prstGeom prst="rect">
                            <a:avLst/>
                          </a:prstGeom>
                        </pic:spPr>
                      </pic:pic>
                    </a:graphicData>
                  </a:graphic>
                </wp:inline>
              </w:drawing>
            </w:r>
          </w:p>
        </w:tc>
        <w:tc>
          <w:tcPr>
            <w:tcW w:w="1148" w:type="pct"/>
            <w:vAlign w:val="center"/>
          </w:tcPr>
          <w:p w14:paraId="5A62F3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选址不涉及自然保护区、风景名胜区，不占用基本农田；属于河道治理工程，位于一般管控单元且符合准入要求；选址合理可行。</w:t>
            </w:r>
          </w:p>
          <w:p w14:paraId="46CDDA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将原有河滩地在不干扰行洪的前提下平整为堆场，并进行生态恢复，对区域生态环境影响可接受。</w:t>
            </w:r>
          </w:p>
        </w:tc>
      </w:tr>
      <w:tr w14:paraId="0794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4716480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w:t>
            </w:r>
          </w:p>
        </w:tc>
        <w:tc>
          <w:tcPr>
            <w:tcW w:w="457" w:type="pct"/>
            <w:vAlign w:val="center"/>
          </w:tcPr>
          <w:p w14:paraId="4FC5B46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堆场6</w:t>
            </w:r>
            <w:r>
              <w:rPr>
                <w:rFonts w:hint="eastAsia" w:cs="Times New Roman"/>
                <w:color w:val="auto"/>
                <w:sz w:val="21"/>
                <w:szCs w:val="21"/>
                <w:highlight w:val="none"/>
                <w:vertAlign w:val="superscript"/>
                <w:lang w:val="en-US" w:eastAsia="zh-CN"/>
              </w:rPr>
              <w:t>#</w:t>
            </w:r>
          </w:p>
        </w:tc>
        <w:tc>
          <w:tcPr>
            <w:tcW w:w="433" w:type="pct"/>
            <w:vAlign w:val="center"/>
          </w:tcPr>
          <w:p w14:paraId="31B77A8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36000</w:t>
            </w:r>
          </w:p>
        </w:tc>
        <w:tc>
          <w:tcPr>
            <w:tcW w:w="539" w:type="pct"/>
            <w:vAlign w:val="center"/>
          </w:tcPr>
          <w:p w14:paraId="0B4EDE9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106.596637 </w:t>
            </w:r>
          </w:p>
        </w:tc>
        <w:tc>
          <w:tcPr>
            <w:tcW w:w="523" w:type="pct"/>
            <w:vAlign w:val="center"/>
          </w:tcPr>
          <w:p w14:paraId="48E88C5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35.884725 </w:t>
            </w:r>
          </w:p>
        </w:tc>
        <w:tc>
          <w:tcPr>
            <w:tcW w:w="1578" w:type="pct"/>
            <w:vAlign w:val="center"/>
          </w:tcPr>
          <w:p w14:paraId="638D0E7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2389505" cy="1370330"/>
                  <wp:effectExtent l="0" t="0" r="10795" b="1270"/>
                  <wp:docPr id="21" name="图片 21" descr="168fbc03-684e-473c-913d-ac7fa2ef2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fbc03-684e-473c-913d-ac7fa2ef2b9b"/>
                          <pic:cNvPicPr>
                            <a:picLocks noChangeAspect="1"/>
                          </pic:cNvPicPr>
                        </pic:nvPicPr>
                        <pic:blipFill>
                          <a:blip r:embed="rId54"/>
                          <a:stretch>
                            <a:fillRect/>
                          </a:stretch>
                        </pic:blipFill>
                        <pic:spPr>
                          <a:xfrm>
                            <a:off x="0" y="0"/>
                            <a:ext cx="2389505" cy="1370330"/>
                          </a:xfrm>
                          <a:prstGeom prst="rect">
                            <a:avLst/>
                          </a:prstGeom>
                        </pic:spPr>
                      </pic:pic>
                    </a:graphicData>
                  </a:graphic>
                </wp:inline>
              </w:drawing>
            </w:r>
          </w:p>
        </w:tc>
        <w:tc>
          <w:tcPr>
            <w:tcW w:w="1148" w:type="pct"/>
            <w:vAlign w:val="center"/>
          </w:tcPr>
          <w:p w14:paraId="0D0ACF0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选址不涉及自然保护区、风景名胜区，不占用基本农田；属于河道治理工程，位于一般管控单元且符合准入要求；选址合理可行。</w:t>
            </w:r>
          </w:p>
          <w:p w14:paraId="0139820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将原有河滩地在不干扰行洪的前提下平整为堆场，并进行生态恢复，对区域生态环境影响可接受。</w:t>
            </w:r>
          </w:p>
        </w:tc>
      </w:tr>
      <w:tr w14:paraId="23FE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center"/>
          </w:tcPr>
          <w:p w14:paraId="4DDC5F5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c>
          <w:tcPr>
            <w:tcW w:w="457" w:type="pct"/>
            <w:vAlign w:val="center"/>
          </w:tcPr>
          <w:p w14:paraId="5E2A7C9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堆场7</w:t>
            </w:r>
            <w:r>
              <w:rPr>
                <w:rFonts w:hint="eastAsia" w:cs="Times New Roman"/>
                <w:color w:val="auto"/>
                <w:sz w:val="21"/>
                <w:szCs w:val="21"/>
                <w:highlight w:val="none"/>
                <w:vertAlign w:val="superscript"/>
                <w:lang w:val="en-US" w:eastAsia="zh-CN"/>
              </w:rPr>
              <w:t>#</w:t>
            </w:r>
          </w:p>
        </w:tc>
        <w:tc>
          <w:tcPr>
            <w:tcW w:w="433" w:type="pct"/>
            <w:vAlign w:val="center"/>
          </w:tcPr>
          <w:p w14:paraId="64752F8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18000</w:t>
            </w:r>
          </w:p>
        </w:tc>
        <w:tc>
          <w:tcPr>
            <w:tcW w:w="539" w:type="pct"/>
            <w:vAlign w:val="center"/>
          </w:tcPr>
          <w:p w14:paraId="2771E57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106.594597 </w:t>
            </w:r>
          </w:p>
        </w:tc>
        <w:tc>
          <w:tcPr>
            <w:tcW w:w="523" w:type="pct"/>
            <w:vAlign w:val="center"/>
          </w:tcPr>
          <w:p w14:paraId="2307369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 xml:space="preserve">35.886742 </w:t>
            </w:r>
          </w:p>
        </w:tc>
        <w:tc>
          <w:tcPr>
            <w:tcW w:w="1578" w:type="pct"/>
            <w:vAlign w:val="center"/>
          </w:tcPr>
          <w:p w14:paraId="4BA3F4D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2181225" cy="2515870"/>
                  <wp:effectExtent l="0" t="0" r="9525" b="17780"/>
                  <wp:docPr id="26" name="图片 26" descr="cc75b2ce-32b5-4b2c-b359-43641c1bf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c75b2ce-32b5-4b2c-b359-43641c1bf033"/>
                          <pic:cNvPicPr>
                            <a:picLocks noChangeAspect="1"/>
                          </pic:cNvPicPr>
                        </pic:nvPicPr>
                        <pic:blipFill>
                          <a:blip r:embed="rId55"/>
                          <a:stretch>
                            <a:fillRect/>
                          </a:stretch>
                        </pic:blipFill>
                        <pic:spPr>
                          <a:xfrm>
                            <a:off x="0" y="0"/>
                            <a:ext cx="2181225" cy="2515870"/>
                          </a:xfrm>
                          <a:prstGeom prst="rect">
                            <a:avLst/>
                          </a:prstGeom>
                        </pic:spPr>
                      </pic:pic>
                    </a:graphicData>
                  </a:graphic>
                </wp:inline>
              </w:drawing>
            </w:r>
          </w:p>
        </w:tc>
        <w:tc>
          <w:tcPr>
            <w:tcW w:w="1148" w:type="pct"/>
            <w:vAlign w:val="center"/>
          </w:tcPr>
          <w:p w14:paraId="4BC7F2D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选址不涉及自然保护区、风景名胜区，不占用基本农田；属于河道治理工程，位于一般管控单元且符合准入要求；选址合理可行。</w:t>
            </w:r>
          </w:p>
          <w:p w14:paraId="0FA6ADD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将原有沟壑平整为堆场，并进行生态恢复，对区域生态环境影响可接受。</w:t>
            </w:r>
          </w:p>
        </w:tc>
      </w:tr>
    </w:tbl>
    <w:p w14:paraId="75ABC4AD">
      <w:pPr>
        <w:spacing w:beforeLines="0" w:afterLines="0"/>
        <w:jc w:val="both"/>
        <w:rPr>
          <w:rFonts w:hint="default" w:ascii="Times New Roman" w:hAnsi="Times New Roman" w:cs="Times New Roman"/>
          <w:color w:val="auto"/>
          <w:sz w:val="24"/>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F32FF3">
      <w:pPr>
        <w:pStyle w:val="6"/>
        <w:bidi w:val="0"/>
        <w:outlineLvl w:val="2"/>
        <w:rPr>
          <w:rFonts w:hint="default" w:ascii="Times New Roman" w:hAnsi="Times New Roman" w:cs="Times New Roman"/>
          <w:color w:val="auto"/>
          <w:highlight w:val="none"/>
          <w:lang w:val="en-US" w:eastAsia="zh-CN"/>
        </w:rPr>
      </w:pPr>
      <w:bookmarkStart w:id="3406" w:name="_Toc6096"/>
      <w:bookmarkStart w:id="3407" w:name="_Toc4148"/>
      <w:r>
        <w:rPr>
          <w:rFonts w:hint="default" w:ascii="Times New Roman" w:hAnsi="Times New Roman" w:cs="Times New Roman"/>
          <w:color w:val="auto"/>
          <w:highlight w:val="none"/>
          <w:lang w:val="en-US" w:eastAsia="zh-CN"/>
        </w:rPr>
        <w:t>3.1.3施工场地布置</w:t>
      </w:r>
      <w:r>
        <w:rPr>
          <w:rFonts w:hint="default" w:ascii="Times New Roman" w:hAnsi="Times New Roman" w:cs="Times New Roman"/>
          <w:color w:val="auto"/>
          <w:highlight w:val="none"/>
        </w:rPr>
        <w:t>合理性</w:t>
      </w:r>
      <w:bookmarkEnd w:id="3404"/>
      <w:bookmarkEnd w:id="3405"/>
      <w:r>
        <w:rPr>
          <w:rFonts w:hint="default" w:ascii="Times New Roman" w:hAnsi="Times New Roman" w:cs="Times New Roman"/>
          <w:color w:val="auto"/>
          <w:highlight w:val="none"/>
          <w:lang w:val="en-US" w:eastAsia="zh-CN"/>
        </w:rPr>
        <w:t>分析</w:t>
      </w:r>
      <w:bookmarkEnd w:id="3406"/>
      <w:bookmarkEnd w:id="3407"/>
    </w:p>
    <w:p w14:paraId="1651695C">
      <w:pPr>
        <w:spacing w:line="360" w:lineRule="auto"/>
        <w:ind w:firstLine="482" w:firstLineChars="200"/>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施工营地布置合理性</w:t>
      </w:r>
    </w:p>
    <w:p w14:paraId="529FEC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本工程共设施工</w:t>
      </w:r>
      <w:r>
        <w:rPr>
          <w:rFonts w:hint="eastAsia" w:cs="Times New Roman"/>
          <w:color w:val="auto"/>
          <w:sz w:val="24"/>
          <w:szCs w:val="24"/>
          <w:highlight w:val="none"/>
          <w:lang w:val="en-US" w:eastAsia="zh-CN"/>
        </w:rPr>
        <w:t>营地</w:t>
      </w:r>
      <w:r>
        <w:rPr>
          <w:rFonts w:hint="default" w:ascii="Times New Roman" w:hAnsi="Times New Roman" w:cs="Times New Roman"/>
          <w:color w:val="auto"/>
          <w:sz w:val="24"/>
          <w:szCs w:val="24"/>
          <w:highlight w:val="none"/>
          <w:lang w:val="en-US" w:eastAsia="zh-CN"/>
        </w:rPr>
        <w:t>3处，每个施工</w:t>
      </w:r>
      <w:r>
        <w:rPr>
          <w:rFonts w:hint="eastAsia" w:cs="Times New Roman"/>
          <w:color w:val="auto"/>
          <w:sz w:val="24"/>
          <w:szCs w:val="24"/>
          <w:highlight w:val="none"/>
          <w:lang w:val="en-US" w:eastAsia="zh-CN"/>
        </w:rPr>
        <w:t>营地设置</w:t>
      </w:r>
      <w:r>
        <w:rPr>
          <w:rFonts w:hint="default" w:ascii="Times New Roman" w:hAnsi="Times New Roman" w:cs="Times New Roman"/>
          <w:color w:val="auto"/>
          <w:sz w:val="24"/>
          <w:szCs w:val="24"/>
          <w:highlight w:val="none"/>
          <w:lang w:val="en-US" w:eastAsia="zh-CN"/>
        </w:rPr>
        <w:t>包括</w:t>
      </w:r>
      <w:r>
        <w:rPr>
          <w:rFonts w:hint="default" w:ascii="Times New Roman" w:hAnsi="Times New Roman" w:eastAsia="宋体" w:cs="Times New Roman"/>
          <w:color w:val="auto"/>
          <w:sz w:val="24"/>
          <w:szCs w:val="24"/>
          <w:highlight w:val="none"/>
          <w:lang w:bidi="ar"/>
        </w:rPr>
        <w:t>物资仓库、机电设备仓库、机械停放场、临时堆料场、临时</w:t>
      </w:r>
      <w:r>
        <w:rPr>
          <w:rFonts w:hint="eastAsia" w:cs="Times New Roman"/>
          <w:color w:val="auto"/>
          <w:sz w:val="24"/>
          <w:szCs w:val="24"/>
          <w:highlight w:val="none"/>
          <w:lang w:eastAsia="zh-CN" w:bidi="ar"/>
        </w:rPr>
        <w:t>隔油</w:t>
      </w:r>
      <w:r>
        <w:rPr>
          <w:rFonts w:hint="default" w:ascii="Times New Roman" w:hAnsi="Times New Roman" w:eastAsia="宋体" w:cs="Times New Roman"/>
          <w:color w:val="auto"/>
          <w:sz w:val="24"/>
          <w:szCs w:val="24"/>
          <w:highlight w:val="none"/>
          <w:lang w:bidi="ar"/>
        </w:rPr>
        <w:t>沉淀池</w:t>
      </w:r>
      <w:r>
        <w:rPr>
          <w:rFonts w:hint="default" w:ascii="Times New Roman" w:hAnsi="Times New Roman" w:cs="Times New Roman"/>
          <w:color w:val="auto"/>
          <w:sz w:val="24"/>
          <w:szCs w:val="24"/>
          <w:highlight w:val="none"/>
          <w:lang w:val="en-US" w:eastAsia="zh-CN"/>
        </w:rPr>
        <w:t>等，办公生活区均租用附近民房。</w:t>
      </w:r>
      <w:r>
        <w:rPr>
          <w:rFonts w:hint="eastAsia" w:cs="Times New Roman"/>
          <w:color w:val="auto"/>
          <w:sz w:val="24"/>
          <w:highlight w:val="none"/>
          <w:lang w:eastAsia="zh-CN"/>
        </w:rPr>
        <w:t>川口河段</w:t>
      </w:r>
      <w:r>
        <w:rPr>
          <w:rFonts w:hint="eastAsia" w:cs="Times New Roman"/>
          <w:color w:val="auto"/>
          <w:sz w:val="24"/>
          <w:highlight w:val="none"/>
          <w:lang w:val="en-US" w:eastAsia="zh-CN"/>
        </w:rPr>
        <w:t>1</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施工营地位于川口河岸北侧晾晒场，占地500m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；小河段2</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施工营地位于小河段水坝北侧空地，占地1000m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；石头崾岘水库3</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施工营地位于4</w:t>
      </w:r>
      <w:r>
        <w:rPr>
          <w:rFonts w:hint="eastAsia" w:cs="Times New Roman"/>
          <w:color w:val="auto"/>
          <w:sz w:val="24"/>
          <w:highlight w:val="none"/>
          <w:vertAlign w:val="superscript"/>
          <w:lang w:val="en-US" w:eastAsia="zh-CN"/>
        </w:rPr>
        <w:t>#</w:t>
      </w:r>
      <w:r>
        <w:rPr>
          <w:rFonts w:hint="eastAsia" w:cs="Times New Roman"/>
          <w:color w:val="auto"/>
          <w:sz w:val="24"/>
          <w:highlight w:val="none"/>
          <w:lang w:val="en-US" w:eastAsia="zh-CN"/>
        </w:rPr>
        <w:t>堆场西侧河滩地，占地1000m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p>
    <w:p w14:paraId="0D795FEB">
      <w:pPr>
        <w:spacing w:line="360" w:lineRule="auto"/>
        <w:ind w:firstLine="480" w:firstLineChars="200"/>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eastAsia="宋体" w:cs="Times New Roman"/>
          <w:color w:val="auto"/>
          <w:sz w:val="24"/>
          <w:szCs w:val="24"/>
          <w:highlight w:val="none"/>
        </w:rPr>
        <w:t>由于施工期避开雨季</w:t>
      </w:r>
      <w:r>
        <w:rPr>
          <w:rFonts w:hint="default" w:ascii="Times New Roman" w:hAnsi="Times New Roman" w:eastAsia="宋体" w:cs="Times New Roman"/>
          <w:color w:val="auto"/>
          <w:sz w:val="24"/>
          <w:szCs w:val="24"/>
          <w:highlight w:val="none"/>
          <w:lang w:val="en-US" w:eastAsia="zh-CN"/>
        </w:rPr>
        <w:t>和汛期，</w:t>
      </w:r>
      <w:r>
        <w:rPr>
          <w:rFonts w:hint="default" w:ascii="Times New Roman" w:hAnsi="Times New Roman" w:eastAsia="宋体" w:cs="Times New Roman"/>
          <w:color w:val="auto"/>
          <w:sz w:val="24"/>
          <w:szCs w:val="24"/>
          <w:highlight w:val="none"/>
        </w:rPr>
        <w:t>施工生产区以方便施工、尽量靠近道路沿线布置为原则，减少了施工生产区对地表植被的破坏。施工</w:t>
      </w:r>
      <w:r>
        <w:rPr>
          <w:rFonts w:hint="default" w:ascii="Times New Roman" w:hAnsi="Times New Roman" w:eastAsia="宋体" w:cs="Times New Roman"/>
          <w:color w:val="auto"/>
          <w:sz w:val="24"/>
          <w:szCs w:val="24"/>
          <w:highlight w:val="none"/>
          <w:lang w:val="en-US" w:eastAsia="zh-CN"/>
        </w:rPr>
        <w:t>营地避开基本农田</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林地，不在生态红线内设置施工营地</w:t>
      </w:r>
      <w:r>
        <w:rPr>
          <w:rFonts w:hint="default" w:ascii="Times New Roman" w:hAnsi="Times New Roman" w:cs="Times New Roman" w:eastAsiaTheme="minorEastAsia"/>
          <w:color w:val="auto"/>
          <w:sz w:val="24"/>
          <w:szCs w:val="24"/>
          <w:highlight w:val="none"/>
        </w:rPr>
        <w:t>，充分考虑了敏感目标的避让。</w:t>
      </w:r>
    </w:p>
    <w:p w14:paraId="4B8AD2CF">
      <w:pPr>
        <w:spacing w:line="360" w:lineRule="auto"/>
        <w:ind w:firstLine="480" w:firstLineChars="200"/>
        <w:jc w:val="both"/>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机械设备停放场、临时材料堆场、临时渣场和预制场集中布置，方便管理，施工期临时材料堆场和临时渣场使用密目防尘网苫盖，减少对周边大气环境的影响。</w:t>
      </w:r>
    </w:p>
    <w:p w14:paraId="105C655E">
      <w:pPr>
        <w:spacing w:line="360" w:lineRule="auto"/>
        <w:ind w:firstLine="480" w:firstLineChars="200"/>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rPr>
        <w:t>综上所述，从环境角度分析，工程施工</w:t>
      </w:r>
      <w:r>
        <w:rPr>
          <w:rFonts w:hint="default" w:ascii="Times New Roman" w:hAnsi="Times New Roman" w:cs="Times New Roman" w:eastAsiaTheme="minorEastAsia"/>
          <w:color w:val="auto"/>
          <w:sz w:val="24"/>
          <w:szCs w:val="24"/>
          <w:highlight w:val="none"/>
          <w:lang w:val="en-US" w:eastAsia="zh-CN"/>
        </w:rPr>
        <w:t>营地</w:t>
      </w:r>
      <w:r>
        <w:rPr>
          <w:rFonts w:hint="default" w:ascii="Times New Roman" w:hAnsi="Times New Roman" w:cs="Times New Roman" w:eastAsiaTheme="minorEastAsia"/>
          <w:color w:val="auto"/>
          <w:sz w:val="24"/>
          <w:szCs w:val="24"/>
          <w:highlight w:val="none"/>
        </w:rPr>
        <w:t>规划及分区布置基</w:t>
      </w:r>
      <w:r>
        <w:rPr>
          <w:rFonts w:hint="default" w:ascii="Times New Roman" w:hAnsi="Times New Roman" w:cs="Times New Roman"/>
          <w:color w:val="auto"/>
          <w:sz w:val="24"/>
          <w:szCs w:val="24"/>
          <w:highlight w:val="none"/>
          <w:lang w:val="en-US" w:eastAsia="zh-CN"/>
        </w:rPr>
        <w:t>本合理。</w:t>
      </w:r>
    </w:p>
    <w:p w14:paraId="5A9AD0E6">
      <w:pPr>
        <w:numPr>
          <w:ilvl w:val="0"/>
          <w:numId w:val="5"/>
        </w:numPr>
        <w:spacing w:line="360" w:lineRule="auto"/>
        <w:ind w:firstLine="482" w:firstLineChars="200"/>
        <w:outlineLvl w:val="9"/>
        <w:rPr>
          <w:rFonts w:hint="default" w:ascii="Times New Roman" w:hAnsi="Times New Roman" w:cs="Times New Roman"/>
          <w:b/>
          <w:bCs/>
          <w:color w:val="auto"/>
          <w:sz w:val="24"/>
          <w:szCs w:val="24"/>
          <w:highlight w:val="none"/>
          <w:lang w:val="en-US" w:eastAsia="zh-CN"/>
        </w:rPr>
      </w:pPr>
      <w:bookmarkStart w:id="3408" w:name="_Toc7310_WPSOffice_Level3"/>
      <w:bookmarkStart w:id="3409" w:name="_Toc13606_WPSOffice_Level3"/>
      <w:bookmarkStart w:id="3410" w:name="_Toc20641_WPSOffice_Level3"/>
      <w:bookmarkStart w:id="3411" w:name="_Toc32471_WPSOffice_Level3"/>
      <w:r>
        <w:rPr>
          <w:rFonts w:hint="default" w:ascii="Times New Roman" w:hAnsi="Times New Roman" w:cs="Times New Roman"/>
          <w:b/>
          <w:bCs/>
          <w:color w:val="auto"/>
          <w:sz w:val="24"/>
          <w:szCs w:val="24"/>
          <w:highlight w:val="none"/>
          <w:lang w:val="en-US" w:eastAsia="zh-CN"/>
        </w:rPr>
        <w:t>施工道路布置的合理性</w:t>
      </w:r>
      <w:bookmarkEnd w:id="3408"/>
      <w:bookmarkEnd w:id="3409"/>
      <w:bookmarkEnd w:id="3410"/>
      <w:bookmarkEnd w:id="3411"/>
    </w:p>
    <w:p w14:paraId="36313CFE">
      <w:pPr>
        <w:spacing w:line="360" w:lineRule="auto"/>
        <w:ind w:firstLine="480" w:firstLineChars="200"/>
        <w:jc w:val="both"/>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项目一期工程施工道路主要依托现有村道，并新建</w:t>
      </w:r>
      <w:r>
        <w:rPr>
          <w:rFonts w:hint="default" w:ascii="Times New Roman" w:hAnsi="Times New Roman" w:cs="Times New Roman"/>
          <w:color w:val="auto"/>
          <w:sz w:val="24"/>
          <w:highlight w:val="none"/>
        </w:rPr>
        <w:t>川口河</w:t>
      </w:r>
      <w:r>
        <w:rPr>
          <w:rFonts w:hint="default" w:ascii="Times New Roman" w:hAnsi="Times New Roman" w:cs="Times New Roman"/>
          <w:color w:val="auto"/>
          <w:sz w:val="24"/>
          <w:highlight w:val="none"/>
          <w:lang w:eastAsia="zh-CN"/>
        </w:rPr>
        <w:t>及</w:t>
      </w:r>
      <w:r>
        <w:rPr>
          <w:rFonts w:hint="default" w:ascii="Times New Roman" w:hAnsi="Times New Roman" w:cs="Times New Roman"/>
          <w:color w:val="auto"/>
          <w:sz w:val="24"/>
          <w:highlight w:val="none"/>
        </w:rPr>
        <w:t>小河巡检道路</w:t>
      </w:r>
      <w:r>
        <w:rPr>
          <w:rFonts w:hint="default" w:ascii="Times New Roman" w:hAnsi="Times New Roman" w:cs="Times New Roman"/>
          <w:color w:val="auto"/>
          <w:sz w:val="24"/>
          <w:highlight w:val="none"/>
          <w:lang w:eastAsia="zh-CN"/>
        </w:rPr>
        <w:t>共</w:t>
      </w:r>
      <w:r>
        <w:rPr>
          <w:rFonts w:hint="default" w:ascii="Times New Roman" w:hAnsi="Times New Roman" w:cs="Times New Roman"/>
          <w:color w:val="auto"/>
          <w:sz w:val="24"/>
          <w:highlight w:val="none"/>
          <w:lang w:val="en-US" w:eastAsia="zh-CN"/>
        </w:rPr>
        <w:t>9.73km，其中川口河巡检道路</w:t>
      </w:r>
      <w:r>
        <w:rPr>
          <w:rFonts w:hint="default" w:ascii="Times New Roman" w:hAnsi="Times New Roman" w:cs="Times New Roman"/>
          <w:color w:val="auto"/>
          <w:sz w:val="24"/>
          <w:highlight w:val="none"/>
        </w:rPr>
        <w:t>7.80km，路面宽5.0m（包含两侧路肩，各0.5m）</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小河巡检道路1.57km，路面宽4.5m（包含两侧路肩，各0.5m）</w:t>
      </w:r>
      <w:r>
        <w:rPr>
          <w:rFonts w:hint="default" w:ascii="Times New Roman" w:hAnsi="Times New Roman" w:cs="Times New Roman"/>
          <w:color w:val="auto"/>
          <w:sz w:val="24"/>
          <w:highlight w:val="none"/>
          <w:lang w:eastAsia="zh-CN"/>
        </w:rPr>
        <w:t>。巡检</w:t>
      </w:r>
      <w:r>
        <w:rPr>
          <w:rFonts w:hint="default" w:ascii="Times New Roman" w:hAnsi="Times New Roman" w:eastAsia="Arial" w:cs="Times New Roman"/>
          <w:i w:val="0"/>
          <w:iCs w:val="0"/>
          <w:caps w:val="0"/>
          <w:color w:val="auto"/>
          <w:spacing w:val="0"/>
          <w:sz w:val="24"/>
          <w:szCs w:val="24"/>
          <w:highlight w:val="none"/>
          <w:shd w:val="clear" w:fill="FFFFFF"/>
        </w:rPr>
        <w:t>道路沿河岸走向，最大程度避免占用农田且不进入生态红线范围，减少对耕地和敏感区的扰动。</w:t>
      </w:r>
    </w:p>
    <w:p w14:paraId="051B2937">
      <w:pPr>
        <w:spacing w:line="360" w:lineRule="auto"/>
        <w:ind w:firstLine="480" w:firstLineChars="200"/>
        <w:jc w:val="both"/>
        <w:rPr>
          <w:rFonts w:hint="default" w:ascii="Times New Roman" w:hAnsi="Times New Roman" w:eastAsia="Arial" w:cs="Times New Roman"/>
          <w:i w:val="0"/>
          <w:iCs w:val="0"/>
          <w:caps w:val="0"/>
          <w:color w:val="auto"/>
          <w:spacing w:val="0"/>
          <w:sz w:val="24"/>
          <w:szCs w:val="24"/>
          <w:highlight w:val="none"/>
          <w:shd w:val="clear" w:fill="FFFFFF"/>
        </w:rPr>
      </w:pPr>
      <w:bookmarkStart w:id="3412" w:name="bookmark1"/>
      <w:bookmarkEnd w:id="3412"/>
      <w:bookmarkStart w:id="3413" w:name="8.6.1混凝土系统"/>
      <w:bookmarkEnd w:id="3413"/>
      <w:bookmarkStart w:id="3414" w:name="8.6 施工工厂设施"/>
      <w:bookmarkEnd w:id="3414"/>
      <w:r>
        <w:rPr>
          <w:rFonts w:hint="default" w:ascii="Times New Roman" w:hAnsi="Times New Roman" w:cs="Times New Roman" w:eastAsiaTheme="minorEastAsia"/>
          <w:color w:val="auto"/>
          <w:sz w:val="24"/>
          <w:szCs w:val="24"/>
          <w:highlight w:val="none"/>
          <w:lang w:eastAsia="zh-CN"/>
        </w:rPr>
        <w:t>项目二期工程主要为水库清淤，</w:t>
      </w:r>
      <w:r>
        <w:rPr>
          <w:rFonts w:hint="default" w:ascii="Times New Roman" w:hAnsi="Times New Roman" w:cs="Times New Roman"/>
          <w:color w:val="auto"/>
          <w:highlight w:val="none"/>
        </w:rPr>
        <w:t>为了便于淤泥运输，在设计清淤区域布设临时道路网，临时道路长7.8km，设计路面宽度5.0m</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eastAsia="zh-CN"/>
        </w:rPr>
        <w:t>临时道路位于河道范围，施工结束后播撒草籽恢复原有地貌。</w:t>
      </w:r>
      <w:r>
        <w:rPr>
          <w:rFonts w:hint="default" w:ascii="Times New Roman" w:hAnsi="Times New Roman" w:eastAsia="Arial" w:cs="Times New Roman"/>
          <w:i w:val="0"/>
          <w:iCs w:val="0"/>
          <w:caps w:val="0"/>
          <w:color w:val="auto"/>
          <w:spacing w:val="0"/>
          <w:sz w:val="24"/>
          <w:szCs w:val="24"/>
          <w:highlight w:val="none"/>
          <w:shd w:val="clear" w:fill="FFFFFF"/>
        </w:rPr>
        <w:t>避免永久性占地，降低对河道生态的长期影响。</w:t>
      </w:r>
    </w:p>
    <w:p w14:paraId="78CAEC6B">
      <w:pPr>
        <w:pStyle w:val="10"/>
        <w:rPr>
          <w:rFonts w:hint="default" w:ascii="Times New Roman" w:hAnsi="Times New Roman" w:eastAsia="Arial" w:cs="Times New Roman"/>
          <w:i w:val="0"/>
          <w:iCs w:val="0"/>
          <w:caps w:val="0"/>
          <w:color w:val="auto"/>
          <w:spacing w:val="0"/>
          <w:sz w:val="24"/>
          <w:szCs w:val="24"/>
          <w:highlight w:val="none"/>
          <w:shd w:val="clear" w:fill="FFFFFF"/>
        </w:rPr>
      </w:pPr>
      <w:r>
        <w:rPr>
          <w:rFonts w:hint="eastAsia"/>
          <w:color w:val="auto"/>
          <w:highlight w:val="none"/>
          <w:lang w:eastAsia="zh-CN"/>
        </w:rPr>
        <w:t>施工平面营地及临时施工道路布置详见附图</w:t>
      </w:r>
      <w:r>
        <w:rPr>
          <w:rFonts w:hint="eastAsia"/>
          <w:color w:val="auto"/>
          <w:highlight w:val="none"/>
          <w:lang w:val="en-US" w:eastAsia="zh-CN"/>
        </w:rPr>
        <w:t>8～附图9</w:t>
      </w:r>
      <w:r>
        <w:rPr>
          <w:rFonts w:hint="eastAsia"/>
          <w:color w:val="auto"/>
          <w:highlight w:val="none"/>
          <w:lang w:eastAsia="zh-CN"/>
        </w:rPr>
        <w:t>。</w:t>
      </w:r>
    </w:p>
    <w:p w14:paraId="79D8B2DE">
      <w:pPr>
        <w:pStyle w:val="4"/>
        <w:bidi w:val="0"/>
        <w:outlineLvl w:val="1"/>
        <w:rPr>
          <w:rFonts w:hint="default" w:ascii="Times New Roman" w:hAnsi="Times New Roman" w:cs="Times New Roman"/>
          <w:color w:val="auto"/>
          <w:sz w:val="28"/>
          <w:szCs w:val="28"/>
          <w:highlight w:val="none"/>
        </w:rPr>
      </w:pPr>
      <w:bookmarkStart w:id="3415" w:name="_Toc29058"/>
      <w:bookmarkStart w:id="3416" w:name="_Toc19295"/>
      <w:bookmarkStart w:id="3417" w:name="_Toc28672"/>
      <w:bookmarkStart w:id="3418" w:name="_Toc5460"/>
      <w:r>
        <w:rPr>
          <w:rFonts w:hint="default" w:ascii="Times New Roman" w:hAnsi="Times New Roman" w:cs="Times New Roman"/>
          <w:color w:val="auto"/>
          <w:sz w:val="28"/>
          <w:szCs w:val="28"/>
          <w:highlight w:val="none"/>
        </w:rPr>
        <w:t>3.2工程环境影响分析</w:t>
      </w:r>
      <w:bookmarkEnd w:id="3415"/>
      <w:bookmarkEnd w:id="3416"/>
      <w:bookmarkEnd w:id="3417"/>
      <w:bookmarkEnd w:id="3418"/>
    </w:p>
    <w:p w14:paraId="69F18527">
      <w:pPr>
        <w:pStyle w:val="6"/>
        <w:bidi w:val="0"/>
        <w:ind w:left="0" w:leftChars="0" w:firstLine="0" w:firstLineChars="0"/>
        <w:outlineLvl w:val="2"/>
        <w:rPr>
          <w:rFonts w:hint="default" w:ascii="Times New Roman" w:hAnsi="Times New Roman" w:cs="Times New Roman"/>
          <w:color w:val="auto"/>
          <w:sz w:val="28"/>
          <w:szCs w:val="28"/>
          <w:highlight w:val="none"/>
        </w:rPr>
      </w:pPr>
      <w:bookmarkStart w:id="3419" w:name="_Toc28385"/>
      <w:bookmarkStart w:id="3420" w:name="_Toc17069"/>
      <w:bookmarkStart w:id="3421" w:name="_Toc3567"/>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施工期污染源强分析</w:t>
      </w:r>
      <w:bookmarkEnd w:id="3419"/>
      <w:bookmarkEnd w:id="3420"/>
      <w:bookmarkEnd w:id="3421"/>
    </w:p>
    <w:p w14:paraId="2D8F2E1E">
      <w:pPr>
        <w:rPr>
          <w:rFonts w:hint="default" w:ascii="Times New Roman" w:hAnsi="Times New Roman" w:cs="Times New Roman"/>
          <w:color w:val="auto"/>
          <w:highlight w:val="none"/>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为河道治理工程，施工期主要工程内容为浆砌石护岸、防汛道路工程、河道修整工程、岸线生态修复及附属工程建设。施工结束后工程所用设备及临时建筑均拆除运走，临时占地恢复原有植被地貌。项目产生环境影响主要来自施工产生的扬尘、施工机械废气，施工机械运行噪声和交通噪声，施工人员产生的生活污水和生活垃圾，以及施工占地对地表土壤、植被、水体的破坏。</w:t>
      </w:r>
    </w:p>
    <w:p w14:paraId="3CF4BA87">
      <w:pPr>
        <w:pStyle w:val="7"/>
        <w:bidi w:val="0"/>
        <w:ind w:left="0" w:leftChars="0" w:firstLine="0" w:firstLineChars="0"/>
        <w:outlineLvl w:val="3"/>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.1大气污染物</w:t>
      </w:r>
    </w:p>
    <w:p w14:paraId="3E3F79D5">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本工程施工期对大气环境的影响主要来自施工扬尘、施工车辆和施工机械尾气。扬尘主要来源于</w:t>
      </w:r>
      <w:r>
        <w:rPr>
          <w:rFonts w:hint="default" w:ascii="Times New Roman" w:hAnsi="Times New Roman" w:cs="Times New Roman"/>
          <w:color w:val="auto"/>
          <w:sz w:val="24"/>
          <w:szCs w:val="24"/>
          <w:highlight w:val="none"/>
          <w:lang w:val="en-US" w:eastAsia="zh-CN"/>
        </w:rPr>
        <w:t>泵站建设及管道铺设</w:t>
      </w:r>
      <w:r>
        <w:rPr>
          <w:rFonts w:hint="default" w:ascii="Times New Roman" w:hAnsi="Times New Roman" w:cs="Times New Roman"/>
          <w:color w:val="auto"/>
          <w:sz w:val="24"/>
          <w:szCs w:val="24"/>
          <w:highlight w:val="none"/>
        </w:rPr>
        <w:t>等产生的扬尘，和运输建筑材料、土方的汽车及施工车辆行驶等产生的扬尘，其主要污染物为TSP；施工机械尾气来源于各类燃油动力机械（如汽车、推土机、装载机、自卸车等）在进行作业线路及场地清理与平整、施工道路修筑、挖填、土方运输等作业时排放的废气。</w:t>
      </w:r>
    </w:p>
    <w:p w14:paraId="7DA84374">
      <w:pPr>
        <w:pStyle w:val="7"/>
        <w:bidi w:val="0"/>
        <w:outlineLvl w:val="3"/>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.2废水</w:t>
      </w:r>
    </w:p>
    <w:p w14:paraId="73D9BF8B">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生活污水</w:t>
      </w:r>
    </w:p>
    <w:p w14:paraId="17D241CC">
      <w:pPr>
        <w:bidi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工程施工高峰期每天作业人员约</w:t>
      </w:r>
      <w:r>
        <w:rPr>
          <w:rFonts w:hint="default"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人，</w:t>
      </w:r>
      <w:r>
        <w:rPr>
          <w:rFonts w:hint="default" w:ascii="Times New Roman" w:hAnsi="Times New Roman" w:cs="Times New Roman"/>
          <w:color w:val="auto"/>
          <w:kern w:val="2"/>
          <w:sz w:val="24"/>
          <w:szCs w:val="24"/>
          <w:highlight w:val="none"/>
          <w:lang w:eastAsia="zh-CN"/>
        </w:rPr>
        <w:t>施工人员</w:t>
      </w:r>
      <w:r>
        <w:rPr>
          <w:rFonts w:hint="default" w:ascii="Times New Roman" w:hAnsi="Times New Roman" w:cs="Times New Roman"/>
          <w:color w:val="auto"/>
          <w:kern w:val="2"/>
          <w:sz w:val="24"/>
          <w:szCs w:val="24"/>
          <w:highlight w:val="none"/>
        </w:rPr>
        <w:t>用水系数以</w:t>
      </w:r>
      <w:r>
        <w:rPr>
          <w:rFonts w:hint="default" w:ascii="Times New Roman" w:hAnsi="Times New Roman" w:cs="Times New Roman"/>
          <w:color w:val="auto"/>
          <w:kern w:val="2"/>
          <w:sz w:val="24"/>
          <w:szCs w:val="24"/>
          <w:highlight w:val="none"/>
          <w:lang w:val="en-US" w:eastAsia="zh-CN"/>
        </w:rPr>
        <w:t>6</w:t>
      </w:r>
      <w:r>
        <w:rPr>
          <w:rFonts w:hint="default" w:ascii="Times New Roman" w:hAnsi="Times New Roman" w:cs="Times New Roman"/>
          <w:color w:val="auto"/>
          <w:kern w:val="2"/>
          <w:sz w:val="24"/>
          <w:szCs w:val="24"/>
          <w:highlight w:val="none"/>
        </w:rPr>
        <w:t>0L/d·人计算，则施工人员生活用水量为</w:t>
      </w:r>
      <w:r>
        <w:rPr>
          <w:rFonts w:hint="default" w:ascii="Times New Roman" w:hAnsi="Times New Roman" w:cs="Times New Roman"/>
          <w:color w:val="auto"/>
          <w:kern w:val="2"/>
          <w:sz w:val="24"/>
          <w:szCs w:val="24"/>
          <w:highlight w:val="none"/>
          <w:lang w:val="en-US" w:eastAsia="zh-CN"/>
        </w:rPr>
        <w:t>6</w:t>
      </w:r>
      <w:r>
        <w:rPr>
          <w:rFonts w:hint="default" w:ascii="Times New Roman" w:hAnsi="Times New Roman" w:cs="Times New Roman"/>
          <w:color w:val="auto"/>
          <w:kern w:val="2"/>
          <w:sz w:val="24"/>
          <w:szCs w:val="24"/>
          <w:highlight w:val="none"/>
        </w:rPr>
        <w:t>m</w:t>
      </w:r>
      <w:r>
        <w:rPr>
          <w:rFonts w:hint="default" w:ascii="Times New Roman" w:hAnsi="Times New Roman" w:cs="Times New Roman"/>
          <w:color w:val="auto"/>
          <w:kern w:val="2"/>
          <w:sz w:val="24"/>
          <w:szCs w:val="24"/>
          <w:highlight w:val="none"/>
          <w:vertAlign w:val="superscript"/>
        </w:rPr>
        <w:t>3</w:t>
      </w:r>
      <w:r>
        <w:rPr>
          <w:rFonts w:hint="default" w:ascii="Times New Roman" w:hAnsi="Times New Roman" w:cs="Times New Roman"/>
          <w:color w:val="auto"/>
          <w:kern w:val="2"/>
          <w:sz w:val="24"/>
          <w:szCs w:val="24"/>
          <w:highlight w:val="none"/>
        </w:rPr>
        <w:t>/d，生活污水排放系数按80%计，则施工人员生活污水产生量为</w:t>
      </w:r>
      <w:r>
        <w:rPr>
          <w:rFonts w:hint="default" w:ascii="Times New Roman" w:hAnsi="Times New Roman" w:cs="Times New Roman"/>
          <w:color w:val="auto"/>
          <w:kern w:val="2"/>
          <w:sz w:val="24"/>
          <w:szCs w:val="24"/>
          <w:highlight w:val="none"/>
          <w:lang w:val="en-US" w:eastAsia="zh-CN"/>
        </w:rPr>
        <w:t>4.8</w:t>
      </w:r>
      <w:r>
        <w:rPr>
          <w:rFonts w:hint="default" w:ascii="Times New Roman" w:hAnsi="Times New Roman" w:cs="Times New Roman"/>
          <w:color w:val="auto"/>
          <w:kern w:val="2"/>
          <w:sz w:val="24"/>
          <w:szCs w:val="24"/>
          <w:highlight w:val="none"/>
        </w:rPr>
        <w:t>m</w:t>
      </w:r>
      <w:r>
        <w:rPr>
          <w:rFonts w:hint="default" w:ascii="Times New Roman" w:hAnsi="Times New Roman" w:cs="Times New Roman"/>
          <w:color w:val="auto"/>
          <w:kern w:val="2"/>
          <w:sz w:val="24"/>
          <w:szCs w:val="24"/>
          <w:highlight w:val="none"/>
          <w:vertAlign w:val="superscript"/>
        </w:rPr>
        <w:t>3</w:t>
      </w:r>
      <w:r>
        <w:rPr>
          <w:rFonts w:hint="default" w:ascii="Times New Roman" w:hAnsi="Times New Roman" w:cs="Times New Roman"/>
          <w:color w:val="auto"/>
          <w:kern w:val="2"/>
          <w:sz w:val="24"/>
          <w:szCs w:val="24"/>
          <w:highlight w:val="none"/>
        </w:rPr>
        <w:t>/d，污染物浓度COD：400mg/L，BOD</w:t>
      </w:r>
      <w:r>
        <w:rPr>
          <w:rFonts w:hint="default" w:ascii="Times New Roman" w:hAnsi="Times New Roman" w:cs="Times New Roman"/>
          <w:color w:val="auto"/>
          <w:kern w:val="2"/>
          <w:sz w:val="24"/>
          <w:szCs w:val="24"/>
          <w:highlight w:val="none"/>
          <w:vertAlign w:val="subscript"/>
        </w:rPr>
        <w:t>5</w:t>
      </w:r>
      <w:r>
        <w:rPr>
          <w:rFonts w:hint="eastAsia" w:cs="Times New Roman"/>
          <w:color w:val="auto"/>
          <w:kern w:val="2"/>
          <w:sz w:val="24"/>
          <w:szCs w:val="24"/>
          <w:highlight w:val="none"/>
          <w:vertAlign w:val="subscript"/>
          <w:lang w:eastAsia="zh-CN"/>
        </w:rPr>
        <w:t>:</w:t>
      </w:r>
      <w:r>
        <w:rPr>
          <w:rFonts w:hint="default" w:ascii="Times New Roman" w:hAnsi="Times New Roman" w:cs="Times New Roman"/>
          <w:color w:val="auto"/>
          <w:kern w:val="2"/>
          <w:sz w:val="24"/>
          <w:szCs w:val="24"/>
          <w:highlight w:val="none"/>
        </w:rPr>
        <w:t>250mg/L，NH</w:t>
      </w:r>
      <w:r>
        <w:rPr>
          <w:rFonts w:hint="default" w:ascii="Times New Roman" w:hAnsi="Times New Roman" w:cs="Times New Roman"/>
          <w:color w:val="auto"/>
          <w:kern w:val="2"/>
          <w:sz w:val="24"/>
          <w:szCs w:val="24"/>
          <w:highlight w:val="none"/>
          <w:vertAlign w:val="subscript"/>
        </w:rPr>
        <w:t>3</w:t>
      </w:r>
      <w:r>
        <w:rPr>
          <w:rFonts w:hint="default" w:ascii="Times New Roman" w:hAnsi="Times New Roman" w:cs="Times New Roman"/>
          <w:color w:val="auto"/>
          <w:kern w:val="2"/>
          <w:sz w:val="24"/>
          <w:szCs w:val="24"/>
          <w:highlight w:val="none"/>
        </w:rPr>
        <w:t>-N：30 mg/L，SS：220mg/L。</w:t>
      </w:r>
      <w:r>
        <w:rPr>
          <w:rFonts w:hint="default" w:ascii="Times New Roman" w:hAnsi="Times New Roman" w:cs="Times New Roman"/>
          <w:color w:val="auto"/>
          <w:sz w:val="24"/>
          <w:szCs w:val="24"/>
          <w:highlight w:val="none"/>
          <w:lang w:eastAsia="zh-CN"/>
        </w:rPr>
        <w:t>项目施工人员租用附近民房，生活污水依托民房旱厕，定期清掏用于</w:t>
      </w:r>
      <w:r>
        <w:rPr>
          <w:rFonts w:hint="eastAsia" w:cs="Times New Roman"/>
          <w:color w:val="auto"/>
          <w:sz w:val="24"/>
          <w:szCs w:val="24"/>
          <w:highlight w:val="none"/>
          <w:lang w:eastAsia="zh-CN"/>
        </w:rPr>
        <w:t>农肥</w:t>
      </w:r>
      <w:r>
        <w:rPr>
          <w:rFonts w:hint="default" w:ascii="Times New Roman" w:hAnsi="Times New Roman" w:cs="Times New Roman"/>
          <w:color w:val="auto"/>
          <w:sz w:val="24"/>
          <w:szCs w:val="24"/>
          <w:highlight w:val="none"/>
          <w:lang w:eastAsia="zh-CN"/>
        </w:rPr>
        <w:t>。</w:t>
      </w:r>
    </w:p>
    <w:p w14:paraId="512AD0A9">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施工废水</w:t>
      </w:r>
    </w:p>
    <w:p w14:paraId="4E3D2398">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本工程施工废水主要包括混凝土养护废水、施工机械和车辆冲洗废水和</w:t>
      </w:r>
      <w:r>
        <w:rPr>
          <w:rFonts w:hint="default" w:ascii="Times New Roman" w:hAnsi="Times New Roman" w:cs="Times New Roman"/>
          <w:color w:val="auto"/>
          <w:sz w:val="24"/>
          <w:szCs w:val="24"/>
          <w:highlight w:val="none"/>
          <w:lang w:eastAsia="zh-CN"/>
        </w:rPr>
        <w:t>施工导流</w:t>
      </w:r>
      <w:r>
        <w:rPr>
          <w:rFonts w:hint="default" w:ascii="Times New Roman" w:hAnsi="Times New Roman" w:cs="Times New Roman"/>
          <w:color w:val="auto"/>
          <w:sz w:val="24"/>
          <w:szCs w:val="24"/>
          <w:highlight w:val="none"/>
        </w:rPr>
        <w:t>。</w:t>
      </w:r>
    </w:p>
    <w:p w14:paraId="2C0CE7DB">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①混凝土养护废水</w:t>
      </w:r>
    </w:p>
    <w:p w14:paraId="3CE2EFAB">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本工程施工采用商品混凝土，主体工程现浇混凝土养护产生少量废水。本工程混凝土工程量总计</w:t>
      </w:r>
      <w:r>
        <w:rPr>
          <w:rFonts w:hint="default" w:ascii="Times New Roman" w:hAnsi="Times New Roman" w:cs="Times New Roman"/>
          <w:color w:val="auto"/>
          <w:sz w:val="24"/>
          <w:szCs w:val="24"/>
          <w:highlight w:val="none"/>
          <w:lang w:val="en-US" w:eastAsia="zh-CN"/>
        </w:rPr>
        <w:t>99.8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，按养护1m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混凝土约产生废水0.35m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计算，则施工期共产生混凝土养护废水</w:t>
      </w:r>
      <w:r>
        <w:rPr>
          <w:rFonts w:hint="default" w:ascii="Times New Roman" w:hAnsi="Times New Roman" w:cs="Times New Roman"/>
          <w:color w:val="auto"/>
          <w:sz w:val="24"/>
          <w:szCs w:val="24"/>
          <w:highlight w:val="none"/>
          <w:lang w:val="en-US" w:eastAsia="zh-CN"/>
        </w:rPr>
        <w:t>34.93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。各混凝土现浇施工区设置沉淀池，沉淀后回用于混凝土养护用水。</w:t>
      </w:r>
    </w:p>
    <w:p w14:paraId="49CC5DAD">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②施工机械和车辆冲洗废水</w:t>
      </w:r>
    </w:p>
    <w:p w14:paraId="1BDCCA0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工程仅设置一般性的机械和车辆保养服务，机械车辆冲洗保养过程中将产生少量含油废水，污染因子主要为石油类、COD和SS，其中石油类浓度为10～30mg/L、COD浓度为25～200mg/L、SS浓度为500～4000mg/L，排放特点为间歇性排放。</w:t>
      </w:r>
      <w:r>
        <w:rPr>
          <w:rFonts w:hint="eastAsia" w:cs="Times New Roman"/>
          <w:color w:val="auto"/>
          <w:sz w:val="24"/>
          <w:szCs w:val="24"/>
          <w:highlight w:val="none"/>
          <w:lang w:eastAsia="zh-CN"/>
        </w:rPr>
        <w:t>经</w:t>
      </w:r>
      <w:r>
        <w:rPr>
          <w:rFonts w:hint="default" w:ascii="Times New Roman" w:hAnsi="Times New Roman" w:cs="Times New Roman"/>
          <w:color w:val="auto"/>
          <w:sz w:val="24"/>
          <w:szCs w:val="24"/>
          <w:highlight w:val="none"/>
          <w:lang w:eastAsia="zh-CN"/>
        </w:rPr>
        <w:t>施工区设置</w:t>
      </w:r>
      <w:r>
        <w:rPr>
          <w:rFonts w:hint="eastAsia" w:cs="Times New Roman"/>
          <w:color w:val="auto"/>
          <w:sz w:val="24"/>
          <w:szCs w:val="24"/>
          <w:highlight w:val="none"/>
          <w:lang w:eastAsia="zh-CN"/>
        </w:rPr>
        <w:t>临时隔油沉淀池沉淀后</w:t>
      </w:r>
      <w:r>
        <w:rPr>
          <w:rFonts w:hint="eastAsia"/>
          <w:snapToGrid w:val="0"/>
          <w:color w:val="auto"/>
          <w:sz w:val="24"/>
          <w:highlight w:val="none"/>
        </w:rPr>
        <w:t>用于洒水抑尘</w:t>
      </w:r>
      <w:r>
        <w:rPr>
          <w:rFonts w:hint="eastAsia"/>
          <w:snapToGrid w:val="0"/>
          <w:color w:val="auto"/>
          <w:sz w:val="24"/>
          <w:highlight w:val="none"/>
          <w:lang w:eastAsia="zh-CN"/>
        </w:rPr>
        <w:t>，</w:t>
      </w:r>
      <w:r>
        <w:rPr>
          <w:rFonts w:hint="default" w:ascii="Times New Roman" w:hAnsi="Times New Roman" w:eastAsia="宋体" w:cs="Times New Roman"/>
          <w:color w:val="auto"/>
          <w:sz w:val="24"/>
          <w:szCs w:val="28"/>
          <w:highlight w:val="none"/>
        </w:rPr>
        <w:t>收集的废油定期交由有资质的单位处理。</w:t>
      </w:r>
    </w:p>
    <w:p w14:paraId="7FBB019B">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③</w:t>
      </w:r>
      <w:r>
        <w:rPr>
          <w:rFonts w:hint="default" w:ascii="Times New Roman" w:hAnsi="Times New Roman" w:cs="Times New Roman"/>
          <w:color w:val="auto"/>
          <w:sz w:val="24"/>
          <w:szCs w:val="24"/>
          <w:highlight w:val="none"/>
          <w:lang w:eastAsia="zh-CN"/>
        </w:rPr>
        <w:t>施工导流</w:t>
      </w:r>
    </w:p>
    <w:p w14:paraId="2FE559B7">
      <w:pPr>
        <w:bidi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水库清淤采用干挖清淤，将水库水导流至下游，放空水库。</w:t>
      </w:r>
    </w:p>
    <w:p w14:paraId="1A12034A">
      <w:pPr>
        <w:bidi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川口河为季节性河流，枯水期施工，河道内无水。</w:t>
      </w:r>
    </w:p>
    <w:p w14:paraId="6F27C2F7">
      <w:pPr>
        <w:bidi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小河为非季节性河流，以枯水期施工为主，通过修建导流渠等方式将地表水导流至下游。</w:t>
      </w:r>
    </w:p>
    <w:p w14:paraId="21E22EF7">
      <w:pPr>
        <w:bidi w:val="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导流过程无其他污染物汇入，不改变地表水水质。</w:t>
      </w:r>
    </w:p>
    <w:p w14:paraId="178A5FEA">
      <w:pPr>
        <w:pStyle w:val="7"/>
        <w:bidi w:val="0"/>
        <w:outlineLvl w:val="3"/>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3噪声</w:t>
      </w:r>
    </w:p>
    <w:p w14:paraId="0B6445DB">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本工程施工期噪声主要来自各工区施工机械运行、交通运输等施工活动。噪声声源主要包括稳定声源（振捣器、打夯机等）、流动声源（自卸汽车、载重汽车等）。稳定声源和流动声</w:t>
      </w:r>
      <w:r>
        <w:rPr>
          <w:rFonts w:hint="default" w:ascii="Times New Roman" w:hAnsi="Times New Roman" w:eastAsia="宋体" w:cs="Times New Roman"/>
          <w:color w:val="auto"/>
          <w:sz w:val="24"/>
          <w:szCs w:val="24"/>
          <w:highlight w:val="none"/>
        </w:rPr>
        <w:t>源噪声多在80～90dB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，属于阵发性声源。施工期噪声影响随施工结束而结束。</w:t>
      </w:r>
      <w:r>
        <w:rPr>
          <w:rFonts w:hint="default" w:ascii="Times New Roman" w:hAnsi="Times New Roman" w:eastAsia="宋体" w:cs="Times New Roman"/>
          <w:color w:val="auto"/>
          <w:sz w:val="24"/>
          <w:szCs w:val="24"/>
          <w:highlight w:val="none"/>
          <w:lang w:val="en-US" w:eastAsia="zh-CN"/>
        </w:rPr>
        <w:t>机械噪声源强参考《环境噪声与振动控制工程技术导则》（HJ 2034—2013）。</w:t>
      </w:r>
      <w:r>
        <w:rPr>
          <w:rFonts w:hint="default" w:ascii="Times New Roman" w:hAnsi="Times New Roman" w:eastAsia="宋体" w:cs="Times New Roman"/>
          <w:color w:val="auto"/>
          <w:sz w:val="24"/>
          <w:szCs w:val="24"/>
          <w:highlight w:val="none"/>
        </w:rPr>
        <w:t>施工设备噪声源</w:t>
      </w:r>
      <w:r>
        <w:rPr>
          <w:rFonts w:hint="default" w:ascii="Times New Roman" w:hAnsi="Times New Roman" w:cs="Times New Roman"/>
          <w:color w:val="auto"/>
          <w:sz w:val="24"/>
          <w:szCs w:val="24"/>
          <w:highlight w:val="none"/>
        </w:rPr>
        <w:t>强类比值见表3.2-3。</w:t>
      </w:r>
    </w:p>
    <w:p w14:paraId="5DFFBDD9">
      <w:pPr>
        <w:bidi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表3.2-3施工机械、设备、车辆等噪声源强</w:t>
      </w:r>
    </w:p>
    <w:tbl>
      <w:tblPr>
        <w:tblStyle w:val="3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4177"/>
        <w:gridCol w:w="3245"/>
      </w:tblGrid>
      <w:tr w14:paraId="20B24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vAlign w:val="center"/>
          </w:tcPr>
          <w:p w14:paraId="34EC9EA7">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eastAsia="zh-CN"/>
              </w:rPr>
            </w:pPr>
            <w:bookmarkStart w:id="3422" w:name="_Toc27324"/>
            <w:bookmarkStart w:id="3423" w:name="_Toc29161"/>
            <w:bookmarkStart w:id="3424" w:name="_Toc4758"/>
            <w:bookmarkStart w:id="3425" w:name="_Toc14183"/>
            <w:bookmarkStart w:id="3426" w:name="_Toc11770"/>
            <w:r>
              <w:rPr>
                <w:rFonts w:hint="default" w:ascii="Times New Roman" w:hAnsi="Times New Roman" w:cs="Times New Roman"/>
                <w:b/>
                <w:bCs/>
                <w:color w:val="auto"/>
                <w:sz w:val="21"/>
                <w:szCs w:val="21"/>
                <w:highlight w:val="none"/>
              </w:rPr>
              <w:t>序号</w:t>
            </w:r>
            <w:bookmarkEnd w:id="3422"/>
            <w:bookmarkEnd w:id="3423"/>
            <w:bookmarkEnd w:id="3424"/>
            <w:bookmarkEnd w:id="3425"/>
            <w:bookmarkEnd w:id="3426"/>
          </w:p>
        </w:tc>
        <w:tc>
          <w:tcPr>
            <w:tcW w:w="4177" w:type="dxa"/>
            <w:tcBorders>
              <w:tl2br w:val="nil"/>
              <w:tr2bl w:val="nil"/>
            </w:tcBorders>
            <w:vAlign w:val="center"/>
          </w:tcPr>
          <w:p w14:paraId="310ABF03">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eastAsia="zh-CN"/>
              </w:rPr>
            </w:pPr>
            <w:bookmarkStart w:id="3427" w:name="_Toc14792"/>
            <w:bookmarkStart w:id="3428" w:name="_Toc3689"/>
            <w:bookmarkStart w:id="3429" w:name="_Toc30432"/>
            <w:bookmarkStart w:id="3430" w:name="_Toc32268"/>
            <w:bookmarkStart w:id="3431" w:name="_Toc23662"/>
            <w:r>
              <w:rPr>
                <w:rFonts w:hint="default" w:ascii="Times New Roman" w:hAnsi="Times New Roman" w:cs="Times New Roman"/>
                <w:b/>
                <w:bCs/>
                <w:color w:val="auto"/>
                <w:sz w:val="21"/>
                <w:szCs w:val="21"/>
                <w:highlight w:val="none"/>
              </w:rPr>
              <w:t>噪声源</w:t>
            </w:r>
            <w:bookmarkEnd w:id="3427"/>
            <w:bookmarkEnd w:id="3428"/>
            <w:bookmarkEnd w:id="3429"/>
            <w:bookmarkEnd w:id="3430"/>
            <w:bookmarkEnd w:id="3431"/>
          </w:p>
        </w:tc>
        <w:tc>
          <w:tcPr>
            <w:tcW w:w="3245" w:type="dxa"/>
            <w:tcBorders>
              <w:tl2br w:val="nil"/>
              <w:tr2bl w:val="nil"/>
            </w:tcBorders>
            <w:vAlign w:val="center"/>
          </w:tcPr>
          <w:p w14:paraId="525029FB">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3432" w:name="_Toc31178"/>
            <w:bookmarkStart w:id="3433" w:name="_Toc5315"/>
            <w:bookmarkStart w:id="3434" w:name="_Toc18060"/>
            <w:bookmarkStart w:id="3435" w:name="_Toc32138"/>
            <w:bookmarkStart w:id="3436" w:name="_Toc12568"/>
            <w:r>
              <w:rPr>
                <w:rFonts w:hint="default" w:ascii="Times New Roman" w:hAnsi="Times New Roman" w:cs="Times New Roman"/>
                <w:b/>
                <w:bCs/>
                <w:color w:val="auto"/>
                <w:sz w:val="21"/>
                <w:szCs w:val="21"/>
                <w:highlight w:val="none"/>
              </w:rPr>
              <w:t>最大声级/dB(A)</w:t>
            </w:r>
            <w:bookmarkEnd w:id="3432"/>
            <w:bookmarkEnd w:id="3433"/>
            <w:bookmarkEnd w:id="3434"/>
            <w:bookmarkEnd w:id="3435"/>
            <w:bookmarkEnd w:id="3436"/>
          </w:p>
        </w:tc>
      </w:tr>
      <w:tr w14:paraId="7C60E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vAlign w:val="center"/>
          </w:tcPr>
          <w:p w14:paraId="06ED76D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437" w:name="_Toc15220"/>
            <w:bookmarkStart w:id="3438" w:name="_Toc4707"/>
            <w:bookmarkStart w:id="3439" w:name="_Toc26009"/>
            <w:bookmarkStart w:id="3440" w:name="_Toc12111"/>
            <w:bookmarkStart w:id="3441" w:name="_Toc15513"/>
            <w:r>
              <w:rPr>
                <w:rFonts w:hint="default" w:ascii="Times New Roman" w:hAnsi="Times New Roman" w:cs="Times New Roman"/>
                <w:color w:val="auto"/>
                <w:sz w:val="21"/>
                <w:szCs w:val="21"/>
                <w:highlight w:val="none"/>
              </w:rPr>
              <w:t>1</w:t>
            </w:r>
            <w:bookmarkEnd w:id="3437"/>
            <w:bookmarkEnd w:id="3438"/>
            <w:bookmarkEnd w:id="3439"/>
            <w:bookmarkEnd w:id="3440"/>
            <w:bookmarkEnd w:id="3441"/>
          </w:p>
        </w:tc>
        <w:tc>
          <w:tcPr>
            <w:tcW w:w="4177" w:type="dxa"/>
            <w:tcBorders>
              <w:tl2br w:val="nil"/>
              <w:tr2bl w:val="nil"/>
            </w:tcBorders>
            <w:vAlign w:val="center"/>
          </w:tcPr>
          <w:p w14:paraId="30487FFD">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442" w:name="_Toc6700"/>
            <w:bookmarkStart w:id="3443" w:name="_Toc17997"/>
            <w:bookmarkStart w:id="3444" w:name="_Toc4249"/>
            <w:bookmarkStart w:id="3445" w:name="_Toc24922"/>
            <w:bookmarkStart w:id="3446" w:name="_Toc30052"/>
            <w:r>
              <w:rPr>
                <w:rFonts w:hint="default" w:ascii="Times New Roman" w:hAnsi="Times New Roman" w:cs="Times New Roman"/>
                <w:color w:val="auto"/>
                <w:sz w:val="21"/>
                <w:szCs w:val="21"/>
                <w:highlight w:val="none"/>
              </w:rPr>
              <w:t>挖掘机</w:t>
            </w:r>
            <w:bookmarkEnd w:id="3442"/>
            <w:bookmarkEnd w:id="3443"/>
            <w:bookmarkEnd w:id="3444"/>
            <w:bookmarkEnd w:id="3445"/>
            <w:bookmarkEnd w:id="3446"/>
          </w:p>
        </w:tc>
        <w:tc>
          <w:tcPr>
            <w:tcW w:w="3245" w:type="dxa"/>
            <w:tcBorders>
              <w:tl2br w:val="nil"/>
              <w:tr2bl w:val="nil"/>
            </w:tcBorders>
            <w:vAlign w:val="center"/>
          </w:tcPr>
          <w:p w14:paraId="48A453C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447" w:name="_Toc25940"/>
            <w:bookmarkStart w:id="3448" w:name="_Toc1067"/>
            <w:bookmarkStart w:id="3449" w:name="_Toc30593"/>
            <w:r>
              <w:rPr>
                <w:rFonts w:hint="default" w:ascii="Times New Roman" w:hAnsi="Times New Roman" w:cs="Times New Roman"/>
                <w:color w:val="auto"/>
                <w:sz w:val="21"/>
                <w:szCs w:val="21"/>
                <w:highlight w:val="none"/>
                <w:lang w:val="en-US" w:eastAsia="zh-CN"/>
              </w:rPr>
              <w:t>80</w:t>
            </w:r>
            <w:bookmarkEnd w:id="3447"/>
            <w:bookmarkEnd w:id="3448"/>
            <w:bookmarkEnd w:id="3449"/>
          </w:p>
        </w:tc>
      </w:tr>
      <w:tr w14:paraId="00598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4CDDCEA5">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450" w:name="_Toc20125"/>
            <w:bookmarkStart w:id="3451" w:name="_Toc848"/>
            <w:bookmarkStart w:id="3452" w:name="_Toc23035"/>
            <w:bookmarkStart w:id="3453" w:name="_Toc26961"/>
            <w:bookmarkStart w:id="3454" w:name="_Toc18091"/>
            <w:r>
              <w:rPr>
                <w:rFonts w:hint="default" w:ascii="Times New Roman" w:hAnsi="Times New Roman" w:cs="Times New Roman"/>
                <w:color w:val="auto"/>
                <w:sz w:val="21"/>
                <w:szCs w:val="21"/>
                <w:highlight w:val="none"/>
                <w:lang w:val="en-US" w:eastAsia="zh-CN"/>
              </w:rPr>
              <w:t>2</w:t>
            </w:r>
            <w:bookmarkEnd w:id="3450"/>
            <w:bookmarkEnd w:id="3451"/>
            <w:bookmarkEnd w:id="3452"/>
          </w:p>
        </w:tc>
        <w:tc>
          <w:tcPr>
            <w:tcW w:w="4177" w:type="dxa"/>
            <w:tcBorders>
              <w:tl2br w:val="nil"/>
              <w:tr2bl w:val="nil"/>
            </w:tcBorders>
            <w:vAlign w:val="center"/>
          </w:tcPr>
          <w:p w14:paraId="52EA3D6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455" w:name="_Toc2387"/>
            <w:bookmarkStart w:id="3456" w:name="_Toc14733"/>
            <w:bookmarkStart w:id="3457" w:name="_Toc21263"/>
            <w:r>
              <w:rPr>
                <w:rFonts w:hint="default" w:ascii="Times New Roman" w:hAnsi="Times New Roman" w:cs="Times New Roman"/>
                <w:color w:val="auto"/>
                <w:sz w:val="21"/>
                <w:szCs w:val="21"/>
                <w:highlight w:val="none"/>
                <w:lang w:eastAsia="zh-CN"/>
              </w:rPr>
              <w:t>压路机</w:t>
            </w:r>
            <w:bookmarkEnd w:id="3455"/>
            <w:bookmarkEnd w:id="3456"/>
            <w:bookmarkEnd w:id="3457"/>
          </w:p>
        </w:tc>
        <w:tc>
          <w:tcPr>
            <w:tcW w:w="3245" w:type="dxa"/>
            <w:tcBorders>
              <w:tl2br w:val="nil"/>
              <w:tr2bl w:val="nil"/>
            </w:tcBorders>
            <w:vAlign w:val="center"/>
          </w:tcPr>
          <w:p w14:paraId="6E26AACF">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3458" w:name="_Toc4043"/>
            <w:bookmarkStart w:id="3459" w:name="_Toc25698"/>
            <w:bookmarkStart w:id="3460" w:name="_Toc16087"/>
            <w:r>
              <w:rPr>
                <w:rFonts w:hint="default" w:ascii="Times New Roman" w:hAnsi="Times New Roman" w:cs="Times New Roman"/>
                <w:color w:val="auto"/>
                <w:sz w:val="21"/>
                <w:szCs w:val="21"/>
                <w:highlight w:val="none"/>
                <w:lang w:val="en-US" w:eastAsia="zh-CN"/>
              </w:rPr>
              <w:t>85</w:t>
            </w:r>
            <w:bookmarkEnd w:id="3458"/>
            <w:bookmarkEnd w:id="3459"/>
            <w:bookmarkEnd w:id="3460"/>
          </w:p>
        </w:tc>
      </w:tr>
      <w:bookmarkEnd w:id="3453"/>
      <w:bookmarkEnd w:id="3454"/>
      <w:tr w14:paraId="4445A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7FCC89BD">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461" w:name="_Toc26014"/>
            <w:bookmarkStart w:id="3462" w:name="_Toc27780"/>
            <w:bookmarkStart w:id="3463" w:name="_Toc9720"/>
            <w:r>
              <w:rPr>
                <w:rFonts w:hint="default" w:ascii="Times New Roman" w:hAnsi="Times New Roman" w:cs="Times New Roman"/>
                <w:color w:val="auto"/>
                <w:sz w:val="21"/>
                <w:szCs w:val="21"/>
                <w:highlight w:val="none"/>
                <w:lang w:val="en-US" w:eastAsia="zh-CN"/>
              </w:rPr>
              <w:t>3</w:t>
            </w:r>
            <w:bookmarkEnd w:id="3461"/>
            <w:bookmarkEnd w:id="3462"/>
            <w:bookmarkEnd w:id="3463"/>
          </w:p>
        </w:tc>
        <w:tc>
          <w:tcPr>
            <w:tcW w:w="4177" w:type="dxa"/>
            <w:tcBorders>
              <w:tl2br w:val="nil"/>
              <w:tr2bl w:val="nil"/>
            </w:tcBorders>
            <w:vAlign w:val="center"/>
          </w:tcPr>
          <w:p w14:paraId="124D36FE">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464" w:name="_Toc416"/>
            <w:bookmarkStart w:id="3465" w:name="_Toc10704"/>
            <w:bookmarkStart w:id="3466" w:name="_Toc7441"/>
            <w:bookmarkStart w:id="3467" w:name="_Toc4107"/>
            <w:bookmarkStart w:id="3468" w:name="_Toc24359"/>
            <w:r>
              <w:rPr>
                <w:rFonts w:hint="default" w:ascii="Times New Roman" w:hAnsi="Times New Roman" w:cs="Times New Roman"/>
                <w:color w:val="auto"/>
                <w:sz w:val="21"/>
                <w:szCs w:val="21"/>
                <w:highlight w:val="none"/>
              </w:rPr>
              <w:t>装载机</w:t>
            </w:r>
            <w:bookmarkEnd w:id="3464"/>
            <w:bookmarkEnd w:id="3465"/>
            <w:bookmarkEnd w:id="3466"/>
            <w:bookmarkEnd w:id="3467"/>
            <w:bookmarkEnd w:id="3468"/>
          </w:p>
        </w:tc>
        <w:tc>
          <w:tcPr>
            <w:tcW w:w="3245" w:type="dxa"/>
            <w:tcBorders>
              <w:tl2br w:val="nil"/>
              <w:tr2bl w:val="nil"/>
            </w:tcBorders>
            <w:vAlign w:val="center"/>
          </w:tcPr>
          <w:p w14:paraId="2698D2C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469" w:name="_Toc17966"/>
            <w:bookmarkStart w:id="3470" w:name="_Toc2473"/>
            <w:bookmarkStart w:id="3471" w:name="_Toc5284"/>
            <w:r>
              <w:rPr>
                <w:rFonts w:hint="default" w:ascii="Times New Roman" w:hAnsi="Times New Roman" w:cs="Times New Roman"/>
                <w:color w:val="auto"/>
                <w:sz w:val="21"/>
                <w:szCs w:val="21"/>
                <w:highlight w:val="none"/>
                <w:lang w:val="en-US" w:eastAsia="zh-CN"/>
              </w:rPr>
              <w:t>92</w:t>
            </w:r>
            <w:bookmarkEnd w:id="3469"/>
            <w:bookmarkEnd w:id="3470"/>
            <w:bookmarkEnd w:id="3471"/>
          </w:p>
        </w:tc>
      </w:tr>
      <w:tr w14:paraId="406FA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0D723C7B">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472" w:name="_Toc13238"/>
            <w:bookmarkStart w:id="3473" w:name="_Toc31565"/>
            <w:bookmarkStart w:id="3474" w:name="_Toc27596"/>
            <w:r>
              <w:rPr>
                <w:rFonts w:hint="default" w:ascii="Times New Roman" w:hAnsi="Times New Roman" w:cs="Times New Roman"/>
                <w:color w:val="auto"/>
                <w:sz w:val="21"/>
                <w:szCs w:val="21"/>
                <w:highlight w:val="none"/>
                <w:lang w:val="en-US" w:eastAsia="zh-CN"/>
              </w:rPr>
              <w:t>4</w:t>
            </w:r>
            <w:bookmarkEnd w:id="3472"/>
            <w:bookmarkEnd w:id="3473"/>
            <w:bookmarkEnd w:id="3474"/>
          </w:p>
        </w:tc>
        <w:tc>
          <w:tcPr>
            <w:tcW w:w="4177" w:type="dxa"/>
            <w:tcBorders>
              <w:tl2br w:val="nil"/>
              <w:tr2bl w:val="nil"/>
            </w:tcBorders>
            <w:vAlign w:val="center"/>
          </w:tcPr>
          <w:p w14:paraId="4ACC043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475" w:name="_Toc12837"/>
            <w:bookmarkStart w:id="3476" w:name="_Toc27482"/>
            <w:bookmarkStart w:id="3477" w:name="_Toc9463"/>
            <w:bookmarkStart w:id="3478" w:name="_Toc21298"/>
            <w:bookmarkStart w:id="3479" w:name="_Toc20771"/>
            <w:r>
              <w:rPr>
                <w:rFonts w:hint="default" w:ascii="Times New Roman" w:hAnsi="Times New Roman" w:cs="Times New Roman"/>
                <w:color w:val="auto"/>
                <w:sz w:val="21"/>
                <w:szCs w:val="21"/>
                <w:highlight w:val="none"/>
              </w:rPr>
              <w:t>推土机</w:t>
            </w:r>
            <w:bookmarkEnd w:id="3475"/>
            <w:bookmarkEnd w:id="3476"/>
            <w:bookmarkEnd w:id="3477"/>
            <w:bookmarkEnd w:id="3478"/>
            <w:bookmarkEnd w:id="3479"/>
          </w:p>
        </w:tc>
        <w:tc>
          <w:tcPr>
            <w:tcW w:w="3245" w:type="dxa"/>
            <w:tcBorders>
              <w:tl2br w:val="nil"/>
              <w:tr2bl w:val="nil"/>
            </w:tcBorders>
            <w:vAlign w:val="center"/>
          </w:tcPr>
          <w:p w14:paraId="7DADD2E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480" w:name="_Toc13460"/>
            <w:bookmarkStart w:id="3481" w:name="_Toc6339"/>
            <w:bookmarkStart w:id="3482" w:name="_Toc31929"/>
            <w:r>
              <w:rPr>
                <w:rFonts w:hint="default" w:ascii="Times New Roman" w:hAnsi="Times New Roman" w:cs="Times New Roman"/>
                <w:color w:val="auto"/>
                <w:sz w:val="21"/>
                <w:szCs w:val="21"/>
                <w:highlight w:val="none"/>
                <w:lang w:val="en-US" w:eastAsia="zh-CN"/>
              </w:rPr>
              <w:t>85</w:t>
            </w:r>
            <w:bookmarkEnd w:id="3480"/>
            <w:bookmarkEnd w:id="3481"/>
            <w:bookmarkEnd w:id="3482"/>
          </w:p>
        </w:tc>
      </w:tr>
      <w:tr w14:paraId="5374E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07C3AE21">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483" w:name="_Toc11233"/>
            <w:bookmarkStart w:id="3484" w:name="_Toc21170"/>
            <w:bookmarkStart w:id="3485" w:name="_Toc32286"/>
            <w:r>
              <w:rPr>
                <w:rFonts w:hint="default" w:ascii="Times New Roman" w:hAnsi="Times New Roman" w:cs="Times New Roman"/>
                <w:color w:val="auto"/>
                <w:sz w:val="21"/>
                <w:szCs w:val="21"/>
                <w:highlight w:val="none"/>
                <w:lang w:val="en-US" w:eastAsia="zh-CN"/>
              </w:rPr>
              <w:t>5</w:t>
            </w:r>
            <w:bookmarkEnd w:id="3483"/>
            <w:bookmarkEnd w:id="3484"/>
            <w:bookmarkEnd w:id="3485"/>
          </w:p>
        </w:tc>
        <w:tc>
          <w:tcPr>
            <w:tcW w:w="4177" w:type="dxa"/>
            <w:tcBorders>
              <w:tl2br w:val="nil"/>
              <w:tr2bl w:val="nil"/>
            </w:tcBorders>
            <w:vAlign w:val="center"/>
          </w:tcPr>
          <w:p w14:paraId="0A09E8A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3486" w:name="_Toc12978"/>
            <w:bookmarkStart w:id="3487" w:name="_Toc25619"/>
            <w:bookmarkStart w:id="3488" w:name="_Toc29580"/>
            <w:bookmarkStart w:id="3489" w:name="_Toc22161"/>
            <w:bookmarkStart w:id="3490" w:name="_Toc17399"/>
            <w:r>
              <w:rPr>
                <w:rFonts w:hint="default" w:ascii="Times New Roman" w:hAnsi="Times New Roman" w:cs="Times New Roman"/>
                <w:color w:val="auto"/>
                <w:sz w:val="21"/>
                <w:szCs w:val="21"/>
                <w:highlight w:val="none"/>
              </w:rPr>
              <w:t>自卸汽车</w:t>
            </w:r>
            <w:bookmarkEnd w:id="3486"/>
            <w:bookmarkEnd w:id="3487"/>
            <w:bookmarkEnd w:id="3488"/>
            <w:bookmarkEnd w:id="3489"/>
            <w:bookmarkEnd w:id="3490"/>
          </w:p>
        </w:tc>
        <w:tc>
          <w:tcPr>
            <w:tcW w:w="3245" w:type="dxa"/>
            <w:tcBorders>
              <w:tl2br w:val="nil"/>
              <w:tr2bl w:val="nil"/>
            </w:tcBorders>
            <w:vAlign w:val="center"/>
          </w:tcPr>
          <w:p w14:paraId="4BE5A95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491" w:name="_Toc8779"/>
            <w:bookmarkStart w:id="3492" w:name="_Toc29911"/>
            <w:bookmarkStart w:id="3493" w:name="_Toc12575"/>
            <w:bookmarkStart w:id="3494" w:name="_Toc20750"/>
            <w:bookmarkStart w:id="3495" w:name="_Toc4424"/>
            <w:r>
              <w:rPr>
                <w:rFonts w:hint="default" w:ascii="Times New Roman" w:hAnsi="Times New Roman" w:cs="Times New Roman"/>
                <w:color w:val="auto"/>
                <w:sz w:val="21"/>
                <w:szCs w:val="21"/>
                <w:highlight w:val="none"/>
                <w:lang w:val="en-US" w:eastAsia="zh-CN"/>
              </w:rPr>
              <w:t>82</w:t>
            </w:r>
            <w:bookmarkEnd w:id="3491"/>
            <w:bookmarkEnd w:id="3492"/>
            <w:bookmarkEnd w:id="3493"/>
            <w:bookmarkEnd w:id="3494"/>
            <w:bookmarkEnd w:id="3495"/>
          </w:p>
        </w:tc>
      </w:tr>
      <w:tr w14:paraId="73DA1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0AE0EA8D">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496" w:name="_Toc29356"/>
            <w:bookmarkStart w:id="3497" w:name="_Toc3543"/>
            <w:bookmarkStart w:id="3498" w:name="_Toc4052"/>
            <w:r>
              <w:rPr>
                <w:rFonts w:hint="default" w:ascii="Times New Roman" w:hAnsi="Times New Roman" w:cs="Times New Roman"/>
                <w:color w:val="auto"/>
                <w:sz w:val="21"/>
                <w:szCs w:val="21"/>
                <w:highlight w:val="none"/>
                <w:lang w:val="en-US" w:eastAsia="zh-CN"/>
              </w:rPr>
              <w:t>6</w:t>
            </w:r>
            <w:bookmarkEnd w:id="3496"/>
            <w:bookmarkEnd w:id="3497"/>
            <w:bookmarkEnd w:id="3498"/>
          </w:p>
        </w:tc>
        <w:tc>
          <w:tcPr>
            <w:tcW w:w="4177" w:type="dxa"/>
            <w:tcBorders>
              <w:tl2br w:val="nil"/>
              <w:tr2bl w:val="nil"/>
            </w:tcBorders>
            <w:vAlign w:val="center"/>
          </w:tcPr>
          <w:p w14:paraId="5F5C33E6">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eastAsia="zh-CN"/>
              </w:rPr>
            </w:pPr>
            <w:bookmarkStart w:id="3499" w:name="_Toc13632"/>
            <w:bookmarkStart w:id="3500" w:name="_Toc21935"/>
            <w:bookmarkStart w:id="3501" w:name="_Toc27554"/>
            <w:bookmarkStart w:id="3502" w:name="_Toc22328"/>
            <w:bookmarkStart w:id="3503" w:name="_Toc23441"/>
            <w:r>
              <w:rPr>
                <w:rFonts w:hint="default" w:ascii="Times New Roman" w:hAnsi="Times New Roman" w:cs="Times New Roman"/>
                <w:color w:val="auto"/>
                <w:sz w:val="21"/>
                <w:szCs w:val="21"/>
                <w:highlight w:val="none"/>
              </w:rPr>
              <w:t>载重汽车</w:t>
            </w:r>
            <w:bookmarkEnd w:id="3499"/>
            <w:bookmarkEnd w:id="3500"/>
            <w:bookmarkEnd w:id="3501"/>
            <w:bookmarkEnd w:id="3502"/>
            <w:bookmarkEnd w:id="3503"/>
          </w:p>
        </w:tc>
        <w:tc>
          <w:tcPr>
            <w:tcW w:w="3245" w:type="dxa"/>
            <w:tcBorders>
              <w:tl2br w:val="nil"/>
              <w:tr2bl w:val="nil"/>
            </w:tcBorders>
            <w:vAlign w:val="center"/>
          </w:tcPr>
          <w:p w14:paraId="2BB6F5B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504" w:name="_Toc10604"/>
            <w:bookmarkStart w:id="3505" w:name="_Toc3673"/>
            <w:bookmarkStart w:id="3506" w:name="_Toc15652"/>
            <w:bookmarkStart w:id="3507" w:name="_Toc20203"/>
            <w:bookmarkStart w:id="3508" w:name="_Toc16553"/>
            <w:r>
              <w:rPr>
                <w:rFonts w:hint="default" w:ascii="Times New Roman" w:hAnsi="Times New Roman" w:cs="Times New Roman"/>
                <w:color w:val="auto"/>
                <w:sz w:val="21"/>
                <w:szCs w:val="21"/>
                <w:highlight w:val="none"/>
                <w:lang w:val="en-US" w:eastAsia="zh-CN"/>
              </w:rPr>
              <w:t>82</w:t>
            </w:r>
            <w:bookmarkEnd w:id="3504"/>
            <w:bookmarkEnd w:id="3505"/>
            <w:bookmarkEnd w:id="3506"/>
            <w:bookmarkEnd w:id="3507"/>
            <w:bookmarkEnd w:id="3508"/>
          </w:p>
        </w:tc>
      </w:tr>
      <w:tr w14:paraId="30A18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55D5D771">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09" w:name="_Toc12512"/>
            <w:bookmarkStart w:id="3510" w:name="_Toc4549"/>
            <w:bookmarkStart w:id="3511" w:name="_Toc21760"/>
            <w:r>
              <w:rPr>
                <w:rFonts w:hint="default" w:ascii="Times New Roman" w:hAnsi="Times New Roman" w:cs="Times New Roman"/>
                <w:color w:val="auto"/>
                <w:sz w:val="21"/>
                <w:szCs w:val="21"/>
                <w:highlight w:val="none"/>
                <w:lang w:val="en-US" w:eastAsia="zh-CN"/>
              </w:rPr>
              <w:t>7</w:t>
            </w:r>
            <w:bookmarkEnd w:id="3509"/>
            <w:bookmarkEnd w:id="3510"/>
            <w:bookmarkEnd w:id="3511"/>
          </w:p>
        </w:tc>
        <w:tc>
          <w:tcPr>
            <w:tcW w:w="4177" w:type="dxa"/>
            <w:tcBorders>
              <w:tl2br w:val="nil"/>
              <w:tr2bl w:val="nil"/>
            </w:tcBorders>
            <w:vAlign w:val="center"/>
          </w:tcPr>
          <w:p w14:paraId="662CEA6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eastAsia="zh-CN"/>
              </w:rPr>
            </w:pPr>
            <w:bookmarkStart w:id="3512" w:name="_Toc4292"/>
            <w:bookmarkStart w:id="3513" w:name="_Toc9123"/>
            <w:bookmarkStart w:id="3514" w:name="_Toc14404"/>
            <w:r>
              <w:rPr>
                <w:rFonts w:hint="default" w:ascii="Times New Roman" w:hAnsi="Times New Roman" w:cs="Times New Roman"/>
                <w:color w:val="auto"/>
                <w:sz w:val="21"/>
                <w:szCs w:val="21"/>
                <w:highlight w:val="none"/>
                <w:lang w:val="zh-CN"/>
              </w:rPr>
              <w:t>搅拌车</w:t>
            </w:r>
            <w:bookmarkEnd w:id="3512"/>
            <w:bookmarkEnd w:id="3513"/>
            <w:bookmarkEnd w:id="3514"/>
          </w:p>
        </w:tc>
        <w:tc>
          <w:tcPr>
            <w:tcW w:w="3245" w:type="dxa"/>
            <w:tcBorders>
              <w:tl2br w:val="nil"/>
              <w:tr2bl w:val="nil"/>
            </w:tcBorders>
            <w:vAlign w:val="center"/>
          </w:tcPr>
          <w:p w14:paraId="457223B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515" w:name="_Toc23493"/>
            <w:bookmarkStart w:id="3516" w:name="_Toc9316"/>
            <w:bookmarkStart w:id="3517" w:name="_Toc7266"/>
            <w:r>
              <w:rPr>
                <w:rFonts w:hint="default" w:ascii="Times New Roman" w:hAnsi="Times New Roman" w:cs="Times New Roman"/>
                <w:color w:val="auto"/>
                <w:sz w:val="21"/>
                <w:szCs w:val="21"/>
                <w:highlight w:val="none"/>
                <w:lang w:val="en-US" w:eastAsia="zh-CN"/>
              </w:rPr>
              <w:t>85</w:t>
            </w:r>
            <w:bookmarkEnd w:id="3515"/>
            <w:bookmarkEnd w:id="3516"/>
            <w:bookmarkEnd w:id="3517"/>
          </w:p>
        </w:tc>
      </w:tr>
      <w:tr w14:paraId="487C3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682E8E2D">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18" w:name="_Toc29328"/>
            <w:bookmarkStart w:id="3519" w:name="_Toc6118"/>
            <w:bookmarkStart w:id="3520" w:name="_Toc13104"/>
            <w:r>
              <w:rPr>
                <w:rFonts w:hint="default" w:ascii="Times New Roman" w:hAnsi="Times New Roman" w:cs="Times New Roman"/>
                <w:color w:val="auto"/>
                <w:sz w:val="21"/>
                <w:szCs w:val="21"/>
                <w:highlight w:val="none"/>
                <w:lang w:val="en-US" w:eastAsia="zh-CN"/>
              </w:rPr>
              <w:t>8</w:t>
            </w:r>
            <w:bookmarkEnd w:id="3518"/>
            <w:bookmarkEnd w:id="3519"/>
            <w:bookmarkEnd w:id="3520"/>
          </w:p>
        </w:tc>
        <w:tc>
          <w:tcPr>
            <w:tcW w:w="4177" w:type="dxa"/>
            <w:tcBorders>
              <w:tl2br w:val="nil"/>
              <w:tr2bl w:val="nil"/>
            </w:tcBorders>
            <w:shd w:val="clear" w:color="auto" w:fill="auto"/>
            <w:vAlign w:val="center"/>
          </w:tcPr>
          <w:p w14:paraId="6D5FDD21">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21" w:name="_Toc29541"/>
            <w:bookmarkStart w:id="3522" w:name="_Toc10668"/>
            <w:bookmarkStart w:id="3523" w:name="_Toc17431"/>
            <w:r>
              <w:rPr>
                <w:rFonts w:hint="default" w:ascii="Times New Roman" w:hAnsi="Times New Roman" w:cs="Times New Roman"/>
                <w:color w:val="auto"/>
                <w:sz w:val="21"/>
                <w:szCs w:val="21"/>
                <w:highlight w:val="none"/>
              </w:rPr>
              <w:t>振捣器</w:t>
            </w:r>
            <w:bookmarkEnd w:id="3521"/>
            <w:bookmarkEnd w:id="3522"/>
            <w:bookmarkEnd w:id="3523"/>
          </w:p>
        </w:tc>
        <w:tc>
          <w:tcPr>
            <w:tcW w:w="3245" w:type="dxa"/>
            <w:tcBorders>
              <w:tl2br w:val="nil"/>
              <w:tr2bl w:val="nil"/>
            </w:tcBorders>
            <w:shd w:val="clear" w:color="auto" w:fill="auto"/>
            <w:vAlign w:val="center"/>
          </w:tcPr>
          <w:p w14:paraId="093AEE6B">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24" w:name="_Toc9247"/>
            <w:bookmarkStart w:id="3525" w:name="_Toc17516"/>
            <w:bookmarkStart w:id="3526" w:name="_Toc21968"/>
            <w:r>
              <w:rPr>
                <w:rFonts w:hint="default" w:ascii="Times New Roman" w:hAnsi="Times New Roman" w:cs="Times New Roman"/>
                <w:color w:val="auto"/>
                <w:sz w:val="21"/>
                <w:szCs w:val="21"/>
                <w:highlight w:val="none"/>
                <w:lang w:val="en-US" w:eastAsia="zh-CN"/>
              </w:rPr>
              <w:t>85</w:t>
            </w:r>
            <w:bookmarkEnd w:id="3524"/>
            <w:bookmarkEnd w:id="3525"/>
            <w:bookmarkEnd w:id="3526"/>
          </w:p>
        </w:tc>
      </w:tr>
      <w:tr w14:paraId="2BFC9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00" w:type="dxa"/>
            <w:tcBorders>
              <w:tl2br w:val="nil"/>
              <w:tr2bl w:val="nil"/>
            </w:tcBorders>
            <w:shd w:val="clear" w:color="auto" w:fill="auto"/>
            <w:vAlign w:val="center"/>
          </w:tcPr>
          <w:p w14:paraId="4E167081">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27" w:name="_Toc5903"/>
            <w:bookmarkStart w:id="3528" w:name="_Toc1220"/>
            <w:bookmarkStart w:id="3529" w:name="_Toc7791"/>
            <w:r>
              <w:rPr>
                <w:rFonts w:hint="default" w:ascii="Times New Roman" w:hAnsi="Times New Roman" w:cs="Times New Roman"/>
                <w:color w:val="auto"/>
                <w:sz w:val="21"/>
                <w:szCs w:val="21"/>
                <w:highlight w:val="none"/>
                <w:lang w:val="en-US" w:eastAsia="zh-CN"/>
              </w:rPr>
              <w:t>9</w:t>
            </w:r>
            <w:bookmarkEnd w:id="3527"/>
            <w:bookmarkEnd w:id="3528"/>
            <w:bookmarkEnd w:id="3529"/>
          </w:p>
        </w:tc>
        <w:tc>
          <w:tcPr>
            <w:tcW w:w="4177" w:type="dxa"/>
            <w:tcBorders>
              <w:tl2br w:val="nil"/>
              <w:tr2bl w:val="nil"/>
            </w:tcBorders>
            <w:shd w:val="clear" w:color="auto" w:fill="auto"/>
            <w:vAlign w:val="center"/>
          </w:tcPr>
          <w:p w14:paraId="10527180">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30" w:name="_Toc22817"/>
            <w:bookmarkStart w:id="3531" w:name="_Toc25222"/>
            <w:bookmarkStart w:id="3532" w:name="_Toc6240"/>
            <w:r>
              <w:rPr>
                <w:rFonts w:hint="default" w:ascii="Times New Roman" w:hAnsi="Times New Roman" w:cs="Times New Roman"/>
                <w:color w:val="auto"/>
                <w:sz w:val="21"/>
                <w:szCs w:val="21"/>
                <w:highlight w:val="none"/>
              </w:rPr>
              <w:t>蛙式打夯机</w:t>
            </w:r>
            <w:bookmarkEnd w:id="3530"/>
            <w:bookmarkEnd w:id="3531"/>
            <w:bookmarkEnd w:id="3532"/>
          </w:p>
        </w:tc>
        <w:tc>
          <w:tcPr>
            <w:tcW w:w="3245" w:type="dxa"/>
            <w:tcBorders>
              <w:tl2br w:val="nil"/>
              <w:tr2bl w:val="nil"/>
            </w:tcBorders>
            <w:shd w:val="clear" w:color="auto" w:fill="auto"/>
            <w:vAlign w:val="center"/>
          </w:tcPr>
          <w:p w14:paraId="1609FB4C">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33" w:name="_Toc21204"/>
            <w:bookmarkStart w:id="3534" w:name="_Toc31799"/>
            <w:bookmarkStart w:id="3535" w:name="_Toc29121"/>
            <w:r>
              <w:rPr>
                <w:rFonts w:hint="default" w:ascii="Times New Roman" w:hAnsi="Times New Roman" w:cs="Times New Roman"/>
                <w:color w:val="auto"/>
                <w:sz w:val="21"/>
                <w:szCs w:val="21"/>
                <w:highlight w:val="none"/>
                <w:lang w:val="en-US" w:eastAsia="zh-CN"/>
              </w:rPr>
              <w:t>95</w:t>
            </w:r>
            <w:bookmarkEnd w:id="3533"/>
            <w:bookmarkEnd w:id="3534"/>
            <w:bookmarkEnd w:id="3535"/>
          </w:p>
        </w:tc>
      </w:tr>
      <w:tr w14:paraId="45D11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0" w:type="dxa"/>
            <w:tcBorders>
              <w:tl2br w:val="nil"/>
              <w:tr2bl w:val="nil"/>
            </w:tcBorders>
            <w:shd w:val="clear" w:color="auto" w:fill="auto"/>
            <w:vAlign w:val="center"/>
          </w:tcPr>
          <w:p w14:paraId="660B0E52">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36" w:name="_Toc30749"/>
            <w:bookmarkStart w:id="3537" w:name="_Toc5082"/>
            <w:bookmarkStart w:id="3538" w:name="_Toc10771"/>
            <w:r>
              <w:rPr>
                <w:rFonts w:hint="default" w:ascii="Times New Roman" w:hAnsi="Times New Roman" w:cs="Times New Roman"/>
                <w:color w:val="auto"/>
                <w:sz w:val="21"/>
                <w:szCs w:val="21"/>
                <w:highlight w:val="none"/>
                <w:lang w:val="en-US" w:eastAsia="zh-CN"/>
              </w:rPr>
              <w:t>10</w:t>
            </w:r>
            <w:bookmarkEnd w:id="3536"/>
            <w:bookmarkEnd w:id="3537"/>
            <w:bookmarkEnd w:id="3538"/>
          </w:p>
        </w:tc>
        <w:tc>
          <w:tcPr>
            <w:tcW w:w="4177" w:type="dxa"/>
            <w:tcBorders>
              <w:tl2br w:val="nil"/>
              <w:tr2bl w:val="nil"/>
            </w:tcBorders>
            <w:shd w:val="clear" w:color="auto" w:fill="auto"/>
            <w:vAlign w:val="center"/>
          </w:tcPr>
          <w:p w14:paraId="39442D6F">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39" w:name="_Toc4125"/>
            <w:bookmarkStart w:id="3540" w:name="_Toc10666"/>
            <w:bookmarkStart w:id="3541" w:name="_Toc7476"/>
            <w:r>
              <w:rPr>
                <w:rFonts w:hint="default" w:ascii="Times New Roman" w:hAnsi="Times New Roman" w:cs="Times New Roman"/>
                <w:color w:val="auto"/>
                <w:sz w:val="21"/>
                <w:szCs w:val="21"/>
                <w:highlight w:val="none"/>
              </w:rPr>
              <w:t>起重机</w:t>
            </w:r>
            <w:bookmarkEnd w:id="3539"/>
            <w:bookmarkEnd w:id="3540"/>
            <w:bookmarkEnd w:id="3541"/>
          </w:p>
        </w:tc>
        <w:tc>
          <w:tcPr>
            <w:tcW w:w="3245" w:type="dxa"/>
            <w:tcBorders>
              <w:tl2br w:val="nil"/>
              <w:tr2bl w:val="nil"/>
            </w:tcBorders>
            <w:shd w:val="clear" w:color="auto" w:fill="auto"/>
            <w:vAlign w:val="center"/>
          </w:tcPr>
          <w:p w14:paraId="2EF106C9">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b w:val="0"/>
                <w:color w:val="auto"/>
                <w:kern w:val="0"/>
                <w:sz w:val="21"/>
                <w:szCs w:val="21"/>
                <w:highlight w:val="none"/>
                <w:lang w:val="en-US" w:eastAsia="zh-CN" w:bidi="ar-SA"/>
              </w:rPr>
            </w:pPr>
            <w:bookmarkStart w:id="3542" w:name="_Toc29479"/>
            <w:bookmarkStart w:id="3543" w:name="_Toc6190"/>
            <w:bookmarkStart w:id="3544" w:name="_Toc15839"/>
            <w:r>
              <w:rPr>
                <w:rFonts w:hint="default" w:ascii="Times New Roman" w:hAnsi="Times New Roman" w:cs="Times New Roman"/>
                <w:color w:val="auto"/>
                <w:sz w:val="21"/>
                <w:szCs w:val="21"/>
                <w:highlight w:val="none"/>
                <w:lang w:val="en-US" w:eastAsia="zh-CN"/>
              </w:rPr>
              <w:t>90</w:t>
            </w:r>
            <w:bookmarkEnd w:id="3542"/>
            <w:bookmarkEnd w:id="3543"/>
            <w:bookmarkEnd w:id="3544"/>
          </w:p>
        </w:tc>
      </w:tr>
    </w:tbl>
    <w:p w14:paraId="78E25B62">
      <w:pPr>
        <w:pStyle w:val="7"/>
        <w:bidi w:val="0"/>
        <w:outlineLvl w:val="3"/>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.4固体废物</w:t>
      </w:r>
    </w:p>
    <w:p w14:paraId="3AF8A6B4">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施工期的固体废物主要为施工人员生活垃圾、施工产生的建筑垃圾等工程弃土。</w:t>
      </w:r>
    </w:p>
    <w:p w14:paraId="6CC82CC6">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生活垃圾</w:t>
      </w:r>
    </w:p>
    <w:p w14:paraId="709DB73C">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工程施工高峰期每天作业人员约</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00人，按0.5kg/人•d生活垃圾计，则施工高峰期施工人员生活垃圾产生量为0</w:t>
      </w:r>
      <w:r>
        <w:rPr>
          <w:rFonts w:hint="default" w:ascii="Times New Roman" w:hAnsi="Times New Roman" w:cs="Times New Roman"/>
          <w:color w:val="auto"/>
          <w:sz w:val="24"/>
          <w:szCs w:val="24"/>
          <w:highlight w:val="none"/>
          <w:lang w:val="en-US" w:eastAsia="zh-CN"/>
        </w:rPr>
        <w:t>.05</w:t>
      </w:r>
      <w:r>
        <w:rPr>
          <w:rFonts w:hint="default" w:ascii="Times New Roman" w:hAnsi="Times New Roman" w:cs="Times New Roman"/>
          <w:color w:val="auto"/>
          <w:sz w:val="24"/>
          <w:szCs w:val="24"/>
          <w:highlight w:val="none"/>
        </w:rPr>
        <w:t>t/d，</w:t>
      </w:r>
      <w:r>
        <w:rPr>
          <w:rFonts w:hint="default" w:ascii="Times New Roman" w:hAnsi="Times New Roman" w:cs="Times New Roman"/>
          <w:color w:val="auto"/>
          <w:sz w:val="24"/>
          <w:szCs w:val="24"/>
          <w:highlight w:val="none"/>
          <w:lang w:eastAsia="zh-CN"/>
        </w:rPr>
        <w:t>生活垃圾依托租用民房垃圾桶集中收集后</w:t>
      </w:r>
      <w:r>
        <w:rPr>
          <w:rFonts w:hint="default" w:ascii="Times New Roman" w:hAnsi="Times New Roman" w:cs="Times New Roman"/>
          <w:color w:val="auto"/>
          <w:sz w:val="24"/>
          <w:szCs w:val="24"/>
          <w:highlight w:val="none"/>
        </w:rPr>
        <w:t>，交由乡镇环卫部门统一处理，对项目区环境影响轻微。</w:t>
      </w:r>
    </w:p>
    <w:p w14:paraId="4D7273AC">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建筑垃圾</w:t>
      </w:r>
    </w:p>
    <w:p w14:paraId="72ADA8FE">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w:t>
      </w:r>
      <w:r>
        <w:rPr>
          <w:rFonts w:hint="default" w:ascii="Times New Roman" w:hAnsi="Times New Roman" w:eastAsia="宋体" w:cs="Times New Roman"/>
          <w:color w:val="auto"/>
          <w:sz w:val="24"/>
          <w:szCs w:val="24"/>
          <w:highlight w:val="none"/>
        </w:rPr>
        <w:t>目施工会产生极少量施工废物，这些建筑垃圾统一收集，</w:t>
      </w:r>
      <w:r>
        <w:rPr>
          <w:rFonts w:hint="default" w:ascii="Times New Roman" w:hAnsi="Times New Roman" w:cs="Times New Roman"/>
          <w:color w:val="auto"/>
          <w:sz w:val="24"/>
          <w:szCs w:val="24"/>
          <w:highlight w:val="none"/>
        </w:rPr>
        <w:t>送当地政府指定的建筑垃圾处置场进行处理。</w:t>
      </w:r>
    </w:p>
    <w:p w14:paraId="39CDDBA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弃土</w:t>
      </w:r>
    </w:p>
    <w:p w14:paraId="171AC123">
      <w:pPr>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本工程总</w:t>
      </w:r>
      <w:r>
        <w:rPr>
          <w:rFonts w:hint="default" w:ascii="Times New Roman" w:hAnsi="Times New Roman" w:cs="Times New Roman"/>
          <w:color w:val="auto"/>
          <w:sz w:val="24"/>
          <w:highlight w:val="none"/>
        </w:rPr>
        <w:t>土方开挖</w:t>
      </w:r>
      <w:r>
        <w:rPr>
          <w:rFonts w:hint="eastAsia" w:cs="Times New Roman"/>
          <w:color w:val="auto"/>
          <w:sz w:val="24"/>
          <w:highlight w:val="none"/>
          <w:lang w:val="en-US" w:eastAsia="zh-CN"/>
        </w:rPr>
        <w:t>152.92</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总</w:t>
      </w:r>
      <w:r>
        <w:rPr>
          <w:rFonts w:hint="default" w:ascii="Times New Roman" w:hAnsi="Times New Roman" w:cs="Times New Roman"/>
          <w:color w:val="auto"/>
          <w:sz w:val="24"/>
          <w:highlight w:val="none"/>
        </w:rPr>
        <w:t>土方回填</w:t>
      </w:r>
      <w:r>
        <w:rPr>
          <w:rFonts w:hint="eastAsia" w:cs="Times New Roman"/>
          <w:color w:val="auto"/>
          <w:sz w:val="24"/>
          <w:highlight w:val="none"/>
          <w:lang w:val="en-US" w:eastAsia="zh-CN"/>
        </w:rPr>
        <w:t>16.93</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。其中</w:t>
      </w:r>
      <w:r>
        <w:rPr>
          <w:rFonts w:hint="eastAsia" w:cs="Times New Roman"/>
          <w:color w:val="auto"/>
          <w:sz w:val="24"/>
          <w:highlight w:val="none"/>
          <w:lang w:eastAsia="zh-CN"/>
        </w:rPr>
        <w:t>一期工程土方开挖</w:t>
      </w:r>
      <w:r>
        <w:rPr>
          <w:rFonts w:hint="eastAsia" w:cs="Times New Roman"/>
          <w:color w:val="auto"/>
          <w:sz w:val="24"/>
          <w:highlight w:val="none"/>
          <w:lang w:val="en-US" w:eastAsia="zh-CN"/>
        </w:rPr>
        <w:t>16.93万</w:t>
      </w:r>
      <w:r>
        <w:rPr>
          <w:rFonts w:hint="default" w:ascii="Times New Roman" w:hAnsi="Times New Roman" w:cs="Times New Roman"/>
          <w:color w:val="auto"/>
          <w:sz w:val="24"/>
          <w:highlight w:val="none"/>
        </w:rPr>
        <w:t>m³</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土方回填</w:t>
      </w:r>
      <w:r>
        <w:rPr>
          <w:rFonts w:hint="eastAsia" w:cs="Times New Roman"/>
          <w:color w:val="auto"/>
          <w:sz w:val="24"/>
          <w:highlight w:val="none"/>
          <w:lang w:val="en-US" w:eastAsia="zh-CN"/>
        </w:rPr>
        <w:t>16.93</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lang w:eastAsia="zh-CN"/>
        </w:rPr>
        <w:t>（其中</w:t>
      </w:r>
      <w:r>
        <w:rPr>
          <w:rFonts w:hint="eastAsia" w:cs="Times New Roman"/>
          <w:color w:val="auto"/>
          <w:sz w:val="24"/>
          <w:highlight w:val="none"/>
          <w:lang w:val="en-US" w:eastAsia="zh-CN"/>
        </w:rPr>
        <w:t>4.42</w:t>
      </w:r>
      <w:r>
        <w:rPr>
          <w:rFonts w:hint="default" w:ascii="Times New Roman" w:hAnsi="Times New Roman" w:cs="Times New Roman"/>
          <w:color w:val="auto"/>
          <w:sz w:val="24"/>
          <w:highlight w:val="none"/>
        </w:rPr>
        <w:t>万m³</w:t>
      </w:r>
      <w:r>
        <w:rPr>
          <w:rFonts w:hint="eastAsia" w:cs="Times New Roman"/>
          <w:color w:val="auto"/>
          <w:sz w:val="24"/>
          <w:highlight w:val="none"/>
          <w:lang w:eastAsia="zh-CN"/>
        </w:rPr>
        <w:t>为河道疏浚及道路开挖多余），挖填平衡；二期工程清淤及临时道路开挖土方共计</w:t>
      </w:r>
      <w:r>
        <w:rPr>
          <w:rFonts w:hint="eastAsia" w:cs="Times New Roman"/>
          <w:color w:val="auto"/>
          <w:sz w:val="24"/>
          <w:highlight w:val="none"/>
          <w:lang w:val="en-US" w:eastAsia="zh-CN"/>
        </w:rPr>
        <w:t>136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，运至项目</w:t>
      </w:r>
      <w:r>
        <w:rPr>
          <w:rFonts w:hint="eastAsia" w:cs="Times New Roman"/>
          <w:color w:val="auto"/>
          <w:sz w:val="24"/>
          <w:highlight w:val="none"/>
          <w:vertAlign w:val="baseline"/>
          <w:lang w:val="en-US" w:eastAsia="zh-CN"/>
        </w:rPr>
        <w:t>7处堆场依次堆存。</w:t>
      </w:r>
      <w:r>
        <w:rPr>
          <w:rFonts w:hint="default" w:ascii="Times New Roman" w:hAnsi="Times New Roman" w:cs="Times New Roman"/>
          <w:color w:val="auto"/>
          <w:sz w:val="24"/>
          <w:highlight w:val="none"/>
        </w:rPr>
        <w:t>7座</w:t>
      </w:r>
      <w:r>
        <w:rPr>
          <w:rFonts w:hint="default" w:ascii="Times New Roman" w:hAnsi="Times New Roman" w:cs="Times New Roman"/>
          <w:color w:val="auto"/>
          <w:sz w:val="24"/>
          <w:highlight w:val="none"/>
          <w:lang w:eastAsia="zh-CN"/>
        </w:rPr>
        <w:t>堆场可</w:t>
      </w:r>
      <w:r>
        <w:rPr>
          <w:rFonts w:hint="default" w:ascii="Times New Roman" w:hAnsi="Times New Roman" w:cs="Times New Roman"/>
          <w:color w:val="auto"/>
          <w:sz w:val="24"/>
          <w:highlight w:val="none"/>
        </w:rPr>
        <w:t>消纳容积</w:t>
      </w:r>
      <w:r>
        <w:rPr>
          <w:rFonts w:hint="eastAsia" w:cs="Times New Roman"/>
          <w:color w:val="auto"/>
          <w:sz w:val="24"/>
          <w:highlight w:val="none"/>
          <w:lang w:eastAsia="zh-CN"/>
        </w:rPr>
        <w:t>共计</w:t>
      </w:r>
      <w:r>
        <w:rPr>
          <w:rFonts w:hint="default" w:ascii="Times New Roman" w:hAnsi="Times New Roman" w:cs="Times New Roman"/>
          <w:color w:val="auto"/>
          <w:sz w:val="24"/>
          <w:highlight w:val="none"/>
        </w:rPr>
        <w:t>136万m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lang w:eastAsia="zh-CN"/>
        </w:rPr>
        <w:t>。</w:t>
      </w:r>
    </w:p>
    <w:p w14:paraId="34DFE6E1">
      <w:pPr>
        <w:pStyle w:val="7"/>
        <w:bidi w:val="0"/>
        <w:outlineLvl w:val="3"/>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.5生态影响</w:t>
      </w:r>
      <w:r>
        <w:rPr>
          <w:rFonts w:hint="eastAsia" w:cs="Times New Roman"/>
          <w:color w:val="auto"/>
          <w:sz w:val="28"/>
          <w:szCs w:val="28"/>
          <w:highlight w:val="none"/>
          <w:lang w:val="en-US" w:eastAsia="zh-CN"/>
        </w:rPr>
        <w:t xml:space="preserve"> </w:t>
      </w:r>
    </w:p>
    <w:p w14:paraId="2E7C30B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工程占地</w:t>
      </w:r>
    </w:p>
    <w:p w14:paraId="63F1D715">
      <w:pPr>
        <w:spacing w:line="360" w:lineRule="auto"/>
        <w:ind w:firstLine="480" w:firstLineChars="200"/>
        <w:rPr>
          <w:rFonts w:hint="default" w:ascii="Times New Roman" w:hAnsi="Times New Roman" w:cs="Times New Roman"/>
          <w:bCs/>
          <w:color w:val="auto"/>
          <w:sz w:val="24"/>
          <w:highlight w:val="none"/>
        </w:rPr>
      </w:pPr>
      <w:r>
        <w:rPr>
          <w:rFonts w:hint="eastAsia" w:cs="Times New Roman"/>
          <w:bCs/>
          <w:color w:val="auto"/>
          <w:sz w:val="24"/>
          <w:highlight w:val="none"/>
          <w:lang w:eastAsia="zh-CN"/>
        </w:rPr>
        <w:t>本工程</w:t>
      </w:r>
      <w:r>
        <w:rPr>
          <w:rFonts w:hint="default" w:ascii="Times New Roman" w:hAnsi="Times New Roman" w:cs="Times New Roman"/>
          <w:bCs/>
          <w:color w:val="auto"/>
          <w:sz w:val="24"/>
          <w:highlight w:val="none"/>
        </w:rPr>
        <w:t>新增永久占地6.95亩</w:t>
      </w:r>
      <w:r>
        <w:rPr>
          <w:rFonts w:hint="default" w:ascii="Times New Roman" w:hAnsi="Times New Roman" w:cs="Times New Roman"/>
          <w:color w:val="auto"/>
          <w:spacing w:val="-11"/>
          <w:sz w:val="24"/>
          <w:highlight w:val="none"/>
        </w:rPr>
        <w:t>，</w:t>
      </w:r>
      <w:r>
        <w:rPr>
          <w:rFonts w:hint="default" w:ascii="Times New Roman" w:hAnsi="Times New Roman" w:cs="Times New Roman"/>
          <w:color w:val="auto"/>
          <w:sz w:val="24"/>
          <w:highlight w:val="none"/>
        </w:rPr>
        <w:t>主要包括</w:t>
      </w:r>
      <w:r>
        <w:rPr>
          <w:rFonts w:hint="default" w:ascii="Times New Roman" w:hAnsi="Times New Roman" w:eastAsia="宋体" w:cs="Times New Roman"/>
          <w:color w:val="auto"/>
          <w:highlight w:val="none"/>
        </w:rPr>
        <w:t>拦泥坝、</w:t>
      </w:r>
      <w:r>
        <w:rPr>
          <w:rFonts w:hint="default" w:ascii="Times New Roman" w:hAnsi="Times New Roman" w:eastAsia="宋体" w:cs="Times New Roman"/>
          <w:color w:val="auto"/>
          <w:highlight w:val="none"/>
          <w:lang w:eastAsia="zh-CN"/>
        </w:rPr>
        <w:t>巡检</w:t>
      </w:r>
      <w:r>
        <w:rPr>
          <w:rFonts w:hint="default" w:ascii="Times New Roman" w:hAnsi="Times New Roman" w:eastAsia="宋体" w:cs="Times New Roman"/>
          <w:color w:val="auto"/>
          <w:highlight w:val="none"/>
        </w:rPr>
        <w:t>道路等</w:t>
      </w:r>
      <w:r>
        <w:rPr>
          <w:rFonts w:hint="default" w:ascii="Times New Roman" w:hAnsi="Times New Roman" w:cs="Times New Roman"/>
          <w:bCs/>
          <w:color w:val="auto"/>
          <w:sz w:val="24"/>
          <w:highlight w:val="none"/>
        </w:rPr>
        <w:t>，</w:t>
      </w:r>
      <w:r>
        <w:rPr>
          <w:rFonts w:hint="eastAsia" w:cs="Times New Roman"/>
          <w:color w:val="auto"/>
          <w:sz w:val="24"/>
          <w:szCs w:val="28"/>
          <w:highlight w:val="none"/>
          <w:lang w:val="en-US" w:eastAsia="zh-CN"/>
        </w:rPr>
        <w:t>本工程</w:t>
      </w:r>
      <w:r>
        <w:rPr>
          <w:rFonts w:hint="default" w:ascii="Times New Roman" w:hAnsi="Times New Roman" w:cs="Times New Roman"/>
          <w:color w:val="auto"/>
          <w:sz w:val="24"/>
          <w:highlight w:val="none"/>
          <w:lang w:val="en-US" w:eastAsia="zh-CN"/>
        </w:rPr>
        <w:t>不涉及河流水面永久占用</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工程</w:t>
      </w:r>
      <w:r>
        <w:rPr>
          <w:rFonts w:hint="default" w:ascii="Times New Roman" w:hAnsi="Times New Roman" w:cs="Times New Roman"/>
          <w:color w:val="auto"/>
          <w:sz w:val="24"/>
          <w:highlight w:val="none"/>
        </w:rPr>
        <w:t>砌护位于</w:t>
      </w:r>
      <w:r>
        <w:rPr>
          <w:rFonts w:hint="default" w:ascii="Times New Roman" w:hAnsi="Times New Roman" w:cs="Times New Roman"/>
          <w:color w:val="auto"/>
          <w:sz w:val="24"/>
          <w:highlight w:val="none"/>
          <w:lang w:val="en-US" w:eastAsia="zh-CN"/>
        </w:rPr>
        <w:t>河道岸坡</w:t>
      </w:r>
      <w:r>
        <w:rPr>
          <w:rFonts w:hint="default" w:ascii="Times New Roman" w:hAnsi="Times New Roman" w:cs="Times New Roman"/>
          <w:color w:val="auto"/>
          <w:sz w:val="24"/>
          <w:highlight w:val="none"/>
        </w:rPr>
        <w:t>，不</w:t>
      </w:r>
      <w:r>
        <w:rPr>
          <w:rFonts w:hint="default" w:ascii="Times New Roman" w:hAnsi="Times New Roman" w:cs="Times New Roman"/>
          <w:color w:val="auto"/>
          <w:sz w:val="24"/>
          <w:highlight w:val="none"/>
          <w:lang w:val="en-US" w:eastAsia="zh-CN"/>
        </w:rPr>
        <w:t>涉及</w:t>
      </w:r>
      <w:r>
        <w:rPr>
          <w:rFonts w:hint="default" w:ascii="Times New Roman" w:hAnsi="Times New Roman" w:cs="Times New Roman"/>
          <w:color w:val="auto"/>
          <w:sz w:val="24"/>
          <w:highlight w:val="none"/>
        </w:rPr>
        <w:t>公路占地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项目建筑物</w:t>
      </w:r>
      <w:r>
        <w:rPr>
          <w:rFonts w:hint="default" w:ascii="Times New Roman" w:hAnsi="Times New Roman" w:cs="Times New Roman"/>
          <w:bCs/>
          <w:color w:val="auto"/>
          <w:sz w:val="24"/>
          <w:highlight w:val="none"/>
        </w:rPr>
        <w:t>占地类型为</w:t>
      </w:r>
      <w:r>
        <w:rPr>
          <w:rFonts w:hint="default" w:ascii="Times New Roman" w:hAnsi="Times New Roman" w:cs="Times New Roman"/>
          <w:color w:val="auto"/>
          <w:sz w:val="24"/>
          <w:szCs w:val="28"/>
          <w:highlight w:val="none"/>
          <w:lang w:val="en-US" w:eastAsia="zh-CN"/>
        </w:rPr>
        <w:t>林地、草地、旱地（非基本农田）、设施农用地</w:t>
      </w:r>
      <w:r>
        <w:rPr>
          <w:rFonts w:hint="default" w:ascii="Times New Roman" w:hAnsi="Times New Roman" w:cs="Times New Roman"/>
          <w:bCs/>
          <w:color w:val="auto"/>
          <w:sz w:val="24"/>
          <w:highlight w:val="none"/>
        </w:rPr>
        <w:t>。施工期临时占地主要为施工</w:t>
      </w:r>
      <w:r>
        <w:rPr>
          <w:rFonts w:hint="eastAsia" w:cs="Times New Roman"/>
          <w:bCs/>
          <w:color w:val="auto"/>
          <w:sz w:val="24"/>
          <w:highlight w:val="none"/>
          <w:lang w:eastAsia="zh-CN"/>
        </w:rPr>
        <w:t>营地</w:t>
      </w:r>
      <w:r>
        <w:rPr>
          <w:rFonts w:hint="default" w:ascii="Times New Roman" w:hAnsi="Times New Roman" w:cs="Times New Roman"/>
          <w:bCs/>
          <w:color w:val="auto"/>
          <w:sz w:val="24"/>
          <w:highlight w:val="none"/>
          <w:lang w:val="en-US" w:eastAsia="zh-CN"/>
        </w:rPr>
        <w:t>和临时施工道路</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施工场地及堆场等，</w:t>
      </w:r>
      <w:r>
        <w:rPr>
          <w:rFonts w:hint="default" w:ascii="Times New Roman" w:hAnsi="Times New Roman" w:cs="Times New Roman"/>
          <w:bCs/>
          <w:color w:val="auto"/>
          <w:sz w:val="24"/>
          <w:highlight w:val="none"/>
        </w:rPr>
        <w:t>占地面积为</w:t>
      </w:r>
      <w:r>
        <w:rPr>
          <w:rFonts w:hint="default" w:ascii="Times New Roman" w:hAnsi="Times New Roman" w:eastAsia="宋体" w:cs="Times New Roman"/>
          <w:color w:val="auto"/>
          <w:highlight w:val="none"/>
        </w:rPr>
        <w:t>44.74亩</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rPr>
        <w:t>占地类型</w:t>
      </w:r>
      <w:r>
        <w:rPr>
          <w:rFonts w:hint="default" w:ascii="Times New Roman" w:hAnsi="Times New Roman" w:cs="Times New Roman"/>
          <w:color w:val="auto"/>
          <w:sz w:val="24"/>
          <w:highlight w:val="none"/>
          <w:lang w:val="en-US" w:eastAsia="zh-CN"/>
        </w:rPr>
        <w:t>为河道两侧旱地、林地及草地</w:t>
      </w:r>
      <w:r>
        <w:rPr>
          <w:rFonts w:hint="default" w:ascii="Times New Roman" w:hAnsi="Times New Roman" w:cs="Times New Roman"/>
          <w:bCs/>
          <w:color w:val="auto"/>
          <w:sz w:val="24"/>
          <w:highlight w:val="none"/>
        </w:rPr>
        <w:t>。</w:t>
      </w:r>
    </w:p>
    <w:p w14:paraId="208C2CAF">
      <w:pPr>
        <w:spacing w:line="360" w:lineRule="auto"/>
        <w:ind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rPr>
        <w:t>施工前将临时占地进行表土剥离，堆存在场地范围内，设置土装麻袋进行覆盖，保存表土</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施工结束后，</w:t>
      </w:r>
      <w:r>
        <w:rPr>
          <w:rFonts w:hint="default" w:ascii="Times New Roman" w:hAnsi="Times New Roman" w:eastAsia="宋体" w:cs="Times New Roman"/>
          <w:bCs/>
          <w:color w:val="auto"/>
          <w:sz w:val="24"/>
          <w:highlight w:val="none"/>
          <w:lang w:val="en-US" w:eastAsia="zh-CN"/>
        </w:rPr>
        <w:t>恢复临时施工道路，</w:t>
      </w:r>
      <w:r>
        <w:rPr>
          <w:rFonts w:hint="default" w:ascii="Times New Roman" w:hAnsi="Times New Roman" w:eastAsia="宋体" w:cs="Times New Roman"/>
          <w:bCs/>
          <w:color w:val="auto"/>
          <w:sz w:val="24"/>
          <w:highlight w:val="none"/>
        </w:rPr>
        <w:t>拆除</w:t>
      </w:r>
      <w:r>
        <w:rPr>
          <w:rFonts w:hint="default" w:ascii="Times New Roman" w:hAnsi="Times New Roman" w:eastAsia="宋体" w:cs="Times New Roman"/>
          <w:bCs/>
          <w:color w:val="auto"/>
          <w:sz w:val="24"/>
          <w:highlight w:val="none"/>
          <w:lang w:val="en-US" w:eastAsia="zh-CN"/>
        </w:rPr>
        <w:t>3处</w:t>
      </w:r>
      <w:r>
        <w:rPr>
          <w:rFonts w:hint="default" w:ascii="Times New Roman" w:hAnsi="Times New Roman" w:eastAsia="宋体" w:cs="Times New Roman"/>
          <w:bCs/>
          <w:color w:val="auto"/>
          <w:sz w:val="24"/>
          <w:highlight w:val="none"/>
        </w:rPr>
        <w:t>施工营地，</w:t>
      </w:r>
      <w:r>
        <w:rPr>
          <w:rFonts w:hint="default" w:ascii="Times New Roman" w:hAnsi="Times New Roman" w:eastAsia="宋体" w:cs="Times New Roman"/>
          <w:bCs/>
          <w:color w:val="auto"/>
          <w:sz w:val="24"/>
          <w:highlight w:val="none"/>
          <w:lang w:val="en-US" w:eastAsia="zh-CN"/>
        </w:rPr>
        <w:t>对河道内占地进行土地平整，对河岸两侧占地采取</w:t>
      </w:r>
      <w:r>
        <w:rPr>
          <w:rFonts w:hint="default" w:ascii="Times New Roman" w:hAnsi="Times New Roman" w:eastAsia="宋体" w:cs="Times New Roman"/>
          <w:bCs/>
          <w:color w:val="auto"/>
          <w:sz w:val="24"/>
          <w:highlight w:val="none"/>
        </w:rPr>
        <w:t>土地平整</w:t>
      </w:r>
      <w:r>
        <w:rPr>
          <w:rFonts w:hint="default" w:ascii="Times New Roman" w:hAnsi="Times New Roman" w:eastAsia="宋体" w:cs="Times New Roman"/>
          <w:bCs/>
          <w:color w:val="auto"/>
          <w:sz w:val="24"/>
          <w:highlight w:val="none"/>
          <w:lang w:val="en-US" w:eastAsia="zh-CN"/>
        </w:rPr>
        <w:t>及表土回填</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恢复至河道两侧原有地貌并播撒草籽。</w:t>
      </w:r>
    </w:p>
    <w:p w14:paraId="55404BD7">
      <w:pPr>
        <w:jc w:val="both"/>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highlight w:val="none"/>
        </w:rPr>
        <w:t>采取上述措施后，项目区域土地利用类型结构不会产生明显的改变，区域植被覆盖量将恢复至原有水平。工程建设可以减少</w:t>
      </w:r>
      <w:r>
        <w:rPr>
          <w:rFonts w:hint="default" w:ascii="Times New Roman" w:hAnsi="Times New Roman" w:cs="Times New Roman"/>
          <w:bCs/>
          <w:color w:val="auto"/>
          <w:sz w:val="24"/>
          <w:highlight w:val="none"/>
          <w:lang w:val="en-US" w:eastAsia="zh-CN"/>
        </w:rPr>
        <w:t>区域</w:t>
      </w:r>
      <w:r>
        <w:rPr>
          <w:rFonts w:hint="default" w:ascii="Times New Roman" w:hAnsi="Times New Roman" w:cs="Times New Roman"/>
          <w:bCs/>
          <w:color w:val="auto"/>
          <w:sz w:val="24"/>
          <w:highlight w:val="none"/>
        </w:rPr>
        <w:t>水土流失。</w:t>
      </w:r>
      <w:r>
        <w:rPr>
          <w:rFonts w:hint="default" w:ascii="Times New Roman" w:hAnsi="Times New Roman" w:cs="Times New Roman"/>
          <w:color w:val="auto"/>
          <w:sz w:val="24"/>
          <w:szCs w:val="24"/>
          <w:highlight w:val="none"/>
        </w:rPr>
        <w:t>临时施工占地在工程完工后可进行迹地恢复和复耕，在一定程度上可减少施工的不利影响，影响相对较小。</w:t>
      </w:r>
    </w:p>
    <w:p w14:paraId="3FB8A7B3">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Cs/>
          <w:color w:val="auto"/>
          <w:sz w:val="24"/>
          <w:highlight w:val="none"/>
        </w:rPr>
        <w:t>对周边农田的影响分析</w:t>
      </w:r>
    </w:p>
    <w:p w14:paraId="2B20775A">
      <w:pPr>
        <w:spacing w:line="360" w:lineRule="auto"/>
        <w:ind w:firstLine="480" w:firstLineChars="200"/>
        <w:rPr>
          <w:rFonts w:hint="default" w:ascii="Times New Roman" w:hAnsi="Times New Roman" w:cs="Times New Roman"/>
          <w:bCs/>
          <w:color w:val="auto"/>
          <w:sz w:val="24"/>
          <w:highlight w:val="none"/>
        </w:rPr>
      </w:pPr>
      <w:r>
        <w:rPr>
          <w:rFonts w:hint="eastAsia" w:cs="Times New Roman"/>
          <w:bCs/>
          <w:color w:val="auto"/>
          <w:sz w:val="24"/>
          <w:highlight w:val="none"/>
          <w:lang w:eastAsia="zh-CN"/>
        </w:rPr>
        <w:t>本工程</w:t>
      </w:r>
      <w:r>
        <w:rPr>
          <w:rFonts w:hint="default" w:ascii="Times New Roman" w:hAnsi="Times New Roman" w:cs="Times New Roman"/>
          <w:bCs/>
          <w:color w:val="auto"/>
          <w:sz w:val="24"/>
          <w:highlight w:val="none"/>
        </w:rPr>
        <w:t>农田主要分布在</w:t>
      </w:r>
      <w:r>
        <w:rPr>
          <w:rFonts w:hint="default" w:ascii="Times New Roman" w:hAnsi="Times New Roman" w:cs="Times New Roman"/>
          <w:bCs/>
          <w:color w:val="auto"/>
          <w:sz w:val="24"/>
          <w:highlight w:val="none"/>
          <w:lang w:val="en-US" w:eastAsia="zh-CN"/>
        </w:rPr>
        <w:t>沟道两侧</w:t>
      </w:r>
      <w:r>
        <w:rPr>
          <w:rFonts w:hint="default" w:ascii="Times New Roman" w:hAnsi="Times New Roman" w:cs="Times New Roman"/>
          <w:bCs/>
          <w:color w:val="auto"/>
          <w:sz w:val="24"/>
          <w:highlight w:val="none"/>
        </w:rPr>
        <w:t>，施工期</w:t>
      </w:r>
      <w:r>
        <w:rPr>
          <w:rFonts w:hint="default" w:ascii="Times New Roman" w:hAnsi="Times New Roman" w:cs="Times New Roman"/>
          <w:bCs/>
          <w:color w:val="auto"/>
          <w:sz w:val="24"/>
          <w:highlight w:val="none"/>
          <w:lang w:eastAsia="zh-CN"/>
        </w:rPr>
        <w:t>尽量避开</w:t>
      </w:r>
      <w:r>
        <w:rPr>
          <w:rFonts w:hint="default" w:ascii="Times New Roman" w:hAnsi="Times New Roman" w:cs="Times New Roman"/>
          <w:bCs/>
          <w:color w:val="auto"/>
          <w:sz w:val="24"/>
          <w:highlight w:val="none"/>
        </w:rPr>
        <w:t>农作物主要生长季节，施工过程中，运输车辆产生的扬尘会对沿线农田带来直接的影响。</w:t>
      </w:r>
    </w:p>
    <w:p w14:paraId="4EAF097C">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在施工过程中必须加强管理，材料运输过程中必须加盖篷布，并定时对运输路面进行洒水抑尘，使得路面保持一定湿度，最大限度抑制扬尘的产生，有效降低施工期对农田土壤的影响。</w:t>
      </w:r>
      <w:r>
        <w:rPr>
          <w:rFonts w:hint="default" w:ascii="Times New Roman" w:hAnsi="Times New Roman" w:cs="Times New Roman"/>
          <w:color w:val="auto"/>
          <w:sz w:val="24"/>
          <w:highlight w:val="none"/>
        </w:rPr>
        <w:t>严格控制施工作业带宽度，严禁人员及车辆驶入农田，减少对其造成的影响。</w:t>
      </w:r>
    </w:p>
    <w:p w14:paraId="4634A99E">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对植被的影响分析</w:t>
      </w:r>
    </w:p>
    <w:p w14:paraId="5E23AC55">
      <w:pPr>
        <w:adjustRightIn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根据调查，占地破坏植被不涉及国家及地方保护植物，不涉及国家及宁夏明令保护的珍稀物种。临时占地周围天然地表</w:t>
      </w:r>
      <w:r>
        <w:rPr>
          <w:rFonts w:hint="default" w:ascii="Times New Roman" w:hAnsi="Times New Roman" w:cs="Times New Roman"/>
          <w:bCs/>
          <w:color w:val="auto"/>
          <w:sz w:val="24"/>
          <w:highlight w:val="none"/>
          <w:lang w:eastAsia="zh-CN"/>
        </w:rPr>
        <w:t>植被多为当地常见种。</w:t>
      </w:r>
      <w:r>
        <w:rPr>
          <w:rFonts w:hint="default" w:ascii="Times New Roman" w:hAnsi="Times New Roman" w:cs="Times New Roman"/>
          <w:bCs/>
          <w:color w:val="auto"/>
          <w:sz w:val="24"/>
          <w:highlight w:val="none"/>
        </w:rPr>
        <w:t>工程影响</w:t>
      </w:r>
      <w:r>
        <w:rPr>
          <w:rFonts w:hint="default" w:ascii="Times New Roman" w:hAnsi="Times New Roman" w:cs="Times New Roman"/>
          <w:bCs/>
          <w:color w:val="auto"/>
          <w:sz w:val="24"/>
          <w:highlight w:val="none"/>
          <w:lang w:val="en-US" w:eastAsia="zh-CN"/>
        </w:rPr>
        <w:t>主要</w:t>
      </w:r>
      <w:r>
        <w:rPr>
          <w:rFonts w:hint="default" w:ascii="Times New Roman" w:hAnsi="Times New Roman" w:cs="Times New Roman"/>
          <w:bCs/>
          <w:color w:val="auto"/>
          <w:sz w:val="24"/>
          <w:highlight w:val="none"/>
        </w:rPr>
        <w:t>表现在施工及边坡整治过程，工程沿线植物的地上部分与根系均被清除，施工带两侧临时用地的植被由于挖掘土石的堆放、人员的践踏、施工车辆和机具的碾压而造成破坏。另外施工带附近的植物，还会由于施工人员的采摘等活动而受到不同程度的影响。因此，将直接导致工程区范围内生物量的下降。</w:t>
      </w:r>
    </w:p>
    <w:p w14:paraId="4E511A9B">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项目范围内</w:t>
      </w:r>
      <w:r>
        <w:rPr>
          <w:rFonts w:hint="default" w:ascii="Times New Roman" w:hAnsi="Times New Roman" w:eastAsia="宋体" w:cs="Times New Roman"/>
          <w:bCs/>
          <w:color w:val="auto"/>
          <w:sz w:val="24"/>
          <w:highlight w:val="none"/>
        </w:rPr>
        <w:t>以</w:t>
      </w:r>
      <w:r>
        <w:rPr>
          <w:rFonts w:hint="default" w:ascii="Times New Roman" w:hAnsi="Times New Roman" w:cs="Times New Roman"/>
          <w:bCs/>
          <w:color w:val="auto"/>
          <w:sz w:val="24"/>
          <w:highlight w:val="none"/>
          <w:lang w:val="en-US" w:eastAsia="zh-CN"/>
        </w:rPr>
        <w:t>河道湿生植被、人工林及</w:t>
      </w:r>
      <w:r>
        <w:rPr>
          <w:rFonts w:hint="default" w:ascii="Times New Roman" w:hAnsi="Times New Roman" w:eastAsia="宋体" w:cs="Times New Roman"/>
          <w:bCs/>
          <w:color w:val="auto"/>
          <w:sz w:val="24"/>
          <w:highlight w:val="none"/>
          <w:lang w:val="en-US" w:eastAsia="zh-CN"/>
        </w:rPr>
        <w:t>农作物为主。</w:t>
      </w:r>
      <w:r>
        <w:rPr>
          <w:rFonts w:hint="default" w:ascii="Times New Roman" w:hAnsi="Times New Roman" w:eastAsia="宋体" w:cs="Times New Roman"/>
          <w:bCs/>
          <w:color w:val="auto"/>
          <w:sz w:val="24"/>
          <w:highlight w:val="none"/>
        </w:rPr>
        <w:t>项目治理区域不涉及重要保护植物物种及名木古树等，项目生态护岸工程的建设，有助于减少后期对陆生植被的影响。施工结束后，通过对施工临时占地生态恢复和沿线的绿化建设，项目因施工破坏植被而对生态环境造成的不利影响可</w:t>
      </w:r>
      <w:r>
        <w:rPr>
          <w:rFonts w:hint="default" w:ascii="Times New Roman" w:hAnsi="Times New Roman" w:cs="Times New Roman"/>
          <w:bCs/>
          <w:color w:val="auto"/>
          <w:sz w:val="24"/>
          <w:highlight w:val="none"/>
        </w:rPr>
        <w:t>以得到补偿和恢复。</w:t>
      </w:r>
    </w:p>
    <w:p w14:paraId="27CF5D85">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rPr>
        <w:t>对</w:t>
      </w:r>
      <w:r>
        <w:rPr>
          <w:rFonts w:hint="default" w:ascii="Times New Roman" w:hAnsi="Times New Roman" w:cs="Times New Roman"/>
          <w:bCs/>
          <w:color w:val="auto"/>
          <w:sz w:val="24"/>
          <w:highlight w:val="none"/>
          <w:lang w:eastAsia="zh-CN"/>
        </w:rPr>
        <w:t>陆生</w:t>
      </w:r>
      <w:r>
        <w:rPr>
          <w:rFonts w:hint="default" w:ascii="Times New Roman" w:hAnsi="Times New Roman" w:cs="Times New Roman"/>
          <w:bCs/>
          <w:color w:val="auto"/>
          <w:sz w:val="24"/>
          <w:highlight w:val="none"/>
        </w:rPr>
        <w:t>动物的影响分析</w:t>
      </w:r>
    </w:p>
    <w:p w14:paraId="166BB38B">
      <w:pPr>
        <w:autoSpaceDE w:val="0"/>
        <w:autoSpaceDN w:val="0"/>
        <w:adjustRightInd w:val="0"/>
        <w:snapToGrid w:val="0"/>
        <w:spacing w:line="360" w:lineRule="auto"/>
        <w:ind w:firstLine="480" w:firstLineChars="200"/>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val="en-US" w:eastAsia="zh-CN" w:bidi="ar"/>
        </w:rPr>
        <w:t>岸线砌护等</w:t>
      </w:r>
      <w:r>
        <w:rPr>
          <w:rFonts w:hint="default" w:ascii="Times New Roman" w:hAnsi="Times New Roman" w:cs="Times New Roman"/>
          <w:color w:val="auto"/>
          <w:sz w:val="24"/>
          <w:highlight w:val="none"/>
          <w:lang w:bidi="ar"/>
        </w:rPr>
        <w:t>工程的施工将会使所在地区域人类活动增加，同时场地的施工，会增加场区噪声量，对</w:t>
      </w:r>
      <w:r>
        <w:rPr>
          <w:rFonts w:hint="default" w:ascii="Times New Roman" w:hAnsi="Times New Roman" w:cs="Times New Roman"/>
          <w:color w:val="auto"/>
          <w:sz w:val="24"/>
          <w:highlight w:val="none"/>
          <w:lang w:val="en-US" w:eastAsia="zh-CN" w:bidi="ar"/>
        </w:rPr>
        <w:t>沟道</w:t>
      </w:r>
      <w:r>
        <w:rPr>
          <w:rFonts w:hint="default" w:ascii="Times New Roman" w:hAnsi="Times New Roman" w:cs="Times New Roman"/>
          <w:color w:val="auto"/>
          <w:sz w:val="24"/>
          <w:highlight w:val="none"/>
          <w:lang w:bidi="ar"/>
        </w:rPr>
        <w:t>及周边的陆生动物产生一定的惊扰，迫使部分野生动物迁移。</w:t>
      </w:r>
      <w:r>
        <w:rPr>
          <w:rFonts w:hint="eastAsia" w:cs="Times New Roman"/>
          <w:color w:val="auto"/>
          <w:sz w:val="24"/>
          <w:highlight w:val="none"/>
          <w:lang w:eastAsia="zh-CN" w:bidi="ar"/>
        </w:rPr>
        <w:t>本工程</w:t>
      </w:r>
      <w:r>
        <w:rPr>
          <w:rFonts w:hint="default" w:ascii="Times New Roman" w:hAnsi="Times New Roman" w:cs="Times New Roman"/>
          <w:color w:val="auto"/>
          <w:sz w:val="24"/>
          <w:highlight w:val="none"/>
          <w:lang w:bidi="ar"/>
        </w:rPr>
        <w:t>施工区沿岸鸟类动物种类稀少，主要为麻雀、喜鹊等鸟类，无国家级、自治区级珍稀、濒危保护鸟类。施工期间，施工噪声会对这些野生鸟类产生惊吓，施工区域也会侵占一些野生鸟类的栖息地，但由于动物都具有较强的移动能力，它们会迅速转移到较远的地方，工程对野生鸟类影响是暂时的。</w:t>
      </w:r>
    </w:p>
    <w:p w14:paraId="0BC6BB9D">
      <w:pPr>
        <w:pStyle w:val="30"/>
        <w:snapToGrid/>
        <w:spacing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①</w:t>
      </w:r>
      <w:r>
        <w:rPr>
          <w:rFonts w:hint="default" w:ascii="Times New Roman" w:hAnsi="Times New Roman" w:cs="Times New Roman"/>
          <w:color w:val="auto"/>
          <w:sz w:val="24"/>
          <w:szCs w:val="24"/>
          <w:highlight w:val="none"/>
        </w:rPr>
        <w:t>对两栖、爬行动物的影响</w:t>
      </w:r>
    </w:p>
    <w:p w14:paraId="3263E0A6">
      <w:pPr>
        <w:pStyle w:val="30"/>
        <w:snapToGrid/>
        <w:spacing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随着施工机械及施工人员的进驻，</w:t>
      </w:r>
      <w:r>
        <w:rPr>
          <w:rFonts w:hint="default" w:ascii="Times New Roman" w:hAnsi="Times New Roman" w:cs="Times New Roman"/>
          <w:color w:val="auto"/>
          <w:sz w:val="24"/>
          <w:szCs w:val="24"/>
          <w:highlight w:val="none"/>
        </w:rPr>
        <w:t>会产生挖填方、施工噪声、运输噪声等，会迫使生活在周边的两栖类及爬行类动物向坝体四周迁移，寻找合适的生活及觅食地点，从而使施工区四周影响区域两栖及爬行类动物种类和数量有所减少。</w:t>
      </w:r>
    </w:p>
    <w:p w14:paraId="42C1E629">
      <w:pPr>
        <w:pStyle w:val="30"/>
        <w:snapToGrid/>
        <w:spacing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经现场踏勘，施工区内的两栖、爬行类动物都是些普通的常见种类且数量较少，在评价区内普遍存在，工程建设对该地区物种类型影响较小。</w:t>
      </w:r>
    </w:p>
    <w:p w14:paraId="3CEC477A">
      <w:pPr>
        <w:pStyle w:val="30"/>
        <w:snapToGrid/>
        <w:spacing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②</w:t>
      </w:r>
      <w:r>
        <w:rPr>
          <w:rFonts w:hint="default" w:ascii="Times New Roman" w:hAnsi="Times New Roman" w:cs="Times New Roman"/>
          <w:color w:val="auto"/>
          <w:sz w:val="24"/>
          <w:szCs w:val="24"/>
          <w:highlight w:val="none"/>
        </w:rPr>
        <w:t>对鸟类的影响</w:t>
      </w:r>
    </w:p>
    <w:p w14:paraId="6C4D72EF">
      <w:pPr>
        <w:pStyle w:val="30"/>
        <w:snapToGrid/>
        <w:spacing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岸坡砌护等</w:t>
      </w:r>
      <w:r>
        <w:rPr>
          <w:rFonts w:hint="default" w:ascii="Times New Roman" w:hAnsi="Times New Roman" w:cs="Times New Roman"/>
          <w:color w:val="auto"/>
          <w:sz w:val="24"/>
          <w:szCs w:val="24"/>
          <w:highlight w:val="none"/>
        </w:rPr>
        <w:t>施工</w:t>
      </w:r>
      <w:r>
        <w:rPr>
          <w:rFonts w:hint="default" w:ascii="Times New Roman" w:hAnsi="Times New Roman" w:cs="Times New Roman"/>
          <w:color w:val="auto"/>
          <w:sz w:val="24"/>
          <w:szCs w:val="24"/>
          <w:highlight w:val="none"/>
          <w:lang w:val="en-US" w:eastAsia="zh-CN"/>
        </w:rPr>
        <w:t>过程</w:t>
      </w:r>
      <w:r>
        <w:rPr>
          <w:rFonts w:hint="default" w:ascii="Times New Roman" w:hAnsi="Times New Roman" w:cs="Times New Roman"/>
          <w:color w:val="auto"/>
          <w:sz w:val="24"/>
          <w:szCs w:val="24"/>
          <w:highlight w:val="none"/>
        </w:rPr>
        <w:t>产生的废气和噪声等，也将干扰栖息附近的鸟类，工程影响区内鸟类主要为常见鸟类，鸟类的迁徙能力强，在区域内附近处易寻找同类生境，所以本工程的建设对鸟类的影响较小。</w:t>
      </w:r>
    </w:p>
    <w:p w14:paraId="547995AE">
      <w:pPr>
        <w:pStyle w:val="76"/>
        <w:ind w:firstLine="480"/>
        <w:jc w:val="left"/>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lang w:val="en-US" w:eastAsia="zh-CN" w:bidi="ar"/>
        </w:rPr>
        <w:t>5</w:t>
      </w:r>
      <w:r>
        <w:rPr>
          <w:rFonts w:hint="default" w:ascii="Times New Roman" w:hAnsi="Times New Roman" w:eastAsia="宋体" w:cs="Times New Roman"/>
          <w:color w:val="auto"/>
          <w:sz w:val="24"/>
          <w:highlight w:val="none"/>
          <w:lang w:bidi="ar"/>
        </w:rPr>
        <w:t>）对水生生态的影响</w:t>
      </w:r>
    </w:p>
    <w:p w14:paraId="66081F0A">
      <w:pPr>
        <w:pStyle w:val="30"/>
        <w:snapToGrid/>
        <w:spacing w:after="0" w:line="360" w:lineRule="auto"/>
        <w:ind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lang w:val="en-US" w:eastAsia="zh-CN" w:bidi="ar"/>
        </w:rPr>
        <w:t>河道及水库清淤会暂时性排空施工区地表水体，对</w:t>
      </w:r>
      <w:r>
        <w:rPr>
          <w:rFonts w:hint="default" w:ascii="Times New Roman" w:hAnsi="Times New Roman" w:eastAsia="宋体" w:cs="Times New Roman"/>
          <w:color w:val="auto"/>
          <w:sz w:val="24"/>
          <w:szCs w:val="24"/>
          <w:highlight w:val="none"/>
        </w:rPr>
        <w:t>近岸水域产生扰动，</w:t>
      </w:r>
      <w:r>
        <w:rPr>
          <w:rFonts w:hint="default" w:ascii="Times New Roman" w:hAnsi="Times New Roman" w:cs="Times New Roman"/>
          <w:color w:val="auto"/>
          <w:sz w:val="24"/>
          <w:highlight w:val="none"/>
          <w:lang w:val="en-US" w:eastAsia="zh-CN" w:bidi="ar"/>
        </w:rPr>
        <w:t>河道内水生生物将随着排水流向迁徙，对水生生物原有栖息环境将产生一定影响，但随着施工结束，河道水质及水生态环境将逐渐向好发展，有利于水生生物的生存及繁衍。河道部分清淤</w:t>
      </w:r>
      <w:r>
        <w:rPr>
          <w:rFonts w:hint="default" w:ascii="Times New Roman" w:hAnsi="Times New Roman" w:eastAsia="宋体" w:cs="Times New Roman"/>
          <w:color w:val="auto"/>
          <w:sz w:val="24"/>
          <w:szCs w:val="24"/>
          <w:highlight w:val="none"/>
        </w:rPr>
        <w:t>工程呈线性分布，分段分期实施，具有影响范围较小、影响分散的特点。</w:t>
      </w:r>
    </w:p>
    <w:p w14:paraId="18E557D2">
      <w:pPr>
        <w:pStyle w:val="30"/>
        <w:snapToGrid/>
        <w:spacing w:after="0" w:line="360" w:lineRule="auto"/>
        <w:ind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lang w:val="en-US" w:eastAsia="zh-CN"/>
        </w:rPr>
        <w:t>对鱼类的影响</w:t>
      </w:r>
    </w:p>
    <w:p w14:paraId="5BC5C28C">
      <w:pPr>
        <w:pStyle w:val="30"/>
        <w:snapToGrid/>
        <w:spacing w:after="0" w:line="360" w:lineRule="auto"/>
        <w:ind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根据调查，茹河</w:t>
      </w:r>
      <w:r>
        <w:rPr>
          <w:rFonts w:hint="default" w:ascii="Times New Roman" w:hAnsi="Times New Roman" w:eastAsia="宋体" w:cs="Times New Roman"/>
          <w:color w:val="auto"/>
          <w:sz w:val="24"/>
          <w:szCs w:val="24"/>
          <w:highlight w:val="none"/>
        </w:rPr>
        <w:t>水生物简单，</w:t>
      </w:r>
      <w:r>
        <w:rPr>
          <w:rFonts w:hint="default" w:ascii="Times New Roman" w:hAnsi="Times New Roman" w:cs="Times New Roman"/>
          <w:color w:val="auto"/>
          <w:sz w:val="24"/>
          <w:szCs w:val="24"/>
          <w:highlight w:val="none"/>
          <w:lang w:eastAsia="zh-CN"/>
        </w:rPr>
        <w:t>土著鱼类种类不多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流域内鱼类主要来自增殖放流的鲫鱼、草鱼、鲢鱼等常见种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建设对鱼类种群的环境影响要素</w:t>
      </w:r>
      <w:r>
        <w:rPr>
          <w:rFonts w:hint="default" w:ascii="Times New Roman" w:hAnsi="Times New Roman" w:eastAsia="宋体" w:cs="Times New Roman"/>
          <w:color w:val="auto"/>
          <w:sz w:val="24"/>
          <w:szCs w:val="24"/>
          <w:highlight w:val="none"/>
          <w:lang w:val="en-US" w:eastAsia="zh-CN"/>
        </w:rPr>
        <w:t>为导流过程对鱼类的迁徙，清淤对地表水体的扰动</w:t>
      </w:r>
      <w:r>
        <w:rPr>
          <w:rFonts w:hint="default" w:ascii="Times New Roman" w:hAnsi="Times New Roman" w:eastAsia="宋体" w:cs="Times New Roman"/>
          <w:color w:val="auto"/>
          <w:sz w:val="24"/>
          <w:szCs w:val="24"/>
          <w:highlight w:val="none"/>
          <w:lang w:eastAsia="zh-CN"/>
        </w:rPr>
        <w:t>等。</w:t>
      </w:r>
    </w:p>
    <w:p w14:paraId="29EE39D1">
      <w:pPr>
        <w:pStyle w:val="30"/>
        <w:snapToGrid/>
        <w:spacing w:after="0" w:line="360" w:lineRule="auto"/>
        <w:ind w:right="0" w:firstLine="480" w:firstLineChars="20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从影响水域的范围以及项目施工产生的环境影响因素来看，</w:t>
      </w:r>
      <w:r>
        <w:rPr>
          <w:rFonts w:hint="default" w:ascii="Times New Roman" w:hAnsi="Times New Roman" w:eastAsia="宋体" w:cs="Times New Roman"/>
          <w:color w:val="auto"/>
          <w:sz w:val="24"/>
          <w:szCs w:val="24"/>
          <w:highlight w:val="none"/>
          <w:lang w:val="en-US" w:eastAsia="zh-CN"/>
        </w:rPr>
        <w:t>项目清淤改变</w:t>
      </w:r>
      <w:r>
        <w:rPr>
          <w:rFonts w:hint="default" w:ascii="Times New Roman" w:hAnsi="Times New Roman" w:eastAsia="Segoe UI" w:cs="Times New Roman"/>
          <w:i w:val="0"/>
          <w:iCs w:val="0"/>
          <w:caps w:val="0"/>
          <w:color w:val="auto"/>
          <w:spacing w:val="0"/>
          <w:sz w:val="24"/>
          <w:szCs w:val="24"/>
          <w:highlight w:val="none"/>
          <w:shd w:val="clear" w:fill="FFFFFF"/>
        </w:rPr>
        <w:t>河道底部栖息结构（如砾石、水草）</w:t>
      </w:r>
      <w:r>
        <w:rPr>
          <w:rFonts w:hint="default" w:ascii="Times New Roman" w:hAnsi="Times New Roman" w:eastAsia="宋体" w:cs="Times New Roman"/>
          <w:i w:val="0"/>
          <w:iCs w:val="0"/>
          <w:caps w:val="0"/>
          <w:color w:val="auto"/>
          <w:spacing w:val="0"/>
          <w:sz w:val="24"/>
          <w:szCs w:val="24"/>
          <w:highlight w:val="none"/>
          <w:shd w:val="clear" w:fill="FFFFFF"/>
          <w:lang w:eastAsia="zh-CN"/>
        </w:rPr>
        <w:t>，但不会</w:t>
      </w:r>
      <w:r>
        <w:rPr>
          <w:rFonts w:hint="default" w:ascii="Times New Roman" w:hAnsi="Times New Roman" w:eastAsia="宋体" w:cs="Times New Roman"/>
          <w:color w:val="auto"/>
          <w:sz w:val="24"/>
          <w:szCs w:val="24"/>
          <w:highlight w:val="none"/>
          <w:lang w:eastAsia="zh-CN"/>
        </w:rPr>
        <w:t>引入其他物种，也不会造成现有物种的减少，鱼类及水生生物将随着导流水体流向下游，不会改变鱼类等水生生物区系组成。施工过程中产生的各影响因子会对局部鱼类等水生生物群落结构产生一定影响，但影响范围</w:t>
      </w:r>
      <w:r>
        <w:rPr>
          <w:rFonts w:hint="default" w:ascii="Times New Roman" w:hAnsi="Times New Roman" w:eastAsia="宋体" w:cs="Times New Roman"/>
          <w:color w:val="auto"/>
          <w:sz w:val="24"/>
          <w:szCs w:val="24"/>
          <w:highlight w:val="none"/>
          <w:lang w:val="en-US" w:eastAsia="zh-CN"/>
        </w:rPr>
        <w:t>可控，影响程度可接受。</w:t>
      </w:r>
    </w:p>
    <w:p w14:paraId="50EC2E1F">
      <w:pPr>
        <w:pStyle w:val="30"/>
        <w:snapToGrid/>
        <w:spacing w:after="0" w:line="360" w:lineRule="auto"/>
        <w:ind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en-US" w:eastAsia="zh-CN"/>
        </w:rPr>
        <w:t>对浮游植物的影响</w:t>
      </w:r>
    </w:p>
    <w:p w14:paraId="4785692A">
      <w:pPr>
        <w:pStyle w:val="30"/>
        <w:snapToGrid/>
        <w:spacing w:after="0" w:line="360" w:lineRule="auto"/>
        <w:ind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浮游植物种群的数量变化和演替，受到光（透明度）、营养、温度和摄食压力等因素的影响。藻类是一群具有叶绿素和其他光合色素、能进行光合作用的低等植物，是自然水体的原始生产者。</w:t>
      </w:r>
    </w:p>
    <w:p w14:paraId="58888002">
      <w:pPr>
        <w:jc w:val="both"/>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对浮游植物的影响主要是项目施工期，因项目</w:t>
      </w:r>
      <w:r>
        <w:rPr>
          <w:rFonts w:hint="default" w:ascii="Times New Roman" w:hAnsi="Times New Roman" w:eastAsia="宋体" w:cs="Times New Roman"/>
          <w:color w:val="auto"/>
          <w:sz w:val="24"/>
          <w:szCs w:val="24"/>
          <w:highlight w:val="none"/>
          <w:lang w:val="en-US" w:eastAsia="zh-CN"/>
        </w:rPr>
        <w:t>河道整治过程</w:t>
      </w:r>
      <w:r>
        <w:rPr>
          <w:rFonts w:hint="default" w:ascii="Times New Roman" w:hAnsi="Times New Roman" w:eastAsia="宋体" w:cs="Times New Roman"/>
          <w:color w:val="auto"/>
          <w:sz w:val="24"/>
          <w:szCs w:val="24"/>
          <w:highlight w:val="none"/>
        </w:rPr>
        <w:t>、水流发生变化等引起局部水域水质浑浊，影响阳光透射，使水中浮游植物光合作用暂时降低，不利于藻类生长繁殖，数量减少。为降低施工过程的影响，在施工时间的选择</w:t>
      </w:r>
      <w:r>
        <w:rPr>
          <w:rFonts w:hint="default" w:ascii="Times New Roman" w:hAnsi="Times New Roman" w:eastAsia="宋体" w:cs="Times New Roman"/>
          <w:color w:val="auto"/>
          <w:sz w:val="24"/>
          <w:szCs w:val="24"/>
          <w:highlight w:val="none"/>
          <w:lang w:val="en-US" w:eastAsia="zh-CN"/>
        </w:rPr>
        <w:t>非汛期</w:t>
      </w:r>
      <w:r>
        <w:rPr>
          <w:rFonts w:hint="default" w:ascii="Times New Roman" w:hAnsi="Times New Roman" w:eastAsia="宋体" w:cs="Times New Roman"/>
          <w:color w:val="auto"/>
          <w:sz w:val="24"/>
          <w:szCs w:val="24"/>
          <w:highlight w:val="none"/>
        </w:rPr>
        <w:t>，降低施工过程对水体扰动，通过加强施工管理，强化施工操作规范，施工活动对</w:t>
      </w:r>
      <w:r>
        <w:rPr>
          <w:rFonts w:hint="default" w:ascii="Times New Roman" w:hAnsi="Times New Roman" w:eastAsia="宋体" w:cs="Times New Roman"/>
          <w:color w:val="auto"/>
          <w:sz w:val="24"/>
          <w:szCs w:val="24"/>
          <w:highlight w:val="none"/>
          <w:lang w:val="en-US" w:eastAsia="zh-CN"/>
        </w:rPr>
        <w:t>茹河</w:t>
      </w:r>
      <w:r>
        <w:rPr>
          <w:rFonts w:hint="default" w:ascii="Times New Roman" w:hAnsi="Times New Roman" w:eastAsia="宋体" w:cs="Times New Roman"/>
          <w:color w:val="auto"/>
          <w:sz w:val="24"/>
          <w:szCs w:val="24"/>
          <w:highlight w:val="none"/>
        </w:rPr>
        <w:t>水体悬浮物浓度变化对水生生态环境影响较小。施工期的影响是局部的、暂时的，随着工程施工的结束，水质影响因子逐渐消失，水体透明度逐渐恢复到原来状态，浮游植物光合作用增强，可促进藻类繁殖，受影响河段藻类的数量可逐渐恢复到原有水平。</w:t>
      </w:r>
    </w:p>
    <w:p w14:paraId="646E9623">
      <w:pPr>
        <w:pStyle w:val="76"/>
        <w:ind w:firstLine="480"/>
        <w:jc w:val="left"/>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6</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bidi="ar"/>
        </w:rPr>
        <w:t>生态景观的影响</w:t>
      </w:r>
    </w:p>
    <w:p w14:paraId="51D3E684">
      <w:pPr>
        <w:pStyle w:val="76"/>
        <w:ind w:firstLine="480"/>
        <w:jc w:val="left"/>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项目临时占地在施工建设的过程中，必然会给区域的自然景观带来一定的影响，如部分植被会受到破坏，施工废料堆积，施工区人为活动，施工噪声、扬尘等都会影响自然景观，但影响的面积有限，时间也是暂时的，施工结束后影响即消失，通过植被恢复等手段将施工期对外环境的影响降至最低，在可接受范围内。</w:t>
      </w:r>
    </w:p>
    <w:p w14:paraId="3D7FFB17">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对土壤环境的影响</w:t>
      </w:r>
    </w:p>
    <w:p w14:paraId="2113272D">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施工期对土壤的影响主要是表土扰动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弃土堆存等，造成污染物进入土壤环境，从而引起土壤物理、化学、生物等方面特性的改变，造成土壤环境质量的恶化。</w:t>
      </w:r>
    </w:p>
    <w:p w14:paraId="2850C799">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因此，本着恢复原地表生产力的目的，施工结束后，剥离的表土用于后期的原地貌恢复；施工区采取一系列环保措施，收集并处理各施工环节所产生的污废水；固体废物分类妥善处理，施工机械勤加保养；对裸露地表采取植被恢复，减少施工各方面对土壤的影响。</w:t>
      </w:r>
    </w:p>
    <w:p w14:paraId="5B3A1714">
      <w:pPr>
        <w:pStyle w:val="6"/>
        <w:bidi w:val="0"/>
        <w:ind w:left="0" w:leftChars="0" w:firstLine="0" w:firstLineChars="0"/>
        <w:outlineLvl w:val="2"/>
        <w:rPr>
          <w:rFonts w:hint="default" w:ascii="Times New Roman" w:hAnsi="Times New Roman" w:cs="Times New Roman"/>
          <w:color w:val="auto"/>
          <w:sz w:val="28"/>
          <w:szCs w:val="28"/>
          <w:highlight w:val="none"/>
        </w:rPr>
      </w:pPr>
      <w:bookmarkStart w:id="3545" w:name="_Toc11616"/>
      <w:bookmarkStart w:id="3546" w:name="_Toc10293"/>
      <w:bookmarkStart w:id="3547" w:name="_Toc14597"/>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运营期污染源强分析</w:t>
      </w:r>
      <w:bookmarkEnd w:id="3545"/>
      <w:bookmarkEnd w:id="3546"/>
      <w:bookmarkEnd w:id="3547"/>
    </w:p>
    <w:p w14:paraId="50CEA9B8">
      <w:pPr>
        <w:pStyle w:val="7"/>
        <w:numPr>
          <w:ilvl w:val="0"/>
          <w:numId w:val="0"/>
        </w:numPr>
        <w:bidi w:val="0"/>
        <w:outlineLvl w:val="3"/>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2.</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废气</w:t>
      </w:r>
    </w:p>
    <w:p w14:paraId="199ED76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本工程运营期</w:t>
      </w:r>
      <w:r>
        <w:rPr>
          <w:rFonts w:hint="default" w:ascii="Times New Roman" w:hAnsi="Times New Roman" w:cs="Times New Roman"/>
          <w:color w:val="auto"/>
          <w:sz w:val="24"/>
          <w:szCs w:val="24"/>
          <w:highlight w:val="none"/>
          <w:lang w:eastAsia="zh-CN"/>
        </w:rPr>
        <w:t>无废气产生。</w:t>
      </w:r>
    </w:p>
    <w:p w14:paraId="404F9D82">
      <w:pPr>
        <w:pStyle w:val="7"/>
        <w:numPr>
          <w:ilvl w:val="0"/>
          <w:numId w:val="0"/>
        </w:numPr>
        <w:bidi w:val="0"/>
        <w:outlineLvl w:val="3"/>
        <w:rPr>
          <w:rFonts w:hint="default" w:ascii="Times New Roman" w:hAnsi="Times New Roman" w:cs="Times New Roman"/>
          <w:b/>
          <w:color w:val="auto"/>
          <w:sz w:val="28"/>
          <w:szCs w:val="28"/>
          <w:highlight w:val="none"/>
          <w:lang w:val="en-US" w:eastAsia="zh-CN"/>
        </w:rPr>
      </w:pPr>
      <w:r>
        <w:rPr>
          <w:rFonts w:hint="default" w:ascii="Times New Roman" w:hAnsi="Times New Roman" w:cs="Times New Roman"/>
          <w:b/>
          <w:color w:val="auto"/>
          <w:sz w:val="28"/>
          <w:szCs w:val="28"/>
          <w:highlight w:val="none"/>
          <w:lang w:val="en-US" w:eastAsia="zh-CN"/>
        </w:rPr>
        <w:t>3.2.</w:t>
      </w:r>
      <w:r>
        <w:rPr>
          <w:rFonts w:hint="eastAsia" w:cs="Times New Roman"/>
          <w:b/>
          <w:color w:val="auto"/>
          <w:sz w:val="28"/>
          <w:szCs w:val="28"/>
          <w:highlight w:val="none"/>
          <w:lang w:val="en-US" w:eastAsia="zh-CN"/>
        </w:rPr>
        <w:t>2</w:t>
      </w:r>
      <w:r>
        <w:rPr>
          <w:rFonts w:hint="default" w:ascii="Times New Roman" w:hAnsi="Times New Roman" w:cs="Times New Roman"/>
          <w:b/>
          <w:color w:val="auto"/>
          <w:sz w:val="28"/>
          <w:szCs w:val="28"/>
          <w:highlight w:val="none"/>
          <w:lang w:val="en-US" w:eastAsia="zh-CN"/>
        </w:rPr>
        <w:t>.2废水</w:t>
      </w:r>
    </w:p>
    <w:p w14:paraId="6546E6BA">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本工程运营期</w:t>
      </w:r>
      <w:r>
        <w:rPr>
          <w:rFonts w:hint="default" w:ascii="Times New Roman" w:hAnsi="Times New Roman" w:cs="Times New Roman"/>
          <w:color w:val="auto"/>
          <w:sz w:val="24"/>
          <w:szCs w:val="24"/>
          <w:highlight w:val="none"/>
          <w:lang w:eastAsia="zh-CN"/>
        </w:rPr>
        <w:t>无废水产生。</w:t>
      </w:r>
    </w:p>
    <w:p w14:paraId="43A28EC7">
      <w:pPr>
        <w:pStyle w:val="7"/>
        <w:numPr>
          <w:ilvl w:val="0"/>
          <w:numId w:val="0"/>
        </w:numPr>
        <w:bidi w:val="0"/>
        <w:outlineLvl w:val="3"/>
        <w:rPr>
          <w:rFonts w:hint="default" w:ascii="Times New Roman" w:hAnsi="Times New Roman" w:cs="Times New Roman"/>
          <w:b/>
          <w:color w:val="auto"/>
          <w:sz w:val="28"/>
          <w:szCs w:val="28"/>
          <w:highlight w:val="none"/>
          <w:lang w:val="en-US" w:eastAsia="zh-CN"/>
        </w:rPr>
      </w:pPr>
      <w:r>
        <w:rPr>
          <w:rFonts w:hint="default" w:ascii="Times New Roman" w:hAnsi="Times New Roman" w:cs="Times New Roman"/>
          <w:b/>
          <w:color w:val="auto"/>
          <w:sz w:val="28"/>
          <w:szCs w:val="28"/>
          <w:highlight w:val="none"/>
          <w:lang w:val="en-US" w:eastAsia="zh-CN"/>
        </w:rPr>
        <w:t>3.2.</w:t>
      </w:r>
      <w:r>
        <w:rPr>
          <w:rFonts w:hint="eastAsia" w:cs="Times New Roman"/>
          <w:b/>
          <w:color w:val="auto"/>
          <w:sz w:val="28"/>
          <w:szCs w:val="28"/>
          <w:highlight w:val="none"/>
          <w:lang w:val="en-US" w:eastAsia="zh-CN"/>
        </w:rPr>
        <w:t>2</w:t>
      </w:r>
      <w:r>
        <w:rPr>
          <w:rFonts w:hint="default" w:ascii="Times New Roman" w:hAnsi="Times New Roman" w:cs="Times New Roman"/>
          <w:b/>
          <w:color w:val="auto"/>
          <w:sz w:val="28"/>
          <w:szCs w:val="28"/>
          <w:highlight w:val="none"/>
          <w:lang w:val="en-US" w:eastAsia="zh-CN"/>
        </w:rPr>
        <w:t>.3噪声</w:t>
      </w:r>
    </w:p>
    <w:p w14:paraId="2DBA802A">
      <w:pPr>
        <w:pStyle w:val="63"/>
        <w:overflowPunct w:val="0"/>
        <w:topLinePunct/>
        <w:spacing w:line="360" w:lineRule="auto"/>
        <w:ind w:firstLine="491"/>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项目运营期无噪声产生</w:t>
      </w:r>
    </w:p>
    <w:p w14:paraId="0231039F">
      <w:pPr>
        <w:pStyle w:val="7"/>
        <w:bidi w:val="0"/>
        <w:ind w:left="0" w:leftChars="0" w:firstLine="0" w:firstLineChars="0"/>
        <w:outlineLvl w:val="3"/>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rPr>
        <w:t>3.2.</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en-US" w:eastAsia="zh-CN"/>
        </w:rPr>
        <w:t>固体废物</w:t>
      </w:r>
    </w:p>
    <w:p w14:paraId="4B1F0886">
      <w:pPr>
        <w:pStyle w:val="63"/>
        <w:overflowPunct w:val="0"/>
        <w:topLinePunct/>
        <w:spacing w:line="360" w:lineRule="auto"/>
        <w:ind w:firstLine="491"/>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项目运营期无固体废物产生</w:t>
      </w:r>
    </w:p>
    <w:p w14:paraId="236EE840">
      <w:pPr>
        <w:pStyle w:val="7"/>
        <w:bidi w:val="0"/>
        <w:outlineLvl w:val="3"/>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3.2.</w:t>
      </w:r>
      <w:r>
        <w:rPr>
          <w:rFonts w:hint="eastAsia" w:cs="Times New Roman"/>
          <w:color w:val="auto"/>
          <w:sz w:val="28"/>
          <w:szCs w:val="28"/>
          <w:highlight w:val="none"/>
          <w:lang w:val="en-US" w:eastAsia="zh-CN"/>
        </w:rPr>
        <w:t>2.5</w:t>
      </w:r>
      <w:r>
        <w:rPr>
          <w:rFonts w:hint="default" w:ascii="Times New Roman" w:hAnsi="Times New Roman" w:cs="Times New Roman"/>
          <w:color w:val="auto"/>
          <w:sz w:val="28"/>
          <w:szCs w:val="28"/>
          <w:highlight w:val="none"/>
          <w:lang w:val="en-US" w:eastAsia="zh-CN"/>
        </w:rPr>
        <w:t>生态</w:t>
      </w:r>
    </w:p>
    <w:p w14:paraId="43EE64E6">
      <w:pPr>
        <w:spacing w:line="360" w:lineRule="auto"/>
        <w:ind w:firstLine="480" w:firstLineChars="200"/>
        <w:rPr>
          <w:rFonts w:hint="default" w:ascii="Times New Roman" w:hAnsi="Times New Roman" w:eastAsia="宋体" w:cs="Times New Roman"/>
          <w:color w:val="auto"/>
          <w:sz w:val="24"/>
          <w:szCs w:val="28"/>
          <w:highlight w:val="none"/>
          <w:lang w:val="en-US" w:eastAsia="zh-CN"/>
        </w:rPr>
      </w:pPr>
      <w:r>
        <w:rPr>
          <w:rFonts w:hint="eastAsia" w:cs="Times New Roman"/>
          <w:color w:val="auto"/>
          <w:sz w:val="24"/>
          <w:szCs w:val="28"/>
          <w:highlight w:val="none"/>
          <w:lang w:val="en-US" w:eastAsia="zh-CN"/>
        </w:rPr>
        <w:t>1.</w:t>
      </w:r>
      <w:r>
        <w:rPr>
          <w:rFonts w:hint="default" w:ascii="Times New Roman" w:hAnsi="Times New Roman" w:eastAsia="宋体" w:cs="Times New Roman"/>
          <w:b/>
          <w:bCs/>
          <w:color w:val="auto"/>
          <w:sz w:val="24"/>
          <w:szCs w:val="28"/>
          <w:highlight w:val="none"/>
          <w:lang w:val="en-US" w:eastAsia="zh-CN"/>
        </w:rPr>
        <w:t>对水文情势的影响分析</w:t>
      </w:r>
    </w:p>
    <w:p w14:paraId="190D9618">
      <w:pPr>
        <w:spacing w:line="360" w:lineRule="auto"/>
        <w:ind w:firstLine="480" w:firstLineChars="200"/>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lang w:val="en-US" w:eastAsia="zh-CN"/>
        </w:rPr>
        <w:t>项目属于河道治理工程，对河道进行疏挖整治及岸坡砌护等</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工程完工后</w:t>
      </w:r>
      <w:r>
        <w:rPr>
          <w:rFonts w:hint="default" w:ascii="Times New Roman" w:hAnsi="Times New Roman" w:eastAsia="宋体" w:cs="Times New Roman"/>
          <w:color w:val="auto"/>
          <w:sz w:val="24"/>
          <w:szCs w:val="28"/>
          <w:highlight w:val="none"/>
        </w:rPr>
        <w:t>将进一步增强</w:t>
      </w:r>
      <w:r>
        <w:rPr>
          <w:rFonts w:hint="default" w:ascii="Times New Roman" w:hAnsi="Times New Roman" w:eastAsia="宋体" w:cs="Times New Roman"/>
          <w:color w:val="auto"/>
          <w:sz w:val="24"/>
          <w:szCs w:val="28"/>
          <w:highlight w:val="none"/>
          <w:lang w:eastAsia="zh-CN"/>
        </w:rPr>
        <w:t>茹河小河段</w:t>
      </w:r>
      <w:r>
        <w:rPr>
          <w:rFonts w:hint="default" w:ascii="Times New Roman" w:hAnsi="Times New Roman" w:eastAsia="宋体" w:cs="Times New Roman"/>
          <w:color w:val="auto"/>
          <w:sz w:val="24"/>
          <w:szCs w:val="28"/>
          <w:highlight w:val="none"/>
        </w:rPr>
        <w:t>洪水调度和排水排洪能力，既能保证社会公共财产安全，又能充分体现生态水利的理念，使得</w:t>
      </w:r>
      <w:r>
        <w:rPr>
          <w:rFonts w:hint="default" w:ascii="Times New Roman" w:hAnsi="Times New Roman" w:eastAsia="宋体" w:cs="Times New Roman"/>
          <w:color w:val="auto"/>
          <w:sz w:val="24"/>
          <w:szCs w:val="28"/>
          <w:highlight w:val="none"/>
          <w:lang w:eastAsia="zh-CN"/>
        </w:rPr>
        <w:t>河道</w:t>
      </w:r>
      <w:r>
        <w:rPr>
          <w:rFonts w:hint="default" w:ascii="Times New Roman" w:hAnsi="Times New Roman" w:eastAsia="宋体" w:cs="Times New Roman"/>
          <w:color w:val="auto"/>
          <w:sz w:val="24"/>
          <w:szCs w:val="28"/>
          <w:highlight w:val="none"/>
        </w:rPr>
        <w:t>流速加快，</w:t>
      </w:r>
      <w:r>
        <w:rPr>
          <w:rFonts w:hint="default" w:ascii="Times New Roman" w:hAnsi="Times New Roman" w:eastAsia="宋体" w:cs="Times New Roman"/>
          <w:color w:val="auto"/>
          <w:sz w:val="24"/>
          <w:szCs w:val="28"/>
          <w:highlight w:val="none"/>
          <w:lang w:eastAsia="zh-CN"/>
        </w:rPr>
        <w:t>河道内</w:t>
      </w:r>
      <w:r>
        <w:rPr>
          <w:rFonts w:hint="default" w:ascii="Times New Roman" w:hAnsi="Times New Roman" w:eastAsia="宋体" w:cs="Times New Roman"/>
          <w:color w:val="auto"/>
          <w:sz w:val="24"/>
          <w:szCs w:val="28"/>
          <w:highlight w:val="none"/>
        </w:rPr>
        <w:t>流量增加</w:t>
      </w:r>
      <w:r>
        <w:rPr>
          <w:rFonts w:hint="default" w:ascii="Times New Roman" w:hAnsi="Times New Roman" w:eastAsia="宋体" w:cs="Times New Roman"/>
          <w:color w:val="auto"/>
          <w:sz w:val="24"/>
          <w:szCs w:val="28"/>
          <w:highlight w:val="none"/>
          <w:lang w:eastAsia="zh-CN"/>
        </w:rPr>
        <w:t>，且满足</w:t>
      </w:r>
      <w:r>
        <w:rPr>
          <w:rFonts w:hint="default" w:ascii="Times New Roman" w:hAnsi="Times New Roman" w:eastAsia="宋体" w:cs="Times New Roman"/>
          <w:color w:val="auto"/>
          <w:sz w:val="24"/>
          <w:szCs w:val="28"/>
          <w:highlight w:val="none"/>
        </w:rPr>
        <w:t>防洪标准要求，不会对河道内的水文情势造成较大改变，</w:t>
      </w:r>
      <w:r>
        <w:rPr>
          <w:rFonts w:hint="default" w:ascii="Times New Roman" w:hAnsi="Times New Roman" w:eastAsia="宋体" w:cs="Times New Roman"/>
          <w:color w:val="auto"/>
          <w:sz w:val="24"/>
          <w:szCs w:val="28"/>
          <w:highlight w:val="none"/>
          <w:lang w:eastAsia="zh-CN"/>
        </w:rPr>
        <w:t>项目</w:t>
      </w:r>
      <w:r>
        <w:rPr>
          <w:rFonts w:hint="default" w:ascii="Times New Roman" w:hAnsi="Times New Roman" w:eastAsia="宋体" w:cs="Times New Roman"/>
          <w:color w:val="auto"/>
          <w:sz w:val="24"/>
          <w:szCs w:val="28"/>
          <w:highlight w:val="none"/>
        </w:rPr>
        <w:t>的建设在运营期对水环境影响较小。</w:t>
      </w:r>
    </w:p>
    <w:p w14:paraId="62E99DDB">
      <w:pPr>
        <w:spacing w:line="360" w:lineRule="auto"/>
        <w:ind w:firstLine="482" w:firstLineChars="200"/>
        <w:rPr>
          <w:rFonts w:hint="default" w:ascii="Times New Roman" w:hAnsi="Times New Roman" w:eastAsia="宋体" w:cs="Times New Roman"/>
          <w:b/>
          <w:bCs/>
          <w:color w:val="auto"/>
          <w:sz w:val="24"/>
          <w:szCs w:val="28"/>
          <w:highlight w:val="none"/>
        </w:rPr>
      </w:pPr>
      <w:r>
        <w:rPr>
          <w:rFonts w:hint="eastAsia" w:cs="Times New Roman"/>
          <w:b/>
          <w:bCs/>
          <w:color w:val="auto"/>
          <w:sz w:val="24"/>
          <w:szCs w:val="28"/>
          <w:highlight w:val="none"/>
          <w:lang w:eastAsia="zh-CN"/>
        </w:rPr>
        <w:t>2.</w:t>
      </w:r>
      <w:r>
        <w:rPr>
          <w:rFonts w:hint="default" w:ascii="Times New Roman" w:hAnsi="Times New Roman" w:eastAsia="宋体" w:cs="Times New Roman"/>
          <w:b/>
          <w:bCs/>
          <w:color w:val="auto"/>
          <w:sz w:val="24"/>
          <w:szCs w:val="28"/>
          <w:highlight w:val="none"/>
        </w:rPr>
        <w:t>河道水质影响分析</w:t>
      </w:r>
    </w:p>
    <w:p w14:paraId="7C4F0FCD">
      <w:pPr>
        <w:spacing w:line="360" w:lineRule="auto"/>
        <w:ind w:firstLine="480" w:firstLineChars="200"/>
        <w:rPr>
          <w:rFonts w:hint="default" w:ascii="Times New Roman" w:hAnsi="Times New Roman" w:eastAsia="宋体" w:cs="Times New Roman"/>
          <w:color w:val="auto"/>
          <w:sz w:val="24"/>
          <w:szCs w:val="28"/>
          <w:highlight w:val="none"/>
        </w:rPr>
      </w:pPr>
      <w:r>
        <w:rPr>
          <w:rFonts w:hint="eastAsia" w:cs="Times New Roman"/>
          <w:color w:val="auto"/>
          <w:sz w:val="24"/>
          <w:szCs w:val="28"/>
          <w:highlight w:val="none"/>
          <w:lang w:eastAsia="zh-CN"/>
        </w:rPr>
        <w:t>本工程</w:t>
      </w:r>
      <w:r>
        <w:rPr>
          <w:rFonts w:hint="default" w:ascii="Times New Roman" w:hAnsi="Times New Roman" w:eastAsia="宋体" w:cs="Times New Roman"/>
          <w:color w:val="auto"/>
          <w:sz w:val="24"/>
          <w:szCs w:val="28"/>
          <w:highlight w:val="none"/>
        </w:rPr>
        <w:t>实施后，岸坡生态修复治理后，通过</w:t>
      </w:r>
      <w:r>
        <w:rPr>
          <w:rFonts w:hint="eastAsia" w:cs="Times New Roman"/>
          <w:color w:val="auto"/>
          <w:sz w:val="24"/>
          <w:szCs w:val="28"/>
          <w:highlight w:val="none"/>
          <w:lang w:eastAsia="zh-CN"/>
        </w:rPr>
        <w:t>加大</w:t>
      </w:r>
      <w:r>
        <w:rPr>
          <w:rFonts w:hint="default" w:ascii="Times New Roman" w:hAnsi="Times New Roman" w:eastAsia="宋体" w:cs="Times New Roman"/>
          <w:color w:val="auto"/>
          <w:sz w:val="24"/>
          <w:szCs w:val="28"/>
          <w:highlight w:val="none"/>
        </w:rPr>
        <w:t>河道管护力度，让整个生态系统的恢复重建，可有效净化</w:t>
      </w:r>
      <w:r>
        <w:rPr>
          <w:rFonts w:hint="default" w:ascii="Times New Roman" w:hAnsi="Times New Roman" w:eastAsia="宋体" w:cs="Times New Roman"/>
          <w:color w:val="auto"/>
          <w:sz w:val="24"/>
          <w:szCs w:val="28"/>
          <w:highlight w:val="none"/>
          <w:lang w:eastAsia="zh-CN"/>
        </w:rPr>
        <w:t>河道</w:t>
      </w:r>
      <w:r>
        <w:rPr>
          <w:rFonts w:hint="default" w:ascii="Times New Roman" w:hAnsi="Times New Roman" w:eastAsia="宋体" w:cs="Times New Roman"/>
          <w:color w:val="auto"/>
          <w:sz w:val="24"/>
          <w:szCs w:val="28"/>
          <w:highlight w:val="none"/>
        </w:rPr>
        <w:t>水质，减轻污染物对河道的污染。其次，</w:t>
      </w:r>
      <w:r>
        <w:rPr>
          <w:rFonts w:hint="default" w:ascii="Times New Roman" w:hAnsi="Times New Roman" w:eastAsia="宋体" w:cs="Times New Roman"/>
          <w:color w:val="auto"/>
          <w:sz w:val="24"/>
          <w:szCs w:val="28"/>
          <w:highlight w:val="none"/>
          <w:lang w:val="en-US" w:eastAsia="zh-CN"/>
        </w:rPr>
        <w:t>项目</w:t>
      </w:r>
      <w:r>
        <w:rPr>
          <w:rFonts w:hint="default" w:ascii="Times New Roman" w:hAnsi="Times New Roman" w:eastAsia="宋体" w:cs="Times New Roman"/>
          <w:color w:val="auto"/>
          <w:sz w:val="24"/>
          <w:szCs w:val="28"/>
          <w:highlight w:val="none"/>
        </w:rPr>
        <w:t>实施后，河道过水面积、流速均有不同程度</w:t>
      </w:r>
      <w:r>
        <w:rPr>
          <w:rFonts w:hint="eastAsia" w:cs="Times New Roman"/>
          <w:color w:val="auto"/>
          <w:sz w:val="24"/>
          <w:szCs w:val="28"/>
          <w:highlight w:val="none"/>
          <w:lang w:eastAsia="zh-CN"/>
        </w:rPr>
        <w:t>地</w:t>
      </w:r>
      <w:r>
        <w:rPr>
          <w:rFonts w:hint="default" w:ascii="Times New Roman" w:hAnsi="Times New Roman" w:eastAsia="宋体" w:cs="Times New Roman"/>
          <w:color w:val="auto"/>
          <w:sz w:val="24"/>
          <w:szCs w:val="28"/>
          <w:highlight w:val="none"/>
        </w:rPr>
        <w:t>增大，加强了水体的流动性，减缓了悬浮物的滞留，减少了淤泥的沉积量。</w:t>
      </w:r>
    </w:p>
    <w:p w14:paraId="23EFB035">
      <w:pPr>
        <w:spacing w:line="360" w:lineRule="auto"/>
        <w:ind w:firstLine="480" w:firstLineChars="200"/>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综上所述，</w:t>
      </w:r>
      <w:r>
        <w:rPr>
          <w:rFonts w:hint="eastAsia" w:cs="Times New Roman"/>
          <w:color w:val="auto"/>
          <w:sz w:val="24"/>
          <w:szCs w:val="28"/>
          <w:highlight w:val="none"/>
          <w:lang w:eastAsia="zh-CN"/>
        </w:rPr>
        <w:t>本工程</w:t>
      </w:r>
      <w:r>
        <w:rPr>
          <w:rFonts w:hint="default" w:ascii="Times New Roman" w:hAnsi="Times New Roman" w:eastAsia="宋体" w:cs="Times New Roman"/>
          <w:color w:val="auto"/>
          <w:sz w:val="24"/>
          <w:szCs w:val="28"/>
          <w:highlight w:val="none"/>
        </w:rPr>
        <w:t>的建设对改善项目区水质、流域污染治理、改善</w:t>
      </w:r>
      <w:r>
        <w:rPr>
          <w:rFonts w:hint="default" w:ascii="Times New Roman" w:hAnsi="Times New Roman" w:eastAsia="宋体" w:cs="Times New Roman"/>
          <w:color w:val="auto"/>
          <w:sz w:val="24"/>
          <w:szCs w:val="28"/>
          <w:highlight w:val="none"/>
          <w:lang w:val="en-US" w:eastAsia="zh-CN"/>
        </w:rPr>
        <w:t>茹河小河段</w:t>
      </w:r>
      <w:r>
        <w:rPr>
          <w:rFonts w:hint="default" w:ascii="Times New Roman" w:hAnsi="Times New Roman" w:eastAsia="宋体" w:cs="Times New Roman"/>
          <w:color w:val="auto"/>
          <w:sz w:val="24"/>
          <w:szCs w:val="28"/>
          <w:highlight w:val="none"/>
        </w:rPr>
        <w:t>水生态环境问题意义重大。</w:t>
      </w:r>
    </w:p>
    <w:p w14:paraId="1CD0E0BD">
      <w:pPr>
        <w:spacing w:line="360" w:lineRule="auto"/>
        <w:ind w:firstLine="482" w:firstLineChars="200"/>
        <w:rPr>
          <w:rFonts w:hint="default" w:ascii="Times New Roman" w:hAnsi="Times New Roman" w:eastAsia="宋体" w:cs="Times New Roman"/>
          <w:b/>
          <w:bCs/>
          <w:color w:val="auto"/>
          <w:sz w:val="24"/>
          <w:szCs w:val="28"/>
          <w:highlight w:val="none"/>
        </w:rPr>
      </w:pPr>
      <w:r>
        <w:rPr>
          <w:rFonts w:hint="eastAsia" w:cs="Times New Roman"/>
          <w:b/>
          <w:bCs/>
          <w:color w:val="auto"/>
          <w:sz w:val="24"/>
          <w:szCs w:val="28"/>
          <w:highlight w:val="none"/>
          <w:lang w:eastAsia="zh-CN"/>
        </w:rPr>
        <w:t>3.</w:t>
      </w:r>
      <w:r>
        <w:rPr>
          <w:rFonts w:hint="default" w:ascii="Times New Roman" w:hAnsi="Times New Roman" w:eastAsia="宋体" w:cs="Times New Roman"/>
          <w:b/>
          <w:bCs/>
          <w:color w:val="auto"/>
          <w:sz w:val="24"/>
          <w:szCs w:val="28"/>
          <w:highlight w:val="none"/>
        </w:rPr>
        <w:t>行洪安全影响分析</w:t>
      </w:r>
    </w:p>
    <w:p w14:paraId="06FDB283">
      <w:pPr>
        <w:spacing w:line="360" w:lineRule="auto"/>
        <w:ind w:firstLine="480" w:firstLineChars="200"/>
        <w:rPr>
          <w:rFonts w:hint="default" w:ascii="Times New Roman" w:hAnsi="Times New Roman" w:eastAsia="宋体" w:cs="Times New Roman"/>
          <w:color w:val="auto"/>
          <w:sz w:val="24"/>
          <w:szCs w:val="28"/>
          <w:highlight w:val="none"/>
        </w:rPr>
      </w:pPr>
      <w:r>
        <w:rPr>
          <w:rFonts w:hint="eastAsia" w:cs="Times New Roman"/>
          <w:color w:val="auto"/>
          <w:sz w:val="24"/>
          <w:szCs w:val="28"/>
          <w:highlight w:val="none"/>
          <w:lang w:eastAsia="zh-CN"/>
        </w:rPr>
        <w:t>本工程</w:t>
      </w:r>
      <w:r>
        <w:rPr>
          <w:rFonts w:hint="default" w:ascii="Times New Roman" w:hAnsi="Times New Roman" w:eastAsia="宋体" w:cs="Times New Roman"/>
          <w:color w:val="auto"/>
          <w:sz w:val="24"/>
          <w:szCs w:val="28"/>
          <w:highlight w:val="none"/>
        </w:rPr>
        <w:t>实施后，有助于提高河道防洪标准，减少洪灾损失。</w:t>
      </w:r>
      <w:r>
        <w:rPr>
          <w:rFonts w:hint="default" w:ascii="Times New Roman" w:hAnsi="Times New Roman" w:eastAsia="宋体" w:cs="Times New Roman"/>
          <w:color w:val="auto"/>
          <w:sz w:val="24"/>
          <w:szCs w:val="28"/>
          <w:highlight w:val="none"/>
          <w:lang w:val="en-US" w:eastAsia="zh-CN"/>
        </w:rPr>
        <w:t>项目</w:t>
      </w:r>
      <w:r>
        <w:rPr>
          <w:rFonts w:hint="default" w:ascii="Times New Roman" w:hAnsi="Times New Roman" w:eastAsia="宋体" w:cs="Times New Roman"/>
          <w:color w:val="auto"/>
          <w:sz w:val="24"/>
          <w:szCs w:val="28"/>
          <w:highlight w:val="none"/>
        </w:rPr>
        <w:t>实施后，河道洪水水位，过水面积、流速均有不同程度</w:t>
      </w:r>
      <w:r>
        <w:rPr>
          <w:rFonts w:hint="eastAsia" w:cs="Times New Roman"/>
          <w:color w:val="auto"/>
          <w:sz w:val="24"/>
          <w:szCs w:val="28"/>
          <w:highlight w:val="none"/>
          <w:lang w:eastAsia="zh-CN"/>
        </w:rPr>
        <w:t>地</w:t>
      </w:r>
      <w:r>
        <w:rPr>
          <w:rFonts w:hint="default" w:ascii="Times New Roman" w:hAnsi="Times New Roman" w:eastAsia="宋体" w:cs="Times New Roman"/>
          <w:color w:val="auto"/>
          <w:sz w:val="24"/>
          <w:szCs w:val="28"/>
          <w:highlight w:val="none"/>
        </w:rPr>
        <w:t>增大，减缓了悬浮物的滞留，减少淤泥沉积。且</w:t>
      </w:r>
      <w:r>
        <w:rPr>
          <w:rFonts w:hint="default" w:ascii="Times New Roman" w:hAnsi="Times New Roman" w:eastAsia="宋体" w:cs="Times New Roman"/>
          <w:color w:val="auto"/>
          <w:sz w:val="24"/>
          <w:szCs w:val="28"/>
          <w:highlight w:val="none"/>
          <w:lang w:eastAsia="zh-CN"/>
        </w:rPr>
        <w:t>河道</w:t>
      </w:r>
      <w:r>
        <w:rPr>
          <w:rFonts w:hint="default" w:ascii="Times New Roman" w:hAnsi="Times New Roman" w:eastAsia="宋体" w:cs="Times New Roman"/>
          <w:color w:val="auto"/>
          <w:sz w:val="24"/>
          <w:szCs w:val="28"/>
          <w:highlight w:val="none"/>
        </w:rPr>
        <w:t>沿岸均设计有护坡，护坡设计满足冲刷深度要求，故工程</w:t>
      </w:r>
      <w:r>
        <w:rPr>
          <w:rFonts w:hint="default" w:ascii="Times New Roman" w:hAnsi="Times New Roman" w:eastAsia="宋体" w:cs="Times New Roman"/>
          <w:color w:val="auto"/>
          <w:sz w:val="24"/>
          <w:szCs w:val="28"/>
          <w:highlight w:val="none"/>
          <w:lang w:eastAsia="zh-CN"/>
        </w:rPr>
        <w:t>河道</w:t>
      </w:r>
      <w:r>
        <w:rPr>
          <w:rFonts w:hint="default" w:ascii="Times New Roman" w:hAnsi="Times New Roman" w:eastAsia="宋体" w:cs="Times New Roman"/>
          <w:color w:val="auto"/>
          <w:sz w:val="24"/>
          <w:szCs w:val="28"/>
          <w:highlight w:val="none"/>
        </w:rPr>
        <w:t>水力要素的改变对沟段的影响甚微。通过以上防洪评价分析，</w:t>
      </w:r>
      <w:r>
        <w:rPr>
          <w:rFonts w:hint="eastAsia" w:cs="Times New Roman"/>
          <w:color w:val="auto"/>
          <w:sz w:val="24"/>
          <w:szCs w:val="28"/>
          <w:highlight w:val="none"/>
          <w:lang w:eastAsia="zh-CN"/>
        </w:rPr>
        <w:t>本工程</w:t>
      </w:r>
      <w:r>
        <w:rPr>
          <w:rFonts w:hint="default" w:ascii="Times New Roman" w:hAnsi="Times New Roman" w:eastAsia="宋体" w:cs="Times New Roman"/>
          <w:color w:val="auto"/>
          <w:sz w:val="24"/>
          <w:szCs w:val="28"/>
          <w:highlight w:val="none"/>
        </w:rPr>
        <w:t>实施对</w:t>
      </w:r>
      <w:r>
        <w:rPr>
          <w:rFonts w:hint="default" w:ascii="Times New Roman" w:hAnsi="Times New Roman" w:eastAsia="宋体" w:cs="Times New Roman"/>
          <w:color w:val="auto"/>
          <w:sz w:val="24"/>
          <w:szCs w:val="28"/>
          <w:highlight w:val="none"/>
          <w:lang w:val="en-US" w:eastAsia="zh-CN"/>
        </w:rPr>
        <w:t>项目</w:t>
      </w:r>
      <w:r>
        <w:rPr>
          <w:rFonts w:hint="default" w:ascii="Times New Roman" w:hAnsi="Times New Roman" w:eastAsia="宋体" w:cs="Times New Roman"/>
          <w:color w:val="auto"/>
          <w:sz w:val="24"/>
          <w:szCs w:val="28"/>
          <w:highlight w:val="none"/>
        </w:rPr>
        <w:t>河道行洪有所改善。工程建设后有助于提高沟段现有防洪标准，对加快</w:t>
      </w:r>
      <w:r>
        <w:rPr>
          <w:rFonts w:hint="default" w:ascii="Times New Roman" w:hAnsi="Times New Roman" w:eastAsia="宋体" w:cs="Times New Roman"/>
          <w:color w:val="auto"/>
          <w:sz w:val="24"/>
          <w:szCs w:val="28"/>
          <w:highlight w:val="none"/>
          <w:lang w:val="en-US" w:eastAsia="zh-CN"/>
        </w:rPr>
        <w:t>项目</w:t>
      </w:r>
      <w:r>
        <w:rPr>
          <w:rFonts w:hint="default" w:ascii="Times New Roman" w:hAnsi="Times New Roman" w:eastAsia="宋体" w:cs="Times New Roman"/>
          <w:color w:val="auto"/>
          <w:sz w:val="24"/>
          <w:szCs w:val="28"/>
          <w:highlight w:val="none"/>
        </w:rPr>
        <w:t>区基础设施建设和促进社会经济可持续发展起到重要的作用。</w:t>
      </w:r>
    </w:p>
    <w:p w14:paraId="3A6595BF">
      <w:pPr>
        <w:spacing w:line="360" w:lineRule="auto"/>
        <w:ind w:firstLine="482" w:firstLineChars="200"/>
        <w:rPr>
          <w:rFonts w:hint="default" w:ascii="Times New Roman" w:hAnsi="Times New Roman" w:eastAsia="宋体" w:cs="Times New Roman"/>
          <w:b/>
          <w:bCs/>
          <w:color w:val="auto"/>
          <w:sz w:val="24"/>
          <w:szCs w:val="28"/>
          <w:highlight w:val="none"/>
        </w:rPr>
      </w:pPr>
      <w:r>
        <w:rPr>
          <w:rFonts w:hint="eastAsia" w:cs="Times New Roman"/>
          <w:b/>
          <w:bCs/>
          <w:color w:val="auto"/>
          <w:sz w:val="24"/>
          <w:szCs w:val="28"/>
          <w:highlight w:val="none"/>
          <w:lang w:eastAsia="zh-CN"/>
        </w:rPr>
        <w:t>4.</w:t>
      </w:r>
      <w:r>
        <w:rPr>
          <w:rFonts w:hint="default" w:ascii="Times New Roman" w:hAnsi="Times New Roman" w:eastAsia="宋体" w:cs="Times New Roman"/>
          <w:b/>
          <w:bCs/>
          <w:color w:val="auto"/>
          <w:sz w:val="24"/>
          <w:szCs w:val="28"/>
          <w:highlight w:val="none"/>
        </w:rPr>
        <w:t>对生态景观影响分析</w:t>
      </w:r>
    </w:p>
    <w:p w14:paraId="44BAC579">
      <w:pPr>
        <w:bidi w:val="0"/>
        <w:rPr>
          <w:rFonts w:hint="default" w:ascii="Times New Roman" w:hAnsi="Times New Roman" w:cs="Times New Roman"/>
          <w:color w:val="auto"/>
          <w:sz w:val="28"/>
          <w:szCs w:val="28"/>
          <w:highlight w:val="none"/>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z w:val="24"/>
          <w:szCs w:val="28"/>
          <w:highlight w:val="none"/>
        </w:rPr>
        <w:t>本次工程通过种植林草对项目区生态进行修复，种植生态林2.21公顷</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位于一期巡检道路两侧</w:t>
      </w:r>
      <w:r>
        <w:rPr>
          <w:rFonts w:hint="default" w:ascii="Times New Roman" w:hAnsi="Times New Roman" w:eastAsia="宋体" w:cs="Times New Roman"/>
          <w:color w:val="auto"/>
          <w:sz w:val="24"/>
          <w:szCs w:val="28"/>
          <w:highlight w:val="none"/>
          <w:lang w:eastAsia="zh-CN"/>
        </w:rPr>
        <w:t>栽植</w:t>
      </w:r>
      <w:r>
        <w:rPr>
          <w:rFonts w:hint="default" w:ascii="Times New Roman" w:hAnsi="Times New Roman" w:eastAsia="宋体" w:cs="Times New Roman"/>
          <w:color w:val="auto"/>
          <w:sz w:val="24"/>
          <w:szCs w:val="28"/>
          <w:highlight w:val="none"/>
        </w:rPr>
        <w:t>红梅杏、山杏、山桃</w:t>
      </w:r>
      <w:r>
        <w:rPr>
          <w:rFonts w:hint="default" w:ascii="Times New Roman" w:hAnsi="Times New Roman" w:eastAsia="宋体" w:cs="Times New Roman"/>
          <w:color w:val="auto"/>
          <w:sz w:val="24"/>
          <w:szCs w:val="28"/>
          <w:highlight w:val="none"/>
          <w:lang w:eastAsia="zh-CN"/>
        </w:rPr>
        <w:t>等低矮乔木</w:t>
      </w:r>
      <w:r>
        <w:rPr>
          <w:rFonts w:hint="default" w:ascii="Times New Roman" w:hAnsi="Times New Roman" w:eastAsia="宋体" w:cs="Times New Roman"/>
          <w:color w:val="auto"/>
          <w:sz w:val="24"/>
          <w:szCs w:val="28"/>
          <w:highlight w:val="none"/>
        </w:rPr>
        <w:t>；</w:t>
      </w:r>
      <w:r>
        <w:rPr>
          <w:rFonts w:hint="default" w:ascii="Times New Roman" w:hAnsi="Times New Roman" w:eastAsia="宋体" w:cs="Times New Roman"/>
          <w:color w:val="auto"/>
          <w:sz w:val="24"/>
          <w:szCs w:val="28"/>
          <w:highlight w:val="none"/>
          <w:lang w:eastAsia="zh-CN"/>
        </w:rPr>
        <w:t>并在工程全段</w:t>
      </w:r>
      <w:r>
        <w:rPr>
          <w:rFonts w:hint="default" w:ascii="Times New Roman" w:hAnsi="Times New Roman" w:eastAsia="宋体" w:cs="Times New Roman"/>
          <w:color w:val="auto"/>
          <w:sz w:val="24"/>
          <w:szCs w:val="28"/>
          <w:highlight w:val="none"/>
        </w:rPr>
        <w:t>播撒草籽</w:t>
      </w:r>
      <w:r>
        <w:rPr>
          <w:rFonts w:hint="default" w:ascii="Times New Roman" w:hAnsi="Times New Roman" w:eastAsia="宋体" w:cs="Times New Roman"/>
          <w:color w:val="auto"/>
          <w:sz w:val="24"/>
          <w:szCs w:val="28"/>
          <w:highlight w:val="none"/>
          <w:lang w:eastAsia="zh-CN"/>
        </w:rPr>
        <w:t>，共计</w:t>
      </w:r>
      <w:r>
        <w:rPr>
          <w:rFonts w:hint="default" w:ascii="Times New Roman" w:hAnsi="Times New Roman" w:eastAsia="宋体" w:cs="Times New Roman"/>
          <w:color w:val="auto"/>
          <w:sz w:val="24"/>
          <w:szCs w:val="28"/>
          <w:highlight w:val="none"/>
        </w:rPr>
        <w:t>13.35公顷</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其中一期工程播撒草籽6.55公顷，位于河道护岸上；二期播撒草籽6.8公顷，位于堆土场内。</w:t>
      </w:r>
      <w:r>
        <w:rPr>
          <w:rFonts w:hint="default" w:ascii="Times New Roman" w:hAnsi="Times New Roman" w:eastAsia="宋体" w:cs="Times New Roman"/>
          <w:color w:val="auto"/>
          <w:sz w:val="24"/>
          <w:szCs w:val="28"/>
          <w:highlight w:val="none"/>
          <w:lang w:eastAsia="zh-CN"/>
        </w:rPr>
        <w:t>生态修复</w:t>
      </w:r>
      <w:r>
        <w:rPr>
          <w:rFonts w:hint="default" w:ascii="Times New Roman" w:hAnsi="Times New Roman" w:eastAsia="宋体" w:cs="Times New Roman"/>
          <w:color w:val="auto"/>
          <w:sz w:val="24"/>
          <w:szCs w:val="28"/>
          <w:highlight w:val="none"/>
          <w:lang w:val="en-US" w:eastAsia="zh-CN"/>
        </w:rPr>
        <w:t>将有效提高</w:t>
      </w:r>
      <w:r>
        <w:rPr>
          <w:rFonts w:hint="default" w:ascii="Times New Roman" w:hAnsi="Times New Roman" w:eastAsia="宋体" w:cs="Times New Roman"/>
          <w:color w:val="auto"/>
          <w:sz w:val="24"/>
          <w:szCs w:val="28"/>
          <w:highlight w:val="none"/>
        </w:rPr>
        <w:t>河道两岸植被覆盖率</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lang w:val="en-US" w:eastAsia="zh-CN"/>
        </w:rPr>
        <w:t>合理布设周边</w:t>
      </w:r>
      <w:r>
        <w:rPr>
          <w:rFonts w:hint="default" w:ascii="Times New Roman" w:hAnsi="Times New Roman" w:eastAsia="宋体" w:cs="Times New Roman"/>
          <w:color w:val="auto"/>
          <w:sz w:val="24"/>
          <w:szCs w:val="28"/>
          <w:highlight w:val="none"/>
        </w:rPr>
        <w:t>林草群落结构，</w:t>
      </w:r>
      <w:r>
        <w:rPr>
          <w:rFonts w:hint="default" w:ascii="Times New Roman" w:hAnsi="Times New Roman" w:eastAsia="宋体" w:cs="Times New Roman"/>
          <w:color w:val="auto"/>
          <w:sz w:val="24"/>
          <w:szCs w:val="28"/>
          <w:highlight w:val="none"/>
          <w:lang w:val="en-US" w:eastAsia="zh-CN"/>
        </w:rPr>
        <w:t>有利于降低周边水土流失，完善周边生态系统及水源涵养能力。</w:t>
      </w:r>
    </w:p>
    <w:p w14:paraId="655BEB24">
      <w:pPr>
        <w:pStyle w:val="3"/>
        <w:outlineLvl w:val="0"/>
        <w:rPr>
          <w:rFonts w:hint="default" w:ascii="Times New Roman" w:hAnsi="Times New Roman" w:cs="Times New Roman"/>
          <w:snapToGrid w:val="0"/>
          <w:color w:val="auto"/>
          <w:sz w:val="28"/>
          <w:szCs w:val="28"/>
          <w:highlight w:val="none"/>
        </w:rPr>
      </w:pPr>
      <w:bookmarkStart w:id="3548" w:name="_Toc29163"/>
      <w:bookmarkStart w:id="3549" w:name="_Toc1704"/>
      <w:bookmarkStart w:id="3550" w:name="_Toc21883"/>
      <w:bookmarkStart w:id="3551" w:name="_Toc25414"/>
      <w:r>
        <w:rPr>
          <w:rFonts w:hint="default" w:ascii="Times New Roman" w:hAnsi="Times New Roman" w:cs="Times New Roman"/>
          <w:snapToGrid w:val="0"/>
          <w:color w:val="auto"/>
          <w:sz w:val="28"/>
          <w:szCs w:val="28"/>
          <w:highlight w:val="none"/>
        </w:rPr>
        <w:t>4</w:t>
      </w:r>
      <w:bookmarkStart w:id="3552" w:name="_Hlk158847279"/>
      <w:r>
        <w:rPr>
          <w:rFonts w:hint="default" w:ascii="Times New Roman" w:hAnsi="Times New Roman" w:cs="Times New Roman"/>
          <w:snapToGrid w:val="0"/>
          <w:color w:val="auto"/>
          <w:sz w:val="28"/>
          <w:szCs w:val="28"/>
          <w:highlight w:val="none"/>
        </w:rPr>
        <w:t>区域环境概况</w:t>
      </w:r>
      <w:bookmarkEnd w:id="3548"/>
      <w:bookmarkEnd w:id="3549"/>
      <w:bookmarkEnd w:id="3550"/>
      <w:bookmarkEnd w:id="3551"/>
      <w:bookmarkEnd w:id="3552"/>
    </w:p>
    <w:p w14:paraId="6F9E08D7">
      <w:pPr>
        <w:pStyle w:val="4"/>
        <w:bidi w:val="0"/>
        <w:rPr>
          <w:rFonts w:hint="default" w:ascii="Times New Roman" w:hAnsi="Times New Roman" w:cs="Times New Roman"/>
          <w:color w:val="auto"/>
          <w:sz w:val="28"/>
          <w:szCs w:val="28"/>
          <w:highlight w:val="none"/>
        </w:rPr>
      </w:pPr>
      <w:bookmarkStart w:id="3553" w:name="_Toc21613"/>
      <w:bookmarkStart w:id="3554" w:name="_Toc1897"/>
      <w:bookmarkStart w:id="3555" w:name="_Toc2885"/>
      <w:bookmarkStart w:id="3556" w:name="_Toc27500"/>
      <w:r>
        <w:rPr>
          <w:rFonts w:hint="default" w:ascii="Times New Roman" w:hAnsi="Times New Roman" w:cs="Times New Roman"/>
          <w:color w:val="auto"/>
          <w:sz w:val="28"/>
          <w:szCs w:val="28"/>
          <w:highlight w:val="none"/>
        </w:rPr>
        <w:t>4.1自然环境概况</w:t>
      </w:r>
      <w:bookmarkEnd w:id="3553"/>
      <w:bookmarkEnd w:id="3554"/>
      <w:bookmarkEnd w:id="3555"/>
      <w:bookmarkEnd w:id="3556"/>
    </w:p>
    <w:p w14:paraId="59955F2A">
      <w:pPr>
        <w:pStyle w:val="6"/>
        <w:bidi w:val="0"/>
        <w:rPr>
          <w:rFonts w:hint="default" w:ascii="Times New Roman" w:hAnsi="Times New Roman" w:cs="Times New Roman"/>
          <w:color w:val="auto"/>
          <w:sz w:val="28"/>
          <w:szCs w:val="28"/>
          <w:highlight w:val="none"/>
        </w:rPr>
      </w:pPr>
      <w:bookmarkStart w:id="3557" w:name="_Toc12723"/>
      <w:bookmarkStart w:id="3558" w:name="_Toc13077"/>
      <w:bookmarkStart w:id="3559" w:name="_Toc29772"/>
      <w:r>
        <w:rPr>
          <w:rFonts w:hint="default" w:ascii="Times New Roman" w:hAnsi="Times New Roman" w:cs="Times New Roman"/>
          <w:color w:val="auto"/>
          <w:sz w:val="28"/>
          <w:szCs w:val="28"/>
          <w:highlight w:val="none"/>
        </w:rPr>
        <w:t>4.1.1地理位置</w:t>
      </w:r>
      <w:bookmarkEnd w:id="3557"/>
      <w:bookmarkEnd w:id="3558"/>
      <w:bookmarkEnd w:id="3559"/>
    </w:p>
    <w:p w14:paraId="2501ED27">
      <w:pPr>
        <w:bidi w:val="0"/>
        <w:jc w:val="both"/>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彭阳县，宁夏回族自治区固原市辖县，位于</w:t>
      </w:r>
      <w:r>
        <w:rPr>
          <w:rFonts w:hint="default" w:ascii="Times New Roman" w:hAnsi="Times New Roman" w:cs="Times New Roman"/>
          <w:color w:val="auto"/>
          <w:sz w:val="24"/>
          <w:szCs w:val="24"/>
          <w:highlight w:val="none"/>
          <w:shd w:val="clear" w:color="auto" w:fill="auto"/>
        </w:rPr>
        <w:fldChar w:fldCharType="begin"/>
      </w:r>
      <w:r>
        <w:rPr>
          <w:rFonts w:hint="default" w:ascii="Times New Roman" w:hAnsi="Times New Roman" w:cs="Times New Roman"/>
          <w:color w:val="auto"/>
          <w:sz w:val="24"/>
          <w:szCs w:val="24"/>
          <w:highlight w:val="none"/>
          <w:shd w:val="clear" w:color="auto" w:fill="auto"/>
        </w:rPr>
        <w:instrText xml:space="preserve"> HYPERLINK "https://baike.baidu.com/item/%E5%AE%81%E5%A4%8F%E5%9B%9E%E6%97%8F%E8%87%AA%E6%B2%BB%E5%8C%BA/61753863?fromModule=lemma_inlink" \t "https://baike.baidu.com/item/_blank" </w:instrText>
      </w:r>
      <w:r>
        <w:rPr>
          <w:rFonts w:hint="default" w:ascii="Times New Roman" w:hAnsi="Times New Roman" w:cs="Times New Roman"/>
          <w:color w:val="auto"/>
          <w:sz w:val="24"/>
          <w:szCs w:val="24"/>
          <w:highlight w:val="none"/>
          <w:shd w:val="clear" w:color="auto" w:fill="auto"/>
        </w:rPr>
        <w:fldChar w:fldCharType="separate"/>
      </w:r>
      <w:r>
        <w:rPr>
          <w:rStyle w:val="37"/>
          <w:rFonts w:hint="default" w:ascii="Times New Roman" w:hAnsi="Times New Roman" w:eastAsia="Helvetica" w:cs="Times New Roman"/>
          <w:i w:val="0"/>
          <w:caps w:val="0"/>
          <w:color w:val="auto"/>
          <w:spacing w:val="0"/>
          <w:sz w:val="24"/>
          <w:szCs w:val="24"/>
          <w:highlight w:val="none"/>
          <w:u w:val="none"/>
          <w:shd w:val="clear" w:color="auto" w:fill="auto"/>
        </w:rPr>
        <w:t>宁夏回族自治区</w:t>
      </w:r>
      <w:r>
        <w:rPr>
          <w:rFonts w:hint="default" w:ascii="Times New Roman" w:hAnsi="Times New Roman" w:cs="Times New Roman"/>
          <w:color w:val="auto"/>
          <w:sz w:val="24"/>
          <w:szCs w:val="24"/>
          <w:highlight w:val="none"/>
          <w:shd w:val="clear" w:color="auto" w:fill="auto"/>
        </w:rPr>
        <w:fldChar w:fldCharType="end"/>
      </w:r>
      <w:r>
        <w:rPr>
          <w:rFonts w:hint="default" w:ascii="Times New Roman" w:hAnsi="Times New Roman" w:cs="Times New Roman"/>
          <w:color w:val="auto"/>
          <w:sz w:val="24"/>
          <w:szCs w:val="24"/>
          <w:highlight w:val="none"/>
          <w:shd w:val="clear" w:color="auto" w:fill="auto"/>
        </w:rPr>
        <w:t>南部、</w:t>
      </w:r>
      <w:r>
        <w:rPr>
          <w:rFonts w:hint="default" w:ascii="Times New Roman" w:hAnsi="Times New Roman" w:cs="Times New Roman"/>
          <w:color w:val="auto"/>
          <w:sz w:val="24"/>
          <w:szCs w:val="24"/>
          <w:highlight w:val="none"/>
          <w:shd w:val="clear" w:color="auto" w:fill="auto"/>
        </w:rPr>
        <w:fldChar w:fldCharType="begin"/>
      </w:r>
      <w:r>
        <w:rPr>
          <w:rFonts w:hint="default" w:ascii="Times New Roman" w:hAnsi="Times New Roman" w:cs="Times New Roman"/>
          <w:color w:val="auto"/>
          <w:sz w:val="24"/>
          <w:szCs w:val="24"/>
          <w:highlight w:val="none"/>
          <w:shd w:val="clear" w:color="auto" w:fill="auto"/>
        </w:rPr>
        <w:instrText xml:space="preserve"> HYPERLINK "https://baike.baidu.com/item/%E5%9B%BA%E5%8E%9F%E5%B8%82/9388254?fromModule=lemma_inlink" \t "https://baike.baidu.com/item/_blank" </w:instrText>
      </w:r>
      <w:r>
        <w:rPr>
          <w:rFonts w:hint="default" w:ascii="Times New Roman" w:hAnsi="Times New Roman" w:cs="Times New Roman"/>
          <w:color w:val="auto"/>
          <w:sz w:val="24"/>
          <w:szCs w:val="24"/>
          <w:highlight w:val="none"/>
          <w:shd w:val="clear" w:color="auto" w:fill="auto"/>
        </w:rPr>
        <w:fldChar w:fldCharType="separate"/>
      </w:r>
      <w:r>
        <w:rPr>
          <w:rStyle w:val="37"/>
          <w:rFonts w:hint="default" w:ascii="Times New Roman" w:hAnsi="Times New Roman" w:eastAsia="Helvetica" w:cs="Times New Roman"/>
          <w:i w:val="0"/>
          <w:caps w:val="0"/>
          <w:color w:val="auto"/>
          <w:spacing w:val="0"/>
          <w:sz w:val="24"/>
          <w:szCs w:val="24"/>
          <w:highlight w:val="none"/>
          <w:u w:val="none"/>
          <w:shd w:val="clear" w:color="auto" w:fill="auto"/>
        </w:rPr>
        <w:t>固原市</w:t>
      </w:r>
      <w:r>
        <w:rPr>
          <w:rFonts w:hint="default" w:ascii="Times New Roman" w:hAnsi="Times New Roman" w:cs="Times New Roman"/>
          <w:color w:val="auto"/>
          <w:sz w:val="24"/>
          <w:szCs w:val="24"/>
          <w:highlight w:val="none"/>
          <w:shd w:val="clear" w:color="auto" w:fill="auto"/>
        </w:rPr>
        <w:fldChar w:fldCharType="end"/>
      </w:r>
      <w:r>
        <w:rPr>
          <w:rFonts w:hint="default" w:ascii="Times New Roman" w:hAnsi="Times New Roman" w:cs="Times New Roman"/>
          <w:color w:val="auto"/>
          <w:sz w:val="24"/>
          <w:szCs w:val="24"/>
          <w:highlight w:val="none"/>
          <w:shd w:val="clear" w:color="auto" w:fill="auto"/>
        </w:rPr>
        <w:t>东部，地处</w:t>
      </w:r>
      <w:r>
        <w:rPr>
          <w:rFonts w:hint="default" w:ascii="Times New Roman" w:hAnsi="Times New Roman" w:cs="Times New Roman"/>
          <w:color w:val="auto"/>
          <w:sz w:val="24"/>
          <w:szCs w:val="24"/>
          <w:highlight w:val="none"/>
          <w:shd w:val="clear" w:color="auto" w:fill="auto"/>
        </w:rPr>
        <w:fldChar w:fldCharType="begin"/>
      </w:r>
      <w:r>
        <w:rPr>
          <w:rFonts w:hint="default" w:ascii="Times New Roman" w:hAnsi="Times New Roman" w:cs="Times New Roman"/>
          <w:color w:val="auto"/>
          <w:sz w:val="24"/>
          <w:szCs w:val="24"/>
          <w:highlight w:val="none"/>
          <w:shd w:val="clear" w:color="auto" w:fill="auto"/>
        </w:rPr>
        <w:instrText xml:space="preserve"> HYPERLINK "https://baike.baidu.com/item/%E9%BB%84%E5%9C%9F%E9%AB%98%E5%8E%9F/198310?fromModule=lemma_inlink" \t "https://baike.baidu.com/item/_blank" </w:instrText>
      </w:r>
      <w:r>
        <w:rPr>
          <w:rFonts w:hint="default" w:ascii="Times New Roman" w:hAnsi="Times New Roman" w:cs="Times New Roman"/>
          <w:color w:val="auto"/>
          <w:sz w:val="24"/>
          <w:szCs w:val="24"/>
          <w:highlight w:val="none"/>
          <w:shd w:val="clear" w:color="auto" w:fill="auto"/>
        </w:rPr>
        <w:fldChar w:fldCharType="separate"/>
      </w:r>
      <w:r>
        <w:rPr>
          <w:rStyle w:val="37"/>
          <w:rFonts w:hint="default" w:ascii="Times New Roman" w:hAnsi="Times New Roman" w:eastAsia="Helvetica" w:cs="Times New Roman"/>
          <w:i w:val="0"/>
          <w:caps w:val="0"/>
          <w:color w:val="auto"/>
          <w:spacing w:val="0"/>
          <w:sz w:val="24"/>
          <w:szCs w:val="24"/>
          <w:highlight w:val="none"/>
          <w:u w:val="none"/>
          <w:shd w:val="clear" w:color="auto" w:fill="auto"/>
        </w:rPr>
        <w:t>黄土高原</w:t>
      </w:r>
      <w:r>
        <w:rPr>
          <w:rFonts w:hint="default" w:ascii="Times New Roman" w:hAnsi="Times New Roman" w:cs="Times New Roman"/>
          <w:color w:val="auto"/>
          <w:sz w:val="24"/>
          <w:szCs w:val="24"/>
          <w:highlight w:val="none"/>
          <w:shd w:val="clear" w:color="auto" w:fill="auto"/>
        </w:rPr>
        <w:fldChar w:fldCharType="end"/>
      </w:r>
      <w:r>
        <w:rPr>
          <w:rFonts w:hint="default" w:ascii="Times New Roman" w:hAnsi="Times New Roman" w:cs="Times New Roman"/>
          <w:color w:val="auto"/>
          <w:sz w:val="24"/>
          <w:szCs w:val="24"/>
          <w:highlight w:val="none"/>
          <w:shd w:val="clear" w:color="auto" w:fill="auto"/>
        </w:rPr>
        <w:t>中部丘陵沟壑区，属温带半干旱大陆性季风气候，毗邻5个县（区），总面积2533.49km</w:t>
      </w:r>
      <w:r>
        <w:rPr>
          <w:rFonts w:hint="default" w:ascii="Times New Roman" w:hAnsi="Times New Roman" w:cs="Times New Roman"/>
          <w:color w:val="auto"/>
          <w:sz w:val="24"/>
          <w:szCs w:val="24"/>
          <w:highlight w:val="none"/>
          <w:shd w:val="clear" w:color="auto" w:fill="auto"/>
          <w:vertAlign w:val="superscript"/>
        </w:rPr>
        <w:t>2</w:t>
      </w:r>
      <w:r>
        <w:rPr>
          <w:rFonts w:hint="default" w:ascii="Times New Roman" w:hAnsi="Times New Roman" w:cs="Times New Roman"/>
          <w:color w:val="auto"/>
          <w:sz w:val="24"/>
          <w:szCs w:val="24"/>
          <w:highlight w:val="none"/>
          <w:shd w:val="clear" w:color="auto" w:fill="auto"/>
        </w:rPr>
        <w:t>。</w:t>
      </w:r>
    </w:p>
    <w:p w14:paraId="668BD97B">
      <w:pPr>
        <w:bidi w:val="0"/>
        <w:jc w:val="both"/>
        <w:rPr>
          <w:rFonts w:hint="default" w:ascii="Times New Roman" w:hAnsi="Times New Roman" w:eastAsia="宋体" w:cs="Times New Roman"/>
          <w:color w:val="auto"/>
          <w:sz w:val="24"/>
          <w:szCs w:val="24"/>
          <w:highlight w:val="none"/>
          <w:shd w:val="clear" w:color="auto" w:fill="auto"/>
          <w:lang w:eastAsia="zh-CN"/>
        </w:rPr>
      </w:pPr>
      <w:r>
        <w:rPr>
          <w:rFonts w:hint="eastAsia" w:cs="Times New Roman"/>
          <w:color w:val="auto"/>
          <w:sz w:val="24"/>
          <w:szCs w:val="24"/>
          <w:highlight w:val="none"/>
          <w:shd w:val="clear" w:color="auto" w:fill="auto"/>
          <w:lang w:eastAsia="zh-CN"/>
        </w:rPr>
        <w:t>本工程</w:t>
      </w:r>
      <w:r>
        <w:rPr>
          <w:rFonts w:hint="default" w:ascii="Times New Roman" w:hAnsi="Times New Roman" w:cs="Times New Roman"/>
          <w:color w:val="auto"/>
          <w:sz w:val="24"/>
          <w:szCs w:val="24"/>
          <w:highlight w:val="none"/>
          <w:shd w:val="clear" w:color="auto" w:fill="auto"/>
          <w:lang w:eastAsia="zh-CN"/>
        </w:rPr>
        <w:t>位于</w:t>
      </w:r>
      <w:r>
        <w:rPr>
          <w:rFonts w:hint="default" w:ascii="Times New Roman" w:hAnsi="Times New Roman" w:cs="Times New Roman"/>
          <w:color w:val="auto"/>
          <w:highlight w:val="none"/>
        </w:rPr>
        <w:t>彭阳县古城镇和白阳镇</w:t>
      </w:r>
      <w:r>
        <w:rPr>
          <w:rFonts w:hint="default" w:ascii="Times New Roman" w:hAnsi="Times New Roman" w:cs="Times New Roman"/>
          <w:color w:val="auto"/>
          <w:highlight w:val="none"/>
          <w:lang w:eastAsia="zh-CN"/>
        </w:rPr>
        <w:t>的茹河小河段。</w:t>
      </w:r>
    </w:p>
    <w:p w14:paraId="0DAD88F2">
      <w:pPr>
        <w:pStyle w:val="6"/>
        <w:bidi w:val="0"/>
        <w:rPr>
          <w:rFonts w:hint="default" w:ascii="Times New Roman" w:hAnsi="Times New Roman" w:cs="Times New Roman"/>
          <w:color w:val="auto"/>
          <w:sz w:val="28"/>
          <w:szCs w:val="28"/>
          <w:highlight w:val="none"/>
        </w:rPr>
      </w:pPr>
      <w:bookmarkStart w:id="3560" w:name="_Toc9849"/>
      <w:bookmarkStart w:id="3561" w:name="_Toc3025"/>
      <w:bookmarkStart w:id="3562" w:name="_Toc4505"/>
      <w:r>
        <w:rPr>
          <w:rFonts w:hint="default" w:ascii="Times New Roman" w:hAnsi="Times New Roman" w:cs="Times New Roman"/>
          <w:color w:val="auto"/>
          <w:sz w:val="28"/>
          <w:szCs w:val="28"/>
          <w:highlight w:val="none"/>
          <w:lang w:val="en-US" w:eastAsia="zh-CN"/>
        </w:rPr>
        <w:t>4.1.2</w:t>
      </w:r>
      <w:r>
        <w:rPr>
          <w:rFonts w:hint="default" w:ascii="Times New Roman" w:hAnsi="Times New Roman" w:cs="Times New Roman"/>
          <w:color w:val="auto"/>
          <w:sz w:val="28"/>
          <w:szCs w:val="28"/>
          <w:highlight w:val="none"/>
        </w:rPr>
        <w:t>地质构造</w:t>
      </w:r>
      <w:bookmarkEnd w:id="3560"/>
      <w:bookmarkEnd w:id="3561"/>
      <w:bookmarkEnd w:id="3562"/>
    </w:p>
    <w:p w14:paraId="39B9705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该地区属祁吕贺兰山字型构造体系。该构造体系在宁夏仅出露山字型构造体系的脊柱——贺兰褶带。它位于祁吕弧形褶带的正北方向，南起甘肃省平凉，向北经宁夏到内蒙古桌子山以北地区。其构造成分散布在东经105-107°之间，南北长约500km，东西宽约70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20km，呈北宽南窄之楔形，其范围约占宁夏总面积的2/3，由一系列走向南——北的挤压性断裂和褶皱组成，为一狭长构造带。</w:t>
      </w:r>
    </w:p>
    <w:p w14:paraId="7916215B">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罗洼——彭阳断裂，断裂的南、北两段均延入甘肃省境内。它广泛被新生界覆盖。该断裂断面西倾，倾角60-70°，上盘奥陶纪泥灰岩向东仰冲，并使下盘中生代地层产生走向南北的褶皱。中生代地层自北至南、由东向西依次超覆现象；中生代地层沉积厚度在断裂东侧远比西侧厚。该断裂断距在北部可达2000m，向南渐减。</w:t>
      </w:r>
    </w:p>
    <w:p w14:paraId="57E5DDF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贺家川</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古城断裂，它展布于贺家川</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古城一线，向北大致可与蟠龙坡、下马关断裂相连接，向南进入甘肃境内。沿断裂走向，在地表形成明显的断层陡坎和沟谷。推测此断裂形成于晚燕山期，喜马拉雅期仍有活动。</w:t>
      </w:r>
    </w:p>
    <w:p w14:paraId="0082108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三关口</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牛首山</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固原断裂（小关山东麓断裂），沿小关山东麓展布，断裂北起铺湾以北，向南经海子口、谢家寨、蒿店、向阳至沙南一带，长约60km；为一条断面向西倾斜，倾角50°～70°的逆断层。上盘主要为下白垩统构成的小关山，下盘在断裂中段为第三系红层，南、北两段则发育于下白垩统中。与六盘山东麓断裂相比，小关山东麓断裂两盘地貌差异不明显。</w:t>
      </w:r>
    </w:p>
    <w:p w14:paraId="00ADF95E">
      <w:pPr>
        <w:pStyle w:val="6"/>
        <w:bidi w:val="0"/>
        <w:rPr>
          <w:rFonts w:hint="default" w:ascii="Times New Roman" w:hAnsi="Times New Roman" w:eastAsia="宋体" w:cs="Times New Roman"/>
          <w:color w:val="auto"/>
          <w:sz w:val="28"/>
          <w:szCs w:val="28"/>
          <w:highlight w:val="none"/>
          <w:lang w:val="en-US" w:eastAsia="zh-CN"/>
        </w:rPr>
      </w:pPr>
      <w:bookmarkStart w:id="3563" w:name="_Toc5784"/>
      <w:r>
        <w:rPr>
          <w:rFonts w:hint="default" w:ascii="Times New Roman" w:hAnsi="Times New Roman" w:eastAsia="宋体" w:cs="Times New Roman"/>
          <w:color w:val="auto"/>
          <w:sz w:val="28"/>
          <w:szCs w:val="28"/>
          <w:highlight w:val="none"/>
          <w:lang w:val="en-US" w:eastAsia="zh-CN"/>
        </w:rPr>
        <w:t>4.1.3地层岩性</w:t>
      </w:r>
      <w:bookmarkEnd w:id="3563"/>
    </w:p>
    <w:p w14:paraId="13A2489C">
      <w:pPr>
        <w:spacing w:line="360" w:lineRule="auto"/>
        <w:ind w:firstLine="480"/>
        <w:rPr>
          <w:rFonts w:hint="default" w:ascii="Times New Roman" w:hAnsi="Times New Roman" w:cs="Times New Roman"/>
          <w:color w:val="auto"/>
          <w:sz w:val="24"/>
          <w:highlight w:val="none"/>
        </w:rPr>
      </w:pPr>
      <w:bookmarkStart w:id="3564" w:name="OLE_LINK21"/>
      <w:r>
        <w:rPr>
          <w:rFonts w:hint="default" w:ascii="Times New Roman" w:hAnsi="Times New Roman" w:cs="Times New Roman"/>
          <w:color w:val="auto"/>
          <w:sz w:val="24"/>
          <w:highlight w:val="none"/>
        </w:rPr>
        <w:t>（1）第四系全新统（Q</w:t>
      </w:r>
      <w:r>
        <w:rPr>
          <w:rFonts w:hint="default" w:ascii="Times New Roman" w:hAnsi="Times New Roman" w:cs="Times New Roman"/>
          <w:color w:val="auto"/>
          <w:sz w:val="24"/>
          <w:highlight w:val="none"/>
          <w:vertAlign w:val="subscript"/>
        </w:rPr>
        <w:t>4</w:t>
      </w:r>
      <w:r>
        <w:rPr>
          <w:rFonts w:hint="default" w:ascii="Times New Roman" w:hAnsi="Times New Roman" w:cs="Times New Roman"/>
          <w:color w:val="auto"/>
          <w:sz w:val="24"/>
          <w:highlight w:val="none"/>
          <w:vertAlign w:val="superscript"/>
        </w:rPr>
        <w:t>2apl</w:t>
      </w:r>
      <w:r>
        <w:rPr>
          <w:rFonts w:hint="default" w:ascii="Times New Roman" w:hAnsi="Times New Roman" w:cs="Times New Roman"/>
          <w:color w:val="auto"/>
          <w:sz w:val="24"/>
          <w:highlight w:val="none"/>
        </w:rPr>
        <w:t>）角砾：主要分布在河床及河漫滩，杂色、稍密，呈次棱角状，一般粒径5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20mm，大于2mm粒径占总重的80%以上，成分为砂岩、泥灰岩，充填物以砂类为主。</w:t>
      </w:r>
    </w:p>
    <w:p w14:paraId="1A17FC6C">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（2）第四系全新统角砾（Q</w:t>
      </w:r>
      <w:r>
        <w:rPr>
          <w:rFonts w:hint="default" w:ascii="Times New Roman" w:hAnsi="Times New Roman" w:cs="Times New Roman"/>
          <w:color w:val="auto"/>
          <w:sz w:val="24"/>
          <w:highlight w:val="none"/>
          <w:vertAlign w:val="subscript"/>
        </w:rPr>
        <w:t>4</w:t>
      </w:r>
      <w:r>
        <w:rPr>
          <w:rFonts w:hint="default" w:ascii="Times New Roman" w:hAnsi="Times New Roman" w:cs="Times New Roman"/>
          <w:color w:val="auto"/>
          <w:sz w:val="24"/>
          <w:highlight w:val="none"/>
          <w:vertAlign w:val="superscript"/>
        </w:rPr>
        <w:t>1al</w:t>
      </w:r>
      <w:r>
        <w:rPr>
          <w:rFonts w:hint="default" w:ascii="Times New Roman" w:hAnsi="Times New Roman" w:cs="Times New Roman"/>
          <w:color w:val="auto"/>
          <w:sz w:val="24"/>
          <w:highlight w:val="none"/>
        </w:rPr>
        <w:t>）：主要分布在河道两岸的阶地上，杂色，稍密状态，次棱角状，一般粒径2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20mm，大于2mm以上的粒径占总重的</w:t>
      </w:r>
      <w:r>
        <w:rPr>
          <w:rFonts w:hint="eastAsia" w:cs="Times New Roman"/>
          <w:color w:val="auto"/>
          <w:sz w:val="24"/>
          <w:highlight w:val="none"/>
          <w:lang w:eastAsia="zh-CN"/>
        </w:rPr>
        <w:t>60%—70%</w:t>
      </w:r>
      <w:r>
        <w:rPr>
          <w:rFonts w:hint="default" w:ascii="Times New Roman" w:hAnsi="Times New Roman" w:cs="Times New Roman"/>
          <w:color w:val="auto"/>
          <w:sz w:val="24"/>
          <w:highlight w:val="none"/>
        </w:rPr>
        <w:t>，最大粒径5cm，成分为泥灰岩、砂岩等，细砂等充填。</w:t>
      </w:r>
    </w:p>
    <w:p w14:paraId="5B1536F3">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（3）第四系全新统（Q</w:t>
      </w:r>
      <w:r>
        <w:rPr>
          <w:rFonts w:hint="default" w:ascii="Times New Roman" w:hAnsi="Times New Roman" w:cs="Times New Roman"/>
          <w:color w:val="auto"/>
          <w:sz w:val="24"/>
          <w:highlight w:val="none"/>
          <w:vertAlign w:val="subscript"/>
        </w:rPr>
        <w:t>4</w:t>
      </w:r>
      <w:r>
        <w:rPr>
          <w:rFonts w:hint="default" w:ascii="Times New Roman" w:hAnsi="Times New Roman" w:cs="Times New Roman"/>
          <w:color w:val="auto"/>
          <w:sz w:val="24"/>
          <w:highlight w:val="none"/>
          <w:vertAlign w:val="superscript"/>
        </w:rPr>
        <w:t>1al</w:t>
      </w:r>
      <w:r>
        <w:rPr>
          <w:rFonts w:hint="default" w:ascii="Times New Roman" w:hAnsi="Times New Roman" w:cs="Times New Roman"/>
          <w:color w:val="auto"/>
          <w:sz w:val="24"/>
          <w:highlight w:val="none"/>
        </w:rPr>
        <w:t>）壤土：主要分布在河道两岸的阶地上，土黄色，黄褐色，稍湿—湿，硬塑—坚硬状态，具层理，层位连续分布。</w:t>
      </w:r>
    </w:p>
    <w:p w14:paraId="1C447323">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（4）第四系上更新统（Q</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vertAlign w:val="superscript"/>
        </w:rPr>
        <w:t>m</w:t>
      </w:r>
      <w:r>
        <w:rPr>
          <w:rFonts w:hint="default" w:ascii="Times New Roman" w:hAnsi="Times New Roman" w:cs="Times New Roman"/>
          <w:color w:val="auto"/>
          <w:sz w:val="24"/>
          <w:highlight w:val="none"/>
        </w:rPr>
        <w:t>）黄土：主要分布在河道两岸的阶地上，土黄色，黄褐色，稍湿—湿，硬塑—坚硬状态，垂直节理发育，可见大孔隙，具湿陷性。</w:t>
      </w:r>
    </w:p>
    <w:p w14:paraId="743ACEFE">
      <w:pPr>
        <w:snapToGrid w:val="0"/>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（5）新近系中新统彰恩堡组</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N</w:t>
      </w:r>
      <w:r>
        <w:rPr>
          <w:rFonts w:hint="default" w:ascii="Times New Roman" w:hAnsi="Times New Roman" w:cs="Times New Roman"/>
          <w:color w:val="auto"/>
          <w:sz w:val="24"/>
          <w:highlight w:val="none"/>
          <w:vertAlign w:val="subscript"/>
        </w:rPr>
        <w:t>1z</w:t>
      </w:r>
      <w:r>
        <w:rPr>
          <w:rFonts w:hint="eastAsia" w:cs="Times New Roman"/>
          <w:color w:val="auto"/>
          <w:sz w:val="24"/>
          <w:highlight w:val="none"/>
          <w:vertAlign w:val="subscript"/>
          <w:lang w:eastAsia="zh-CN"/>
        </w:rPr>
        <w:t>）</w:t>
      </w:r>
      <w:r>
        <w:rPr>
          <w:rFonts w:hint="default" w:ascii="Times New Roman" w:hAnsi="Times New Roman" w:cs="Times New Roman"/>
          <w:color w:val="auto"/>
          <w:sz w:val="24"/>
          <w:highlight w:val="none"/>
        </w:rPr>
        <w:t>泥岩：桔红色，属湖泊相沉积，泥质结构，厚层状，层状构造。岩体产状近于水平。岩芯晾晒1小时后，开始崩解。强风化厚度约1.5—2.0m，岩体软化；弱风化厚度约1.5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2.0m。</w:t>
      </w:r>
    </w:p>
    <w:bookmarkEnd w:id="3564"/>
    <w:p w14:paraId="3EC97C36">
      <w:pPr>
        <w:pStyle w:val="6"/>
        <w:bidi w:val="0"/>
        <w:ind w:left="0" w:leftChars="0" w:firstLine="0" w:firstLineChars="0"/>
        <w:rPr>
          <w:rFonts w:hint="default" w:ascii="Times New Roman" w:hAnsi="Times New Roman" w:cs="Times New Roman"/>
          <w:color w:val="auto"/>
          <w:sz w:val="28"/>
          <w:szCs w:val="28"/>
          <w:highlight w:val="none"/>
          <w:lang w:val="en-US" w:eastAsia="zh-CN"/>
        </w:rPr>
      </w:pPr>
      <w:bookmarkStart w:id="3565" w:name="_Toc30851"/>
      <w:bookmarkStart w:id="3566" w:name="_Toc30410"/>
      <w:bookmarkStart w:id="3567" w:name="_Toc27156"/>
      <w:r>
        <w:rPr>
          <w:rFonts w:hint="default" w:ascii="Times New Roman" w:hAnsi="Times New Roman" w:cs="Times New Roman"/>
          <w:color w:val="auto"/>
          <w:sz w:val="28"/>
          <w:szCs w:val="28"/>
          <w:highlight w:val="none"/>
          <w:lang w:val="en-US" w:eastAsia="zh-CN"/>
        </w:rPr>
        <w:t>4.1.4地形地貌</w:t>
      </w:r>
      <w:bookmarkEnd w:id="3565"/>
      <w:bookmarkEnd w:id="3566"/>
      <w:bookmarkEnd w:id="3567"/>
    </w:p>
    <w:p w14:paraId="15FF4D8D">
      <w:pPr>
        <w:spacing w:line="360" w:lineRule="auto"/>
        <w:ind w:firstLine="482"/>
        <w:rPr>
          <w:rFonts w:hint="default" w:ascii="Times New Roman" w:hAnsi="Times New Roman" w:cs="Times New Roman"/>
          <w:color w:val="auto"/>
          <w:sz w:val="24"/>
          <w:highlight w:val="none"/>
        </w:rPr>
      </w:pPr>
      <w:bookmarkStart w:id="3568" w:name="_Toc30643"/>
      <w:bookmarkStart w:id="3569" w:name="_Toc30368"/>
      <w:r>
        <w:rPr>
          <w:rFonts w:hint="default" w:ascii="Times New Roman" w:hAnsi="Times New Roman" w:cs="Times New Roman"/>
          <w:color w:val="auto"/>
          <w:sz w:val="24"/>
          <w:highlight w:val="none"/>
        </w:rPr>
        <w:t>彭阳县境内山峦重叠，沟壑纵横，属典型的黄土丘陵地貌，其间有河谷川塬及残塬分布，西南靠近六盘山麓，有土石丘陵分布。</w:t>
      </w:r>
      <w:r>
        <w:rPr>
          <w:rFonts w:hint="eastAsia" w:cs="Times New Roman"/>
          <w:color w:val="auto"/>
          <w:sz w:val="24"/>
          <w:highlight w:val="none"/>
          <w:lang w:eastAsia="zh-CN"/>
        </w:rPr>
        <w:t>海拔</w:t>
      </w:r>
      <w:r>
        <w:rPr>
          <w:rFonts w:hint="default" w:ascii="Times New Roman" w:hAnsi="Times New Roman" w:cs="Times New Roman"/>
          <w:color w:val="auto"/>
          <w:sz w:val="24"/>
          <w:highlight w:val="none"/>
        </w:rPr>
        <w:t>在1248m～2418m之间，地形西北高、东南低，由西北向东南呈坡状倾斜。县内茹河（小河段）、茹河、蒲河纵横东西（均流入泾河）。三河流域形成以六块残塬、二条长川，一条碎陵狭长河谷为主体，五条大沟，100多条小沟组成的群山迭起，沟壑纵横的复杂地貌。全县黄土丘陵和土石丘陵坡地面积大，是产生水土流失的主要区域。按地貌类型大致可划分为三个主要类型区，北部为黄土丘陵区，地势起伏，沟壑纵横；中部为河谷残塬区，地势平坦，川塬相间；西南部为土石质山区，地势陡峭。</w:t>
      </w:r>
    </w:p>
    <w:p w14:paraId="624F1841">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茹河流域地形起伏较大，</w:t>
      </w:r>
      <w:r>
        <w:rPr>
          <w:rFonts w:hint="eastAsia" w:cs="Times New Roman"/>
          <w:color w:val="auto"/>
          <w:sz w:val="24"/>
          <w:highlight w:val="none"/>
          <w:lang w:eastAsia="zh-CN"/>
        </w:rPr>
        <w:t>沟壑纵横</w:t>
      </w:r>
      <w:r>
        <w:rPr>
          <w:rFonts w:hint="default" w:ascii="Times New Roman" w:hAnsi="Times New Roman" w:cs="Times New Roman"/>
          <w:color w:val="auto"/>
          <w:sz w:val="24"/>
          <w:highlight w:val="none"/>
        </w:rPr>
        <w:t>，水土流失严重，河曲发育。地势由西向东倾斜，西高东低。茹河Ⅰ、Ⅱ级阶地发育，Ⅰ级阶地个别地段缺失，Ⅱ级阶地在左右岸均有分布，且比较连续。</w:t>
      </w:r>
    </w:p>
    <w:p w14:paraId="215E597C">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项目区地形起伏较大，</w:t>
      </w:r>
      <w:r>
        <w:rPr>
          <w:rFonts w:hint="eastAsia" w:cs="Times New Roman"/>
          <w:color w:val="auto"/>
          <w:sz w:val="24"/>
          <w:highlight w:val="none"/>
          <w:lang w:eastAsia="zh-CN"/>
        </w:rPr>
        <w:t>沟壑纵横</w:t>
      </w:r>
      <w:r>
        <w:rPr>
          <w:rFonts w:hint="default" w:ascii="Times New Roman" w:hAnsi="Times New Roman" w:cs="Times New Roman"/>
          <w:color w:val="auto"/>
          <w:sz w:val="24"/>
          <w:highlight w:val="none"/>
        </w:rPr>
        <w:t>，水土流失严重，河曲发育。总体地势西北高东南低；壤土覆盖较厚，冲沟发育。河谷大体由西向东方向展布。由于流水切割侵蚀，河谷大致呈</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ㄩ</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型，河谷两岸岸坡较陡。任河河床及河漫滩宽度20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40m，地形较平坦，由于洪水的冲刷与一级阶地形成3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5m的陡坎。</w:t>
      </w:r>
    </w:p>
    <w:p w14:paraId="10BAFB6C">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河道沿线岸坡多</w:t>
      </w:r>
      <w:r>
        <w:rPr>
          <w:rFonts w:hint="eastAsia" w:cs="Times New Roman"/>
          <w:color w:val="auto"/>
          <w:sz w:val="24"/>
          <w:highlight w:val="none"/>
          <w:lang w:eastAsia="zh-CN"/>
        </w:rPr>
        <w:t>呈</w:t>
      </w:r>
      <w:r>
        <w:rPr>
          <w:rFonts w:hint="default" w:ascii="Times New Roman" w:hAnsi="Times New Roman" w:cs="Times New Roman"/>
          <w:color w:val="auto"/>
          <w:sz w:val="24"/>
          <w:highlight w:val="none"/>
        </w:rPr>
        <w:t>立直陡坎，在河水的冲刷下部分地区存在较严重的崩塌、滑坡等不良地质现象。</w:t>
      </w:r>
    </w:p>
    <w:p w14:paraId="5335BD31">
      <w:pPr>
        <w:pStyle w:val="6"/>
        <w:bidi w:val="0"/>
        <w:rPr>
          <w:rFonts w:hint="default" w:ascii="Times New Roman" w:hAnsi="Times New Roman" w:cs="Times New Roman"/>
          <w:color w:val="auto"/>
          <w:sz w:val="28"/>
          <w:szCs w:val="28"/>
          <w:highlight w:val="none"/>
        </w:rPr>
      </w:pPr>
      <w:bookmarkStart w:id="3570" w:name="_Toc11245"/>
      <w:r>
        <w:rPr>
          <w:rFonts w:hint="default" w:ascii="Times New Roman" w:hAnsi="Times New Roman" w:cs="Times New Roman"/>
          <w:color w:val="auto"/>
          <w:sz w:val="28"/>
          <w:szCs w:val="28"/>
          <w:highlight w:val="none"/>
          <w:lang w:val="en-US" w:eastAsia="zh-CN"/>
        </w:rPr>
        <w:t>4.1.5</w:t>
      </w:r>
      <w:r>
        <w:rPr>
          <w:rFonts w:hint="default" w:ascii="Times New Roman" w:hAnsi="Times New Roman" w:cs="Times New Roman"/>
          <w:color w:val="auto"/>
          <w:sz w:val="28"/>
          <w:szCs w:val="28"/>
          <w:highlight w:val="none"/>
        </w:rPr>
        <w:t>气候</w:t>
      </w:r>
      <w:bookmarkEnd w:id="3568"/>
      <w:bookmarkEnd w:id="3569"/>
      <w:bookmarkEnd w:id="3570"/>
    </w:p>
    <w:p w14:paraId="0B7322F6">
      <w:pPr>
        <w:spacing w:line="360" w:lineRule="auto"/>
        <w:ind w:firstLine="482"/>
        <w:rPr>
          <w:rFonts w:hint="eastAsia" w:ascii="Times New Roman" w:hAnsi="Times New Roman" w:eastAsia="宋体" w:cs="Times New Roman"/>
          <w:color w:val="auto"/>
          <w:sz w:val="24"/>
          <w:highlight w:val="none"/>
        </w:rPr>
      </w:pPr>
      <w:bookmarkStart w:id="3571" w:name="_Toc4026"/>
      <w:bookmarkStart w:id="3572" w:name="_Toc24481"/>
      <w:r>
        <w:rPr>
          <w:rFonts w:hint="eastAsia" w:ascii="Times New Roman" w:hAnsi="Times New Roman" w:eastAsia="宋体" w:cs="Times New Roman"/>
          <w:color w:val="auto"/>
          <w:sz w:val="24"/>
          <w:highlight w:val="none"/>
        </w:rPr>
        <w:t>彭阳县地处温带半干旱区，为典型的大陆性季风气候；冬寒长，夏热短，光照充足，春夏连旱，秋季多雨，雨热不同季，昼夜温差大。固原气象站200</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rPr>
        <w:t>年的气象统计数据如下：</w:t>
      </w:r>
    </w:p>
    <w:p w14:paraId="3300751C">
      <w:pPr>
        <w:spacing w:line="360" w:lineRule="auto"/>
        <w:ind w:firstLine="482"/>
        <w:jc w:val="center"/>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 xml:space="preserve">4.1-2 </w:t>
      </w:r>
      <w:r>
        <w:rPr>
          <w:rFonts w:hint="eastAsia" w:ascii="Times New Roman" w:hAnsi="Times New Roman" w:eastAsia="宋体" w:cs="Times New Roman"/>
          <w:b/>
          <w:bCs/>
          <w:color w:val="auto"/>
          <w:sz w:val="24"/>
          <w:highlight w:val="none"/>
        </w:rPr>
        <w:t>固原气象站近200</w:t>
      </w:r>
      <w:r>
        <w:rPr>
          <w:rFonts w:hint="eastAsia"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rPr>
        <w:t>-202</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rPr>
        <w:t>年的气象要素统计表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60"/>
        <w:gridCol w:w="2173"/>
        <w:gridCol w:w="847"/>
        <w:gridCol w:w="1975"/>
        <w:gridCol w:w="2648"/>
      </w:tblGrid>
      <w:tr w14:paraId="34937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26037445">
            <w:pPr>
              <w:pStyle w:val="29"/>
              <w:suppressLineNumbers w:val="0"/>
              <w:bidi w:val="0"/>
              <w:spacing w:beforeAutospacing="0" w:afterAutospacing="0"/>
              <w:ind w:left="0" w:right="0"/>
              <w:jc w:val="center"/>
              <w:rPr>
                <w:rFonts w:hint="eastAsia" w:ascii="Times New Roman" w:hAnsi="Times New Roman" w:eastAsia="宋体" w:cs="Times New Roman"/>
                <w:b/>
                <w:bCs/>
                <w:color w:val="auto"/>
                <w:sz w:val="21"/>
                <w:szCs w:val="21"/>
                <w:highlight w:val="none"/>
                <w:lang w:val="en-US" w:eastAsia="zh-CN"/>
              </w:rPr>
            </w:pPr>
            <w:bookmarkStart w:id="3573" w:name="_Toc26716"/>
            <w:bookmarkStart w:id="3574" w:name="_Toc30338"/>
            <w:r>
              <w:rPr>
                <w:rFonts w:hint="eastAsia" w:ascii="Times New Roman" w:hAnsi="Times New Roman" w:eastAsia="宋体" w:cs="Times New Roman"/>
                <w:b/>
                <w:bCs/>
                <w:color w:val="auto"/>
                <w:sz w:val="21"/>
                <w:szCs w:val="21"/>
                <w:highlight w:val="none"/>
                <w:lang w:val="en-US" w:eastAsia="zh-CN"/>
              </w:rPr>
              <w:t>序号</w:t>
            </w:r>
            <w:bookmarkEnd w:id="3573"/>
            <w:bookmarkEnd w:id="3574"/>
          </w:p>
        </w:tc>
        <w:tc>
          <w:tcPr>
            <w:tcW w:w="1308" w:type="pct"/>
            <w:noWrap w:val="0"/>
            <w:vAlign w:val="center"/>
          </w:tcPr>
          <w:p w14:paraId="48B5B550">
            <w:pPr>
              <w:pStyle w:val="29"/>
              <w:suppressLineNumbers w:val="0"/>
              <w:bidi w:val="0"/>
              <w:spacing w:beforeAutospacing="0" w:afterAutospacing="0"/>
              <w:ind w:left="0" w:right="0"/>
              <w:jc w:val="center"/>
              <w:rPr>
                <w:rFonts w:hint="eastAsia" w:ascii="Times New Roman" w:hAnsi="Times New Roman" w:eastAsia="宋体" w:cs="Times New Roman"/>
                <w:b/>
                <w:bCs/>
                <w:color w:val="auto"/>
                <w:sz w:val="21"/>
                <w:szCs w:val="21"/>
                <w:highlight w:val="none"/>
                <w:lang w:val="en-US" w:eastAsia="zh-CN"/>
              </w:rPr>
            </w:pPr>
            <w:bookmarkStart w:id="3575" w:name="_Toc4538"/>
            <w:bookmarkStart w:id="3576" w:name="_Toc21286"/>
            <w:r>
              <w:rPr>
                <w:rFonts w:hint="eastAsia" w:ascii="Times New Roman" w:hAnsi="Times New Roman" w:eastAsia="宋体" w:cs="Times New Roman"/>
                <w:b/>
                <w:bCs/>
                <w:color w:val="auto"/>
                <w:sz w:val="21"/>
                <w:szCs w:val="21"/>
                <w:highlight w:val="none"/>
                <w:lang w:val="en-US" w:eastAsia="zh-CN"/>
              </w:rPr>
              <w:t>项目</w:t>
            </w:r>
            <w:bookmarkEnd w:id="3575"/>
            <w:bookmarkEnd w:id="3576"/>
          </w:p>
        </w:tc>
        <w:tc>
          <w:tcPr>
            <w:tcW w:w="510" w:type="pct"/>
            <w:noWrap w:val="0"/>
            <w:vAlign w:val="center"/>
          </w:tcPr>
          <w:p w14:paraId="74EE7A1E">
            <w:pPr>
              <w:pStyle w:val="29"/>
              <w:suppressLineNumbers w:val="0"/>
              <w:bidi w:val="0"/>
              <w:spacing w:beforeAutospacing="0" w:afterAutospacing="0"/>
              <w:ind w:left="0" w:right="0"/>
              <w:jc w:val="center"/>
              <w:rPr>
                <w:rFonts w:hint="eastAsia" w:ascii="Times New Roman" w:hAnsi="Times New Roman" w:eastAsia="宋体" w:cs="Times New Roman"/>
                <w:b/>
                <w:bCs/>
                <w:color w:val="auto"/>
                <w:sz w:val="21"/>
                <w:szCs w:val="21"/>
                <w:highlight w:val="none"/>
                <w:lang w:val="en-US" w:eastAsia="zh-CN"/>
              </w:rPr>
            </w:pPr>
            <w:bookmarkStart w:id="3577" w:name="_Toc31969"/>
            <w:bookmarkStart w:id="3578" w:name="_Toc25357"/>
            <w:r>
              <w:rPr>
                <w:rFonts w:hint="eastAsia" w:ascii="Times New Roman" w:hAnsi="Times New Roman" w:eastAsia="宋体" w:cs="Times New Roman"/>
                <w:b/>
                <w:bCs/>
                <w:color w:val="auto"/>
                <w:sz w:val="21"/>
                <w:szCs w:val="21"/>
                <w:highlight w:val="none"/>
                <w:lang w:val="en-US" w:eastAsia="zh-CN"/>
              </w:rPr>
              <w:t>单位</w:t>
            </w:r>
            <w:bookmarkEnd w:id="3577"/>
            <w:bookmarkEnd w:id="3578"/>
          </w:p>
        </w:tc>
        <w:tc>
          <w:tcPr>
            <w:tcW w:w="1189" w:type="pct"/>
            <w:noWrap w:val="0"/>
            <w:vAlign w:val="center"/>
          </w:tcPr>
          <w:p w14:paraId="78FA503E">
            <w:pPr>
              <w:pStyle w:val="29"/>
              <w:suppressLineNumbers w:val="0"/>
              <w:bidi w:val="0"/>
              <w:spacing w:beforeAutospacing="0" w:afterAutospacing="0"/>
              <w:ind w:left="0" w:right="0"/>
              <w:jc w:val="center"/>
              <w:rPr>
                <w:rFonts w:hint="eastAsia" w:ascii="Times New Roman" w:hAnsi="Times New Roman" w:eastAsia="宋体" w:cs="Times New Roman"/>
                <w:b/>
                <w:bCs/>
                <w:color w:val="auto"/>
                <w:sz w:val="21"/>
                <w:szCs w:val="21"/>
                <w:highlight w:val="none"/>
                <w:lang w:val="en-US" w:eastAsia="zh-CN"/>
              </w:rPr>
            </w:pPr>
            <w:bookmarkStart w:id="3579" w:name="_Toc22490"/>
            <w:bookmarkStart w:id="3580" w:name="_Toc2686"/>
            <w:r>
              <w:rPr>
                <w:rFonts w:hint="eastAsia" w:ascii="Times New Roman" w:hAnsi="Times New Roman" w:eastAsia="宋体" w:cs="Times New Roman"/>
                <w:b/>
                <w:bCs/>
                <w:color w:val="auto"/>
                <w:sz w:val="21"/>
                <w:szCs w:val="21"/>
                <w:highlight w:val="none"/>
                <w:lang w:val="en-US" w:eastAsia="zh-CN"/>
              </w:rPr>
              <w:t>数值</w:t>
            </w:r>
            <w:bookmarkEnd w:id="3579"/>
            <w:bookmarkEnd w:id="3580"/>
          </w:p>
        </w:tc>
        <w:tc>
          <w:tcPr>
            <w:tcW w:w="1594" w:type="pct"/>
            <w:tcBorders>
              <w:right w:val="nil"/>
            </w:tcBorders>
            <w:noWrap w:val="0"/>
            <w:vAlign w:val="center"/>
          </w:tcPr>
          <w:p w14:paraId="4470D534">
            <w:pPr>
              <w:pStyle w:val="29"/>
              <w:suppressLineNumbers w:val="0"/>
              <w:bidi w:val="0"/>
              <w:spacing w:beforeAutospacing="0" w:afterAutospacing="0"/>
              <w:ind w:left="0" w:right="0"/>
              <w:jc w:val="center"/>
              <w:rPr>
                <w:rFonts w:hint="eastAsia" w:ascii="Times New Roman" w:hAnsi="Times New Roman" w:eastAsia="宋体" w:cs="Times New Roman"/>
                <w:b/>
                <w:bCs/>
                <w:color w:val="auto"/>
                <w:sz w:val="21"/>
                <w:szCs w:val="21"/>
                <w:highlight w:val="none"/>
                <w:lang w:val="en-US" w:eastAsia="zh-CN"/>
              </w:rPr>
            </w:pPr>
            <w:bookmarkStart w:id="3581" w:name="_Toc30433"/>
            <w:bookmarkStart w:id="3582" w:name="_Toc24354"/>
            <w:r>
              <w:rPr>
                <w:rFonts w:hint="eastAsia" w:ascii="Times New Roman" w:hAnsi="Times New Roman" w:eastAsia="宋体" w:cs="Times New Roman"/>
                <w:b/>
                <w:bCs/>
                <w:color w:val="auto"/>
                <w:sz w:val="21"/>
                <w:szCs w:val="21"/>
                <w:highlight w:val="none"/>
                <w:lang w:val="en-US" w:eastAsia="zh-CN"/>
              </w:rPr>
              <w:t>日期</w:t>
            </w:r>
            <w:bookmarkEnd w:id="3581"/>
            <w:bookmarkEnd w:id="3582"/>
          </w:p>
        </w:tc>
      </w:tr>
      <w:tr w14:paraId="0AE76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0B4A8CA3">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83" w:name="_Toc18793"/>
            <w:bookmarkStart w:id="3584" w:name="_Toc10949"/>
            <w:r>
              <w:rPr>
                <w:rFonts w:hint="eastAsia" w:ascii="Times New Roman" w:hAnsi="Times New Roman" w:eastAsia="宋体" w:cs="Times New Roman"/>
                <w:color w:val="auto"/>
                <w:sz w:val="21"/>
                <w:szCs w:val="21"/>
                <w:highlight w:val="none"/>
                <w:lang w:val="en-US" w:eastAsia="zh-CN"/>
              </w:rPr>
              <w:t>1</w:t>
            </w:r>
            <w:bookmarkEnd w:id="3583"/>
            <w:bookmarkEnd w:id="3584"/>
          </w:p>
        </w:tc>
        <w:tc>
          <w:tcPr>
            <w:tcW w:w="1308" w:type="pct"/>
            <w:noWrap w:val="0"/>
            <w:vAlign w:val="center"/>
          </w:tcPr>
          <w:p w14:paraId="3F3FE0D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85" w:name="_Toc99"/>
            <w:bookmarkStart w:id="3586" w:name="_Toc9920"/>
            <w:r>
              <w:rPr>
                <w:rFonts w:hint="eastAsia" w:ascii="Times New Roman" w:hAnsi="Times New Roman" w:eastAsia="宋体" w:cs="Times New Roman"/>
                <w:color w:val="auto"/>
                <w:sz w:val="21"/>
                <w:szCs w:val="21"/>
                <w:highlight w:val="none"/>
                <w:lang w:val="en-US" w:eastAsia="zh-CN"/>
              </w:rPr>
              <w:t>主导风向</w:t>
            </w:r>
            <w:bookmarkEnd w:id="3585"/>
            <w:bookmarkEnd w:id="3586"/>
          </w:p>
        </w:tc>
        <w:tc>
          <w:tcPr>
            <w:tcW w:w="510" w:type="pct"/>
            <w:noWrap w:val="0"/>
            <w:vAlign w:val="center"/>
          </w:tcPr>
          <w:p w14:paraId="50066AE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87" w:name="_Toc17130"/>
            <w:bookmarkStart w:id="3588" w:name="_Toc12465"/>
            <w:r>
              <w:rPr>
                <w:rFonts w:hint="eastAsia" w:ascii="Times New Roman" w:hAnsi="Times New Roman" w:eastAsia="宋体" w:cs="Times New Roman"/>
                <w:color w:val="auto"/>
                <w:sz w:val="21"/>
                <w:szCs w:val="21"/>
                <w:highlight w:val="none"/>
                <w:lang w:val="en-US" w:eastAsia="zh-CN"/>
              </w:rPr>
              <w:t>/</w:t>
            </w:r>
            <w:bookmarkEnd w:id="3587"/>
            <w:bookmarkEnd w:id="3588"/>
          </w:p>
        </w:tc>
        <w:tc>
          <w:tcPr>
            <w:tcW w:w="1189" w:type="pct"/>
            <w:noWrap w:val="0"/>
            <w:vAlign w:val="center"/>
          </w:tcPr>
          <w:p w14:paraId="752198BE">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89" w:name="_Toc9488"/>
            <w:bookmarkStart w:id="3590" w:name="_Toc30665"/>
            <w:r>
              <w:rPr>
                <w:rFonts w:hint="eastAsia" w:ascii="Times New Roman" w:hAnsi="Times New Roman" w:eastAsia="宋体" w:cs="Times New Roman"/>
                <w:color w:val="auto"/>
                <w:sz w:val="21"/>
                <w:szCs w:val="21"/>
                <w:highlight w:val="none"/>
                <w:lang w:val="en-US" w:eastAsia="zh-CN"/>
              </w:rPr>
              <w:t>ESE</w:t>
            </w:r>
            <w:bookmarkEnd w:id="3589"/>
            <w:bookmarkEnd w:id="3590"/>
          </w:p>
        </w:tc>
        <w:tc>
          <w:tcPr>
            <w:tcW w:w="1594" w:type="pct"/>
            <w:tcBorders>
              <w:right w:val="nil"/>
            </w:tcBorders>
            <w:noWrap w:val="0"/>
            <w:vAlign w:val="center"/>
          </w:tcPr>
          <w:p w14:paraId="2FA3DE70">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5329E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5F69B3BE">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91" w:name="_Toc2883"/>
            <w:bookmarkStart w:id="3592" w:name="_Toc17988"/>
            <w:r>
              <w:rPr>
                <w:rFonts w:hint="eastAsia" w:ascii="Times New Roman" w:hAnsi="Times New Roman" w:eastAsia="宋体" w:cs="Times New Roman"/>
                <w:color w:val="auto"/>
                <w:sz w:val="21"/>
                <w:szCs w:val="21"/>
                <w:highlight w:val="none"/>
                <w:lang w:val="en-US" w:eastAsia="zh-CN"/>
              </w:rPr>
              <w:t>2</w:t>
            </w:r>
            <w:bookmarkEnd w:id="3591"/>
            <w:bookmarkEnd w:id="3592"/>
          </w:p>
        </w:tc>
        <w:tc>
          <w:tcPr>
            <w:tcW w:w="1308" w:type="pct"/>
            <w:noWrap w:val="0"/>
            <w:vAlign w:val="center"/>
          </w:tcPr>
          <w:p w14:paraId="6E1A4FD8">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93" w:name="_Toc8864"/>
            <w:bookmarkStart w:id="3594" w:name="_Toc1008"/>
            <w:r>
              <w:rPr>
                <w:rFonts w:hint="eastAsia" w:ascii="Times New Roman" w:hAnsi="Times New Roman" w:eastAsia="宋体" w:cs="Times New Roman"/>
                <w:color w:val="auto"/>
                <w:sz w:val="21"/>
                <w:szCs w:val="21"/>
                <w:highlight w:val="none"/>
                <w:lang w:val="en-US" w:eastAsia="zh-CN"/>
              </w:rPr>
              <w:t>主导风向频率</w:t>
            </w:r>
            <w:bookmarkEnd w:id="3593"/>
            <w:bookmarkEnd w:id="3594"/>
          </w:p>
        </w:tc>
        <w:tc>
          <w:tcPr>
            <w:tcW w:w="510" w:type="pct"/>
            <w:noWrap w:val="0"/>
            <w:vAlign w:val="center"/>
          </w:tcPr>
          <w:p w14:paraId="2A376783">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95" w:name="_Toc5263"/>
            <w:bookmarkStart w:id="3596" w:name="_Toc23759"/>
            <w:r>
              <w:rPr>
                <w:rFonts w:hint="eastAsia" w:ascii="Times New Roman" w:hAnsi="Times New Roman" w:eastAsia="宋体" w:cs="Times New Roman"/>
                <w:color w:val="auto"/>
                <w:sz w:val="21"/>
                <w:szCs w:val="21"/>
                <w:highlight w:val="none"/>
                <w:lang w:val="en-US" w:eastAsia="zh-CN"/>
              </w:rPr>
              <w:t>%</w:t>
            </w:r>
            <w:bookmarkEnd w:id="3595"/>
            <w:bookmarkEnd w:id="3596"/>
          </w:p>
        </w:tc>
        <w:tc>
          <w:tcPr>
            <w:tcW w:w="1189" w:type="pct"/>
            <w:noWrap w:val="0"/>
            <w:vAlign w:val="center"/>
          </w:tcPr>
          <w:p w14:paraId="60957814">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97" w:name="_Toc23897"/>
            <w:bookmarkStart w:id="3598" w:name="_Toc21230"/>
            <w:r>
              <w:rPr>
                <w:rFonts w:hint="eastAsia" w:ascii="Times New Roman" w:hAnsi="Times New Roman" w:eastAsia="宋体" w:cs="Times New Roman"/>
                <w:color w:val="auto"/>
                <w:sz w:val="21"/>
                <w:szCs w:val="21"/>
                <w:highlight w:val="none"/>
                <w:lang w:val="en-US" w:eastAsia="zh-CN"/>
              </w:rPr>
              <w:t>11.6</w:t>
            </w:r>
            <w:bookmarkEnd w:id="3597"/>
            <w:bookmarkEnd w:id="3598"/>
          </w:p>
        </w:tc>
        <w:tc>
          <w:tcPr>
            <w:tcW w:w="1594" w:type="pct"/>
            <w:tcBorders>
              <w:right w:val="nil"/>
            </w:tcBorders>
            <w:noWrap w:val="0"/>
            <w:vAlign w:val="center"/>
          </w:tcPr>
          <w:p w14:paraId="0DAE73AB">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3EB88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7F8D12A0">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599" w:name="_Toc14373"/>
            <w:bookmarkStart w:id="3600" w:name="_Toc19837"/>
            <w:r>
              <w:rPr>
                <w:rFonts w:hint="eastAsia" w:ascii="Times New Roman" w:hAnsi="Times New Roman" w:eastAsia="宋体" w:cs="Times New Roman"/>
                <w:color w:val="auto"/>
                <w:sz w:val="21"/>
                <w:szCs w:val="21"/>
                <w:highlight w:val="none"/>
                <w:lang w:val="en-US" w:eastAsia="zh-CN"/>
              </w:rPr>
              <w:t>3</w:t>
            </w:r>
            <w:bookmarkEnd w:id="3599"/>
            <w:bookmarkEnd w:id="3600"/>
          </w:p>
        </w:tc>
        <w:tc>
          <w:tcPr>
            <w:tcW w:w="1308" w:type="pct"/>
            <w:noWrap w:val="0"/>
            <w:vAlign w:val="center"/>
          </w:tcPr>
          <w:p w14:paraId="297A7E60">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01" w:name="_Toc27001"/>
            <w:bookmarkStart w:id="3602" w:name="_Toc7161"/>
            <w:r>
              <w:rPr>
                <w:rFonts w:hint="eastAsia" w:ascii="Times New Roman" w:hAnsi="Times New Roman" w:eastAsia="宋体" w:cs="Times New Roman"/>
                <w:color w:val="auto"/>
                <w:sz w:val="21"/>
                <w:szCs w:val="21"/>
                <w:highlight w:val="none"/>
                <w:lang w:val="en-US" w:eastAsia="zh-CN"/>
              </w:rPr>
              <w:t>年平均风速</w:t>
            </w:r>
            <w:bookmarkEnd w:id="3601"/>
            <w:bookmarkEnd w:id="3602"/>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413C1E38">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03" w:name="_Toc13034"/>
            <w:bookmarkStart w:id="3604" w:name="_Toc11386"/>
            <w:r>
              <w:rPr>
                <w:rFonts w:hint="eastAsia" w:ascii="Times New Roman" w:hAnsi="Times New Roman" w:eastAsia="宋体" w:cs="Times New Roman"/>
                <w:color w:val="auto"/>
                <w:sz w:val="21"/>
                <w:szCs w:val="21"/>
                <w:highlight w:val="none"/>
                <w:lang w:val="en-US" w:eastAsia="zh-CN"/>
              </w:rPr>
              <w:t>m/s</w:t>
            </w:r>
            <w:bookmarkEnd w:id="3603"/>
            <w:bookmarkEnd w:id="3604"/>
          </w:p>
        </w:tc>
        <w:tc>
          <w:tcPr>
            <w:tcW w:w="1189" w:type="pct"/>
            <w:noWrap w:val="0"/>
            <w:vAlign w:val="center"/>
          </w:tcPr>
          <w:p w14:paraId="0AC4FB48">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05" w:name="_Toc18954"/>
            <w:bookmarkStart w:id="3606" w:name="_Toc7429"/>
            <w:r>
              <w:rPr>
                <w:rFonts w:hint="eastAsia" w:ascii="Times New Roman" w:hAnsi="Times New Roman" w:eastAsia="宋体" w:cs="Times New Roman"/>
                <w:color w:val="auto"/>
                <w:sz w:val="21"/>
                <w:szCs w:val="21"/>
                <w:highlight w:val="none"/>
                <w:lang w:val="en-US" w:eastAsia="zh-CN"/>
              </w:rPr>
              <w:t>2.44</w:t>
            </w:r>
            <w:bookmarkEnd w:id="3605"/>
            <w:bookmarkEnd w:id="3606"/>
          </w:p>
        </w:tc>
        <w:tc>
          <w:tcPr>
            <w:tcW w:w="1594" w:type="pct"/>
            <w:tcBorders>
              <w:right w:val="nil"/>
            </w:tcBorders>
            <w:noWrap w:val="0"/>
            <w:vAlign w:val="center"/>
          </w:tcPr>
          <w:p w14:paraId="184AA20E">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6FF35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6F19CC39">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07" w:name="_Toc31568"/>
            <w:bookmarkStart w:id="3608" w:name="_Toc3868"/>
            <w:r>
              <w:rPr>
                <w:rFonts w:hint="eastAsia" w:ascii="Times New Roman" w:hAnsi="Times New Roman" w:eastAsia="宋体" w:cs="Times New Roman"/>
                <w:color w:val="auto"/>
                <w:sz w:val="21"/>
                <w:szCs w:val="21"/>
                <w:highlight w:val="none"/>
                <w:lang w:val="en-US" w:eastAsia="zh-CN"/>
              </w:rPr>
              <w:t>4</w:t>
            </w:r>
            <w:bookmarkEnd w:id="3607"/>
            <w:bookmarkEnd w:id="3608"/>
          </w:p>
        </w:tc>
        <w:tc>
          <w:tcPr>
            <w:tcW w:w="1308" w:type="pct"/>
            <w:noWrap w:val="0"/>
            <w:vAlign w:val="center"/>
          </w:tcPr>
          <w:p w14:paraId="45D58A9B">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09" w:name="_Toc12305"/>
            <w:bookmarkStart w:id="3610" w:name="_Toc20623"/>
            <w:r>
              <w:rPr>
                <w:rFonts w:hint="eastAsia" w:ascii="Times New Roman" w:hAnsi="Times New Roman" w:eastAsia="宋体" w:cs="Times New Roman"/>
                <w:color w:val="auto"/>
                <w:sz w:val="21"/>
                <w:szCs w:val="21"/>
                <w:highlight w:val="none"/>
                <w:lang w:val="en-US" w:eastAsia="zh-CN"/>
              </w:rPr>
              <w:t>静风频率</w:t>
            </w:r>
            <w:bookmarkEnd w:id="3609"/>
            <w:bookmarkEnd w:id="3610"/>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21B3685B">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11" w:name="_Toc31927"/>
            <w:bookmarkStart w:id="3612" w:name="_Toc24199"/>
            <w:r>
              <w:rPr>
                <w:rFonts w:hint="eastAsia" w:ascii="Times New Roman" w:hAnsi="Times New Roman" w:eastAsia="宋体" w:cs="Times New Roman"/>
                <w:color w:val="auto"/>
                <w:sz w:val="21"/>
                <w:szCs w:val="21"/>
                <w:highlight w:val="none"/>
                <w:lang w:val="en-US" w:eastAsia="zh-CN"/>
              </w:rPr>
              <w:t>%</w:t>
            </w:r>
            <w:bookmarkEnd w:id="3611"/>
            <w:bookmarkEnd w:id="3612"/>
          </w:p>
        </w:tc>
        <w:tc>
          <w:tcPr>
            <w:tcW w:w="1189" w:type="pct"/>
            <w:noWrap w:val="0"/>
            <w:vAlign w:val="center"/>
          </w:tcPr>
          <w:p w14:paraId="531F0AD2">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13" w:name="_Toc16036"/>
            <w:bookmarkStart w:id="3614" w:name="_Toc29343"/>
            <w:r>
              <w:rPr>
                <w:rFonts w:hint="eastAsia" w:ascii="Times New Roman" w:hAnsi="Times New Roman" w:eastAsia="宋体" w:cs="Times New Roman"/>
                <w:color w:val="auto"/>
                <w:sz w:val="21"/>
                <w:szCs w:val="21"/>
                <w:highlight w:val="none"/>
                <w:lang w:val="en-US" w:eastAsia="zh-CN"/>
              </w:rPr>
              <w:t>4.5</w:t>
            </w:r>
            <w:bookmarkEnd w:id="3613"/>
            <w:bookmarkEnd w:id="3614"/>
          </w:p>
        </w:tc>
        <w:tc>
          <w:tcPr>
            <w:tcW w:w="1594" w:type="pct"/>
            <w:tcBorders>
              <w:right w:val="nil"/>
            </w:tcBorders>
            <w:noWrap w:val="0"/>
            <w:vAlign w:val="center"/>
          </w:tcPr>
          <w:p w14:paraId="384556C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2428A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5E15B28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15" w:name="_Toc30716"/>
            <w:bookmarkStart w:id="3616" w:name="_Toc9330"/>
            <w:r>
              <w:rPr>
                <w:rFonts w:hint="eastAsia" w:ascii="Times New Roman" w:hAnsi="Times New Roman" w:eastAsia="宋体" w:cs="Times New Roman"/>
                <w:color w:val="auto"/>
                <w:sz w:val="21"/>
                <w:szCs w:val="21"/>
                <w:highlight w:val="none"/>
                <w:lang w:val="en-US" w:eastAsia="zh-CN"/>
              </w:rPr>
              <w:t>5</w:t>
            </w:r>
            <w:bookmarkEnd w:id="3615"/>
            <w:bookmarkEnd w:id="3616"/>
          </w:p>
        </w:tc>
        <w:tc>
          <w:tcPr>
            <w:tcW w:w="1308" w:type="pct"/>
            <w:noWrap w:val="0"/>
            <w:vAlign w:val="center"/>
          </w:tcPr>
          <w:p w14:paraId="68CA5A6E">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17" w:name="_Toc28761"/>
            <w:bookmarkStart w:id="3618" w:name="_Toc2761"/>
            <w:r>
              <w:rPr>
                <w:rFonts w:hint="eastAsia" w:ascii="Times New Roman" w:hAnsi="Times New Roman" w:eastAsia="宋体" w:cs="Times New Roman"/>
                <w:color w:val="auto"/>
                <w:sz w:val="21"/>
                <w:szCs w:val="21"/>
                <w:highlight w:val="none"/>
                <w:lang w:val="en-US" w:eastAsia="zh-CN"/>
              </w:rPr>
              <w:t>多年平均气压</w:t>
            </w:r>
            <w:bookmarkEnd w:id="3617"/>
            <w:bookmarkEnd w:id="3618"/>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26A26D9B">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19" w:name="_Toc20977"/>
            <w:bookmarkStart w:id="3620" w:name="_Toc29907"/>
            <w:r>
              <w:rPr>
                <w:rFonts w:hint="eastAsia" w:ascii="Times New Roman" w:hAnsi="Times New Roman" w:eastAsia="宋体" w:cs="Times New Roman"/>
                <w:color w:val="auto"/>
                <w:sz w:val="21"/>
                <w:szCs w:val="21"/>
                <w:highlight w:val="none"/>
                <w:lang w:val="en-US" w:eastAsia="zh-CN"/>
              </w:rPr>
              <w:t>hPa</w:t>
            </w:r>
            <w:bookmarkEnd w:id="3619"/>
            <w:bookmarkEnd w:id="3620"/>
          </w:p>
        </w:tc>
        <w:tc>
          <w:tcPr>
            <w:tcW w:w="1189" w:type="pct"/>
            <w:noWrap w:val="0"/>
            <w:vAlign w:val="center"/>
          </w:tcPr>
          <w:p w14:paraId="19E03300">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21" w:name="_Toc2471"/>
            <w:bookmarkStart w:id="3622" w:name="_Toc18915"/>
            <w:r>
              <w:rPr>
                <w:rFonts w:hint="eastAsia" w:ascii="Times New Roman" w:hAnsi="Times New Roman" w:eastAsia="宋体" w:cs="Times New Roman"/>
                <w:color w:val="auto"/>
                <w:sz w:val="21"/>
                <w:szCs w:val="21"/>
                <w:highlight w:val="none"/>
                <w:lang w:val="en-US" w:eastAsia="zh-CN"/>
              </w:rPr>
              <w:t>823.35</w:t>
            </w:r>
            <w:bookmarkEnd w:id="3621"/>
            <w:bookmarkEnd w:id="3622"/>
          </w:p>
        </w:tc>
        <w:tc>
          <w:tcPr>
            <w:tcW w:w="1594" w:type="pct"/>
            <w:tcBorders>
              <w:right w:val="nil"/>
            </w:tcBorders>
            <w:noWrap w:val="0"/>
            <w:vAlign w:val="center"/>
          </w:tcPr>
          <w:p w14:paraId="178DCB75">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65041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736357E7">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23" w:name="_Toc30245"/>
            <w:bookmarkStart w:id="3624" w:name="_Toc25003"/>
            <w:r>
              <w:rPr>
                <w:rFonts w:hint="eastAsia" w:ascii="Times New Roman" w:hAnsi="Times New Roman" w:eastAsia="宋体" w:cs="Times New Roman"/>
                <w:color w:val="auto"/>
                <w:sz w:val="21"/>
                <w:szCs w:val="21"/>
                <w:highlight w:val="none"/>
                <w:lang w:val="en-US" w:eastAsia="zh-CN"/>
              </w:rPr>
              <w:t>6</w:t>
            </w:r>
            <w:bookmarkEnd w:id="3623"/>
            <w:bookmarkEnd w:id="3624"/>
          </w:p>
        </w:tc>
        <w:tc>
          <w:tcPr>
            <w:tcW w:w="1308" w:type="pct"/>
            <w:noWrap w:val="0"/>
            <w:vAlign w:val="center"/>
          </w:tcPr>
          <w:p w14:paraId="40A1EBE8">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25" w:name="_Toc32378"/>
            <w:bookmarkStart w:id="3626" w:name="_Toc23065"/>
            <w:r>
              <w:rPr>
                <w:rFonts w:hint="eastAsia" w:ascii="Times New Roman" w:hAnsi="Times New Roman" w:eastAsia="宋体" w:cs="Times New Roman"/>
                <w:color w:val="auto"/>
                <w:sz w:val="21"/>
                <w:szCs w:val="21"/>
                <w:highlight w:val="none"/>
                <w:lang w:val="en-US" w:eastAsia="zh-CN"/>
              </w:rPr>
              <w:t>多年平均气温</w:t>
            </w:r>
            <w:bookmarkEnd w:id="3625"/>
            <w:bookmarkEnd w:id="3626"/>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3547119B">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27" w:name="_Toc22865"/>
            <w:bookmarkStart w:id="3628" w:name="_Toc25460"/>
            <w:r>
              <w:rPr>
                <w:rFonts w:hint="eastAsia" w:ascii="Times New Roman" w:hAnsi="Times New Roman" w:eastAsia="宋体" w:cs="Times New Roman"/>
                <w:color w:val="auto"/>
                <w:sz w:val="21"/>
                <w:szCs w:val="21"/>
                <w:highlight w:val="none"/>
                <w:lang w:val="en-US" w:eastAsia="zh-CN"/>
              </w:rPr>
              <w:t>℃</w:t>
            </w:r>
            <w:bookmarkEnd w:id="3627"/>
            <w:bookmarkEnd w:id="3628"/>
          </w:p>
        </w:tc>
        <w:tc>
          <w:tcPr>
            <w:tcW w:w="1189" w:type="pct"/>
            <w:noWrap w:val="0"/>
            <w:vAlign w:val="center"/>
          </w:tcPr>
          <w:p w14:paraId="439E922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629" w:name="_Toc9230"/>
            <w:bookmarkStart w:id="3630" w:name="_Toc6564"/>
            <w:r>
              <w:rPr>
                <w:rFonts w:hint="eastAsia" w:ascii="Times New Roman" w:hAnsi="Times New Roman" w:eastAsia="宋体" w:cs="Times New Roman"/>
                <w:color w:val="auto"/>
                <w:sz w:val="21"/>
                <w:szCs w:val="21"/>
                <w:highlight w:val="none"/>
                <w:lang w:val="en-US" w:eastAsia="zh-CN"/>
              </w:rPr>
              <w:t>7.91</w:t>
            </w:r>
            <w:bookmarkEnd w:id="3629"/>
            <w:bookmarkEnd w:id="3630"/>
          </w:p>
        </w:tc>
        <w:tc>
          <w:tcPr>
            <w:tcW w:w="1594" w:type="pct"/>
            <w:tcBorders>
              <w:right w:val="nil"/>
            </w:tcBorders>
            <w:noWrap w:val="0"/>
            <w:vAlign w:val="center"/>
          </w:tcPr>
          <w:p w14:paraId="4BCEA2E2">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3E24E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6906F56A">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31" w:name="_Toc30413"/>
            <w:bookmarkStart w:id="3632" w:name="_Toc16830"/>
            <w:r>
              <w:rPr>
                <w:rFonts w:hint="eastAsia" w:ascii="Times New Roman" w:hAnsi="Times New Roman" w:eastAsia="宋体" w:cs="Times New Roman"/>
                <w:color w:val="auto"/>
                <w:sz w:val="21"/>
                <w:szCs w:val="21"/>
                <w:highlight w:val="none"/>
                <w:lang w:val="en-US" w:eastAsia="zh-CN"/>
              </w:rPr>
              <w:t>7</w:t>
            </w:r>
            <w:bookmarkEnd w:id="3631"/>
            <w:bookmarkEnd w:id="3632"/>
          </w:p>
        </w:tc>
        <w:tc>
          <w:tcPr>
            <w:tcW w:w="1308" w:type="pct"/>
            <w:noWrap w:val="0"/>
            <w:vAlign w:val="center"/>
          </w:tcPr>
          <w:p w14:paraId="13BA1036">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33" w:name="_Toc25887"/>
            <w:bookmarkStart w:id="3634" w:name="_Toc27672"/>
            <w:r>
              <w:rPr>
                <w:rFonts w:hint="eastAsia" w:ascii="Times New Roman" w:hAnsi="Times New Roman" w:eastAsia="宋体" w:cs="Times New Roman"/>
                <w:color w:val="auto"/>
                <w:sz w:val="21"/>
                <w:szCs w:val="21"/>
                <w:highlight w:val="none"/>
                <w:lang w:val="en-US" w:eastAsia="zh-CN"/>
              </w:rPr>
              <w:t>极端最高气温</w:t>
            </w:r>
            <w:bookmarkEnd w:id="3633"/>
            <w:bookmarkEnd w:id="3634"/>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0B60DF65">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35" w:name="_Toc20826"/>
            <w:bookmarkStart w:id="3636" w:name="_Toc29920"/>
            <w:r>
              <w:rPr>
                <w:rFonts w:hint="eastAsia" w:ascii="Times New Roman" w:hAnsi="Times New Roman" w:eastAsia="宋体" w:cs="Times New Roman"/>
                <w:color w:val="auto"/>
                <w:sz w:val="21"/>
                <w:szCs w:val="21"/>
                <w:highlight w:val="none"/>
                <w:lang w:val="en-US" w:eastAsia="zh-CN"/>
              </w:rPr>
              <w:t>℃</w:t>
            </w:r>
            <w:bookmarkEnd w:id="3635"/>
            <w:bookmarkEnd w:id="3636"/>
          </w:p>
        </w:tc>
        <w:tc>
          <w:tcPr>
            <w:tcW w:w="1189" w:type="pct"/>
            <w:noWrap w:val="0"/>
            <w:vAlign w:val="center"/>
          </w:tcPr>
          <w:p w14:paraId="05D53A99">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37" w:name="_Toc29496"/>
            <w:bookmarkStart w:id="3638" w:name="_Toc12576"/>
            <w:r>
              <w:rPr>
                <w:rFonts w:hint="eastAsia" w:ascii="Times New Roman" w:hAnsi="Times New Roman" w:eastAsia="宋体" w:cs="Times New Roman"/>
                <w:color w:val="auto"/>
                <w:sz w:val="21"/>
                <w:szCs w:val="21"/>
                <w:highlight w:val="none"/>
                <w:lang w:val="en-US" w:eastAsia="zh-CN"/>
              </w:rPr>
              <w:t>34.4</w:t>
            </w:r>
            <w:bookmarkEnd w:id="3637"/>
            <w:bookmarkEnd w:id="3638"/>
          </w:p>
        </w:tc>
        <w:tc>
          <w:tcPr>
            <w:tcW w:w="1594" w:type="pct"/>
            <w:tcBorders>
              <w:right w:val="nil"/>
            </w:tcBorders>
            <w:noWrap w:val="0"/>
            <w:vAlign w:val="center"/>
          </w:tcPr>
          <w:p w14:paraId="04D2BF0B">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39" w:name="_Toc13419"/>
            <w:bookmarkStart w:id="3640" w:name="_Toc1443"/>
            <w:r>
              <w:rPr>
                <w:rFonts w:hint="eastAsia" w:ascii="Times New Roman" w:hAnsi="Times New Roman" w:eastAsia="宋体" w:cs="Times New Roman"/>
                <w:color w:val="auto"/>
                <w:sz w:val="21"/>
                <w:szCs w:val="21"/>
                <w:highlight w:val="none"/>
                <w:lang w:val="en-US" w:eastAsia="zh-CN"/>
              </w:rPr>
              <w:t>2017年7月11日</w:t>
            </w:r>
            <w:bookmarkEnd w:id="3639"/>
            <w:bookmarkEnd w:id="3640"/>
          </w:p>
        </w:tc>
      </w:tr>
      <w:tr w14:paraId="4E5EC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41D9AE43">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41" w:name="_Toc1901"/>
            <w:bookmarkStart w:id="3642" w:name="_Toc3453"/>
            <w:r>
              <w:rPr>
                <w:rFonts w:hint="eastAsia" w:ascii="Times New Roman" w:hAnsi="Times New Roman" w:eastAsia="宋体" w:cs="Times New Roman"/>
                <w:color w:val="auto"/>
                <w:sz w:val="21"/>
                <w:szCs w:val="21"/>
                <w:highlight w:val="none"/>
                <w:lang w:val="en-US" w:eastAsia="zh-CN"/>
              </w:rPr>
              <w:t>8</w:t>
            </w:r>
            <w:bookmarkEnd w:id="3641"/>
            <w:bookmarkEnd w:id="3642"/>
          </w:p>
        </w:tc>
        <w:tc>
          <w:tcPr>
            <w:tcW w:w="1308" w:type="pct"/>
            <w:noWrap w:val="0"/>
            <w:vAlign w:val="center"/>
          </w:tcPr>
          <w:p w14:paraId="30C6613D">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43" w:name="_Toc30425"/>
            <w:bookmarkStart w:id="3644" w:name="_Toc11724"/>
            <w:r>
              <w:rPr>
                <w:rFonts w:hint="eastAsia" w:ascii="Times New Roman" w:hAnsi="Times New Roman" w:eastAsia="宋体" w:cs="Times New Roman"/>
                <w:color w:val="auto"/>
                <w:sz w:val="21"/>
                <w:szCs w:val="21"/>
                <w:highlight w:val="none"/>
                <w:lang w:val="en-US" w:eastAsia="zh-CN"/>
              </w:rPr>
              <w:t>极端最低气温</w:t>
            </w:r>
            <w:bookmarkEnd w:id="3643"/>
            <w:bookmarkEnd w:id="3644"/>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12BBE5A4">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45" w:name="_Toc9368"/>
            <w:bookmarkStart w:id="3646" w:name="_Toc1464"/>
            <w:r>
              <w:rPr>
                <w:rFonts w:hint="eastAsia" w:ascii="Times New Roman" w:hAnsi="Times New Roman" w:eastAsia="宋体" w:cs="Times New Roman"/>
                <w:color w:val="auto"/>
                <w:sz w:val="21"/>
                <w:szCs w:val="21"/>
                <w:highlight w:val="none"/>
                <w:lang w:val="en-US" w:eastAsia="zh-CN"/>
              </w:rPr>
              <w:t>℃</w:t>
            </w:r>
            <w:bookmarkEnd w:id="3645"/>
            <w:bookmarkEnd w:id="3646"/>
          </w:p>
        </w:tc>
        <w:tc>
          <w:tcPr>
            <w:tcW w:w="1189" w:type="pct"/>
            <w:noWrap w:val="0"/>
            <w:vAlign w:val="center"/>
          </w:tcPr>
          <w:p w14:paraId="14C6A382">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47" w:name="_Toc7602"/>
            <w:bookmarkStart w:id="3648" w:name="_Toc13415"/>
            <w:r>
              <w:rPr>
                <w:rFonts w:hint="eastAsia" w:ascii="Times New Roman" w:hAnsi="Times New Roman" w:eastAsia="宋体" w:cs="Times New Roman"/>
                <w:color w:val="auto"/>
                <w:sz w:val="21"/>
                <w:szCs w:val="21"/>
                <w:highlight w:val="none"/>
                <w:lang w:val="en-US" w:eastAsia="zh-CN"/>
              </w:rPr>
              <w:t>-24.1</w:t>
            </w:r>
            <w:bookmarkEnd w:id="3647"/>
            <w:bookmarkEnd w:id="3648"/>
          </w:p>
        </w:tc>
        <w:tc>
          <w:tcPr>
            <w:tcW w:w="1594" w:type="pct"/>
            <w:tcBorders>
              <w:right w:val="nil"/>
            </w:tcBorders>
            <w:noWrap w:val="0"/>
            <w:vAlign w:val="center"/>
          </w:tcPr>
          <w:p w14:paraId="25426E3A">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49" w:name="_Toc27471"/>
            <w:bookmarkStart w:id="3650" w:name="_Toc11360"/>
            <w:r>
              <w:rPr>
                <w:rFonts w:hint="eastAsia" w:ascii="Times New Roman" w:hAnsi="Times New Roman" w:eastAsia="宋体" w:cs="Times New Roman"/>
                <w:color w:val="auto"/>
                <w:sz w:val="21"/>
                <w:szCs w:val="21"/>
                <w:highlight w:val="none"/>
                <w:lang w:val="en-US" w:eastAsia="zh-CN"/>
              </w:rPr>
              <w:t>2008年1月29日</w:t>
            </w:r>
            <w:bookmarkEnd w:id="3649"/>
            <w:bookmarkEnd w:id="3650"/>
          </w:p>
        </w:tc>
      </w:tr>
      <w:tr w14:paraId="066CB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19F4A5F0">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51" w:name="_Toc23114"/>
            <w:bookmarkStart w:id="3652" w:name="_Toc8834"/>
            <w:r>
              <w:rPr>
                <w:rFonts w:hint="eastAsia" w:ascii="Times New Roman" w:hAnsi="Times New Roman" w:eastAsia="宋体" w:cs="Times New Roman"/>
                <w:color w:val="auto"/>
                <w:sz w:val="21"/>
                <w:szCs w:val="21"/>
                <w:highlight w:val="none"/>
                <w:lang w:val="en-US" w:eastAsia="zh-CN"/>
              </w:rPr>
              <w:t>9</w:t>
            </w:r>
            <w:bookmarkEnd w:id="3651"/>
            <w:bookmarkEnd w:id="3652"/>
          </w:p>
        </w:tc>
        <w:tc>
          <w:tcPr>
            <w:tcW w:w="1308" w:type="pct"/>
            <w:noWrap w:val="0"/>
            <w:vAlign w:val="center"/>
          </w:tcPr>
          <w:p w14:paraId="02E350A0">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53" w:name="_Toc24522"/>
            <w:bookmarkStart w:id="3654" w:name="_Toc19815"/>
            <w:r>
              <w:rPr>
                <w:rFonts w:hint="eastAsia" w:ascii="Times New Roman" w:hAnsi="Times New Roman" w:eastAsia="宋体" w:cs="Times New Roman"/>
                <w:color w:val="auto"/>
                <w:sz w:val="21"/>
                <w:szCs w:val="21"/>
                <w:highlight w:val="none"/>
                <w:lang w:val="en-US" w:eastAsia="zh-CN"/>
              </w:rPr>
              <w:t>极大风速</w:t>
            </w:r>
            <w:bookmarkEnd w:id="3653"/>
            <w:bookmarkEnd w:id="3654"/>
          </w:p>
        </w:tc>
        <w:tc>
          <w:tcPr>
            <w:tcW w:w="510" w:type="pct"/>
            <w:noWrap w:val="0"/>
            <w:vAlign w:val="center"/>
          </w:tcPr>
          <w:p w14:paraId="0981224E">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55" w:name="_Toc30299"/>
            <w:bookmarkStart w:id="3656" w:name="_Toc32102"/>
            <w:r>
              <w:rPr>
                <w:rFonts w:hint="eastAsia" w:ascii="Times New Roman" w:hAnsi="Times New Roman" w:eastAsia="宋体" w:cs="Times New Roman"/>
                <w:color w:val="auto"/>
                <w:sz w:val="21"/>
                <w:szCs w:val="21"/>
                <w:highlight w:val="none"/>
                <w:lang w:val="en-US" w:eastAsia="zh-CN"/>
              </w:rPr>
              <w:t>m/s</w:t>
            </w:r>
            <w:bookmarkEnd w:id="3655"/>
            <w:bookmarkEnd w:id="3656"/>
          </w:p>
        </w:tc>
        <w:tc>
          <w:tcPr>
            <w:tcW w:w="1189" w:type="pct"/>
            <w:noWrap w:val="0"/>
            <w:vAlign w:val="center"/>
          </w:tcPr>
          <w:p w14:paraId="3652852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657" w:name="_Toc19988"/>
            <w:bookmarkStart w:id="3658" w:name="_Toc32537"/>
            <w:r>
              <w:rPr>
                <w:rFonts w:hint="eastAsia" w:ascii="Times New Roman" w:hAnsi="Times New Roman" w:eastAsia="宋体" w:cs="Times New Roman"/>
                <w:color w:val="auto"/>
                <w:sz w:val="21"/>
                <w:szCs w:val="21"/>
                <w:highlight w:val="none"/>
                <w:lang w:val="en-US" w:eastAsia="zh-CN"/>
              </w:rPr>
              <w:t>25.5</w:t>
            </w:r>
            <w:bookmarkEnd w:id="3657"/>
            <w:bookmarkEnd w:id="3658"/>
          </w:p>
        </w:tc>
        <w:tc>
          <w:tcPr>
            <w:tcW w:w="1594" w:type="pct"/>
            <w:tcBorders>
              <w:right w:val="nil"/>
            </w:tcBorders>
            <w:noWrap w:val="0"/>
            <w:vAlign w:val="center"/>
          </w:tcPr>
          <w:p w14:paraId="5B8F4291">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59" w:name="_Toc19616"/>
            <w:bookmarkStart w:id="3660" w:name="_Toc9909"/>
            <w:r>
              <w:rPr>
                <w:rFonts w:hint="eastAsia" w:ascii="Times New Roman" w:hAnsi="Times New Roman" w:eastAsia="宋体" w:cs="Times New Roman"/>
                <w:color w:val="auto"/>
                <w:sz w:val="21"/>
                <w:szCs w:val="21"/>
                <w:highlight w:val="none"/>
                <w:lang w:val="en-US" w:eastAsia="zh-CN"/>
              </w:rPr>
              <w:t>2021年4月29日</w:t>
            </w:r>
            <w:bookmarkEnd w:id="3659"/>
            <w:bookmarkEnd w:id="3660"/>
          </w:p>
        </w:tc>
      </w:tr>
      <w:tr w14:paraId="16DF8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1561F3C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61" w:name="_Toc19805"/>
            <w:bookmarkStart w:id="3662" w:name="_Toc19737"/>
            <w:r>
              <w:rPr>
                <w:rFonts w:hint="eastAsia" w:ascii="Times New Roman" w:hAnsi="Times New Roman" w:eastAsia="宋体" w:cs="Times New Roman"/>
                <w:color w:val="auto"/>
                <w:sz w:val="21"/>
                <w:szCs w:val="21"/>
                <w:highlight w:val="none"/>
                <w:lang w:val="en-US" w:eastAsia="zh-CN"/>
              </w:rPr>
              <w:t>10</w:t>
            </w:r>
            <w:bookmarkEnd w:id="3661"/>
            <w:bookmarkEnd w:id="3662"/>
          </w:p>
        </w:tc>
        <w:tc>
          <w:tcPr>
            <w:tcW w:w="1308" w:type="pct"/>
            <w:noWrap w:val="0"/>
            <w:vAlign w:val="center"/>
          </w:tcPr>
          <w:p w14:paraId="7762FD79">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63" w:name="_Toc12322"/>
            <w:bookmarkStart w:id="3664" w:name="_Toc1038"/>
            <w:r>
              <w:rPr>
                <w:rFonts w:hint="eastAsia" w:ascii="Times New Roman" w:hAnsi="Times New Roman" w:eastAsia="宋体" w:cs="Times New Roman"/>
                <w:color w:val="auto"/>
                <w:sz w:val="21"/>
                <w:szCs w:val="21"/>
                <w:highlight w:val="none"/>
                <w:lang w:val="en-US" w:eastAsia="zh-CN"/>
              </w:rPr>
              <w:t>多年平均相对湿度</w:t>
            </w:r>
            <w:bookmarkEnd w:id="3663"/>
            <w:bookmarkEnd w:id="3664"/>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200B32D8">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65" w:name="_Toc16026"/>
            <w:bookmarkStart w:id="3666" w:name="_Toc17394"/>
            <w:r>
              <w:rPr>
                <w:rFonts w:hint="eastAsia" w:ascii="Times New Roman" w:hAnsi="Times New Roman" w:eastAsia="宋体" w:cs="Times New Roman"/>
                <w:color w:val="auto"/>
                <w:sz w:val="21"/>
                <w:szCs w:val="21"/>
                <w:highlight w:val="none"/>
                <w:lang w:val="en-US" w:eastAsia="zh-CN"/>
              </w:rPr>
              <w:t>%</w:t>
            </w:r>
            <w:bookmarkEnd w:id="3665"/>
            <w:bookmarkEnd w:id="3666"/>
          </w:p>
        </w:tc>
        <w:tc>
          <w:tcPr>
            <w:tcW w:w="1189" w:type="pct"/>
            <w:noWrap w:val="0"/>
            <w:vAlign w:val="center"/>
          </w:tcPr>
          <w:p w14:paraId="5C83F5A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667" w:name="_Toc27792"/>
            <w:bookmarkStart w:id="3668" w:name="_Toc32170"/>
            <w:r>
              <w:rPr>
                <w:rFonts w:hint="eastAsia" w:ascii="Times New Roman" w:hAnsi="Times New Roman" w:eastAsia="宋体" w:cs="Times New Roman"/>
                <w:color w:val="auto"/>
                <w:sz w:val="21"/>
                <w:szCs w:val="21"/>
                <w:highlight w:val="none"/>
                <w:lang w:val="en-US" w:eastAsia="zh-CN"/>
              </w:rPr>
              <w:t>57.93</w:t>
            </w:r>
            <w:bookmarkEnd w:id="3667"/>
            <w:bookmarkEnd w:id="3668"/>
          </w:p>
        </w:tc>
        <w:tc>
          <w:tcPr>
            <w:tcW w:w="1594" w:type="pct"/>
            <w:tcBorders>
              <w:right w:val="nil"/>
            </w:tcBorders>
            <w:noWrap w:val="0"/>
            <w:vAlign w:val="center"/>
          </w:tcPr>
          <w:p w14:paraId="1F48B04A">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347F8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5751C3E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69" w:name="_Toc15687"/>
            <w:bookmarkStart w:id="3670" w:name="_Toc3457"/>
            <w:r>
              <w:rPr>
                <w:rFonts w:hint="eastAsia" w:ascii="Times New Roman" w:hAnsi="Times New Roman" w:eastAsia="宋体" w:cs="Times New Roman"/>
                <w:color w:val="auto"/>
                <w:sz w:val="21"/>
                <w:szCs w:val="21"/>
                <w:highlight w:val="none"/>
                <w:lang w:val="en-US" w:eastAsia="zh-CN"/>
              </w:rPr>
              <w:t>11</w:t>
            </w:r>
            <w:bookmarkEnd w:id="3669"/>
            <w:bookmarkEnd w:id="3670"/>
          </w:p>
        </w:tc>
        <w:tc>
          <w:tcPr>
            <w:tcW w:w="1308" w:type="pct"/>
            <w:noWrap w:val="0"/>
            <w:vAlign w:val="center"/>
          </w:tcPr>
          <w:p w14:paraId="00529ED2">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71" w:name="_Toc4502"/>
            <w:bookmarkStart w:id="3672" w:name="_Toc8477"/>
            <w:r>
              <w:rPr>
                <w:rFonts w:hint="eastAsia" w:ascii="Times New Roman" w:hAnsi="Times New Roman" w:eastAsia="宋体" w:cs="Times New Roman"/>
                <w:color w:val="auto"/>
                <w:sz w:val="21"/>
                <w:szCs w:val="21"/>
                <w:highlight w:val="none"/>
                <w:lang w:val="en-US" w:eastAsia="zh-CN"/>
              </w:rPr>
              <w:t>多年平均降水量</w:t>
            </w:r>
            <w:bookmarkEnd w:id="3671"/>
            <w:bookmarkEnd w:id="3672"/>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0B7819E2">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73" w:name="_Toc4762"/>
            <w:bookmarkStart w:id="3674" w:name="_Toc23157"/>
            <w:r>
              <w:rPr>
                <w:rFonts w:hint="eastAsia" w:ascii="Times New Roman" w:hAnsi="Times New Roman" w:eastAsia="宋体" w:cs="Times New Roman"/>
                <w:color w:val="auto"/>
                <w:sz w:val="21"/>
                <w:szCs w:val="21"/>
                <w:highlight w:val="none"/>
                <w:lang w:val="en-US" w:eastAsia="zh-CN"/>
              </w:rPr>
              <w:t>mm</w:t>
            </w:r>
            <w:bookmarkEnd w:id="3673"/>
            <w:bookmarkEnd w:id="3674"/>
          </w:p>
        </w:tc>
        <w:tc>
          <w:tcPr>
            <w:tcW w:w="1189" w:type="pct"/>
            <w:noWrap w:val="0"/>
            <w:vAlign w:val="center"/>
          </w:tcPr>
          <w:p w14:paraId="122EB03E">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75" w:name="_Toc28846"/>
            <w:bookmarkStart w:id="3676" w:name="_Toc19031"/>
            <w:r>
              <w:rPr>
                <w:rFonts w:hint="eastAsia" w:ascii="Times New Roman" w:hAnsi="Times New Roman" w:eastAsia="宋体" w:cs="Times New Roman"/>
                <w:color w:val="auto"/>
                <w:sz w:val="21"/>
                <w:szCs w:val="21"/>
                <w:highlight w:val="none"/>
                <w:lang w:val="en-US" w:eastAsia="zh-CN"/>
              </w:rPr>
              <w:t>480.51</w:t>
            </w:r>
            <w:bookmarkEnd w:id="3675"/>
            <w:bookmarkEnd w:id="3676"/>
          </w:p>
        </w:tc>
        <w:tc>
          <w:tcPr>
            <w:tcW w:w="1594" w:type="pct"/>
            <w:tcBorders>
              <w:right w:val="nil"/>
            </w:tcBorders>
            <w:noWrap w:val="0"/>
            <w:vAlign w:val="center"/>
          </w:tcPr>
          <w:p w14:paraId="4074F0E6">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21854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541F4719">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77" w:name="_Toc5365"/>
            <w:bookmarkStart w:id="3678" w:name="_Toc22275"/>
            <w:r>
              <w:rPr>
                <w:rFonts w:hint="eastAsia" w:ascii="Times New Roman" w:hAnsi="Times New Roman" w:eastAsia="宋体" w:cs="Times New Roman"/>
                <w:color w:val="auto"/>
                <w:sz w:val="21"/>
                <w:szCs w:val="21"/>
                <w:highlight w:val="none"/>
                <w:lang w:val="en-US" w:eastAsia="zh-CN"/>
              </w:rPr>
              <w:t>12</w:t>
            </w:r>
            <w:bookmarkEnd w:id="3677"/>
            <w:bookmarkEnd w:id="3678"/>
          </w:p>
        </w:tc>
        <w:tc>
          <w:tcPr>
            <w:tcW w:w="1308" w:type="pct"/>
            <w:noWrap w:val="0"/>
            <w:vAlign w:val="center"/>
          </w:tcPr>
          <w:p w14:paraId="35D9B72A">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79" w:name="_Toc19754"/>
            <w:bookmarkStart w:id="3680" w:name="_Toc23621"/>
            <w:r>
              <w:rPr>
                <w:rFonts w:hint="eastAsia" w:ascii="Times New Roman" w:hAnsi="Times New Roman" w:eastAsia="宋体" w:cs="Times New Roman"/>
                <w:color w:val="auto"/>
                <w:sz w:val="21"/>
                <w:szCs w:val="21"/>
                <w:highlight w:val="none"/>
                <w:lang w:val="en-US" w:eastAsia="zh-CN"/>
              </w:rPr>
              <w:t>多年最大日降水量</w:t>
            </w:r>
            <w:bookmarkEnd w:id="3679"/>
            <w:bookmarkEnd w:id="3680"/>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43539CDE">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81" w:name="_Toc23240"/>
            <w:bookmarkStart w:id="3682" w:name="_Toc6882"/>
            <w:r>
              <w:rPr>
                <w:rFonts w:hint="eastAsia" w:ascii="Times New Roman" w:hAnsi="Times New Roman" w:eastAsia="宋体" w:cs="Times New Roman"/>
                <w:color w:val="auto"/>
                <w:sz w:val="21"/>
                <w:szCs w:val="21"/>
                <w:highlight w:val="none"/>
                <w:lang w:val="en-US" w:eastAsia="zh-CN"/>
              </w:rPr>
              <w:t>mm</w:t>
            </w:r>
            <w:bookmarkEnd w:id="3681"/>
            <w:bookmarkEnd w:id="3682"/>
          </w:p>
        </w:tc>
        <w:tc>
          <w:tcPr>
            <w:tcW w:w="1189" w:type="pct"/>
            <w:noWrap w:val="0"/>
            <w:vAlign w:val="center"/>
          </w:tcPr>
          <w:p w14:paraId="779D9A0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683" w:name="_Toc25503"/>
            <w:bookmarkStart w:id="3684" w:name="_Toc29458"/>
            <w:r>
              <w:rPr>
                <w:rFonts w:hint="eastAsia" w:ascii="Times New Roman" w:hAnsi="Times New Roman" w:eastAsia="宋体" w:cs="Times New Roman"/>
                <w:color w:val="auto"/>
                <w:sz w:val="21"/>
                <w:szCs w:val="21"/>
                <w:highlight w:val="none"/>
                <w:lang w:val="en-US" w:eastAsia="zh-CN"/>
              </w:rPr>
              <w:t>81.2</w:t>
            </w:r>
            <w:bookmarkEnd w:id="3683"/>
            <w:bookmarkEnd w:id="3684"/>
          </w:p>
        </w:tc>
        <w:tc>
          <w:tcPr>
            <w:tcW w:w="1594" w:type="pct"/>
            <w:tcBorders>
              <w:right w:val="nil"/>
            </w:tcBorders>
            <w:noWrap w:val="0"/>
            <w:vAlign w:val="center"/>
          </w:tcPr>
          <w:p w14:paraId="06E61D2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85" w:name="_Toc27750"/>
            <w:bookmarkStart w:id="3686" w:name="_Toc6422"/>
            <w:r>
              <w:rPr>
                <w:rFonts w:hint="eastAsia" w:ascii="Times New Roman" w:hAnsi="Times New Roman" w:eastAsia="宋体" w:cs="Times New Roman"/>
                <w:color w:val="auto"/>
                <w:sz w:val="21"/>
                <w:szCs w:val="21"/>
                <w:highlight w:val="none"/>
                <w:lang w:val="en-US" w:eastAsia="zh-CN"/>
              </w:rPr>
              <w:t>2006年8月14日</w:t>
            </w:r>
            <w:bookmarkEnd w:id="3685"/>
            <w:bookmarkEnd w:id="3686"/>
          </w:p>
        </w:tc>
      </w:tr>
      <w:tr w14:paraId="0B6E8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437DE358">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87" w:name="_Toc32524"/>
            <w:bookmarkStart w:id="3688" w:name="_Toc29469"/>
            <w:r>
              <w:rPr>
                <w:rFonts w:hint="eastAsia" w:ascii="Times New Roman" w:hAnsi="Times New Roman" w:eastAsia="宋体" w:cs="Times New Roman"/>
                <w:color w:val="auto"/>
                <w:sz w:val="21"/>
                <w:szCs w:val="21"/>
                <w:highlight w:val="none"/>
                <w:lang w:val="en-US" w:eastAsia="zh-CN"/>
              </w:rPr>
              <w:t>13</w:t>
            </w:r>
            <w:bookmarkEnd w:id="3687"/>
            <w:bookmarkEnd w:id="3688"/>
          </w:p>
        </w:tc>
        <w:tc>
          <w:tcPr>
            <w:tcW w:w="1308" w:type="pct"/>
            <w:noWrap w:val="0"/>
            <w:vAlign w:val="center"/>
          </w:tcPr>
          <w:p w14:paraId="3A3F3383">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89" w:name="_Toc4609"/>
            <w:bookmarkStart w:id="3690" w:name="_Toc32348"/>
            <w:r>
              <w:rPr>
                <w:rFonts w:hint="eastAsia" w:ascii="Times New Roman" w:hAnsi="Times New Roman" w:eastAsia="宋体" w:cs="Times New Roman"/>
                <w:color w:val="auto"/>
                <w:sz w:val="21"/>
                <w:szCs w:val="21"/>
                <w:highlight w:val="none"/>
                <w:lang w:val="en-US" w:eastAsia="zh-CN"/>
              </w:rPr>
              <w:t>多年平均雷暴日数</w:t>
            </w:r>
            <w:bookmarkEnd w:id="3689"/>
            <w:bookmarkEnd w:id="3690"/>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2BC58109">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91" w:name="_Toc15068"/>
            <w:bookmarkStart w:id="3692" w:name="_Toc24597"/>
            <w:r>
              <w:rPr>
                <w:rFonts w:hint="eastAsia" w:ascii="Times New Roman" w:hAnsi="Times New Roman" w:eastAsia="宋体" w:cs="Times New Roman"/>
                <w:color w:val="auto"/>
                <w:sz w:val="21"/>
                <w:szCs w:val="21"/>
                <w:highlight w:val="none"/>
                <w:lang w:val="en-US" w:eastAsia="zh-CN"/>
              </w:rPr>
              <w:t>d</w:t>
            </w:r>
            <w:bookmarkEnd w:id="3691"/>
            <w:bookmarkEnd w:id="3692"/>
          </w:p>
        </w:tc>
        <w:tc>
          <w:tcPr>
            <w:tcW w:w="1189" w:type="pct"/>
            <w:noWrap w:val="0"/>
            <w:vAlign w:val="center"/>
          </w:tcPr>
          <w:p w14:paraId="405C3E14">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93" w:name="_Toc19046"/>
            <w:bookmarkStart w:id="3694" w:name="_Toc19360"/>
            <w:r>
              <w:rPr>
                <w:rFonts w:hint="eastAsia" w:ascii="Times New Roman" w:hAnsi="Times New Roman" w:eastAsia="宋体" w:cs="Times New Roman"/>
                <w:color w:val="auto"/>
                <w:sz w:val="21"/>
                <w:szCs w:val="21"/>
                <w:highlight w:val="none"/>
                <w:lang w:val="en-US" w:eastAsia="zh-CN"/>
              </w:rPr>
              <w:t>18.4</w:t>
            </w:r>
            <w:bookmarkEnd w:id="3693"/>
            <w:bookmarkEnd w:id="3694"/>
          </w:p>
        </w:tc>
        <w:tc>
          <w:tcPr>
            <w:tcW w:w="1594" w:type="pct"/>
            <w:tcBorders>
              <w:right w:val="nil"/>
            </w:tcBorders>
            <w:noWrap w:val="0"/>
            <w:vAlign w:val="center"/>
          </w:tcPr>
          <w:p w14:paraId="3395A985">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42366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445FBF20">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95" w:name="_Toc32701"/>
            <w:bookmarkStart w:id="3696" w:name="_Toc1992"/>
            <w:r>
              <w:rPr>
                <w:rFonts w:hint="eastAsia" w:ascii="Times New Roman" w:hAnsi="Times New Roman" w:eastAsia="宋体" w:cs="Times New Roman"/>
                <w:color w:val="auto"/>
                <w:sz w:val="21"/>
                <w:szCs w:val="21"/>
                <w:highlight w:val="none"/>
                <w:lang w:val="en-US" w:eastAsia="zh-CN"/>
              </w:rPr>
              <w:t>14</w:t>
            </w:r>
            <w:bookmarkEnd w:id="3695"/>
            <w:bookmarkEnd w:id="3696"/>
          </w:p>
        </w:tc>
        <w:tc>
          <w:tcPr>
            <w:tcW w:w="1308" w:type="pct"/>
            <w:noWrap w:val="0"/>
            <w:vAlign w:val="center"/>
          </w:tcPr>
          <w:p w14:paraId="46BEA345">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97" w:name="_Toc1060"/>
            <w:bookmarkStart w:id="3698" w:name="_Toc17959"/>
            <w:r>
              <w:rPr>
                <w:rFonts w:hint="eastAsia" w:ascii="Times New Roman" w:hAnsi="Times New Roman" w:eastAsia="宋体" w:cs="Times New Roman"/>
                <w:color w:val="auto"/>
                <w:sz w:val="21"/>
                <w:szCs w:val="21"/>
                <w:highlight w:val="none"/>
                <w:lang w:val="en-US" w:eastAsia="zh-CN"/>
              </w:rPr>
              <w:t>多年平均大风日数</w:t>
            </w:r>
            <w:bookmarkEnd w:id="3697"/>
            <w:bookmarkEnd w:id="3698"/>
            <w:r>
              <w:rPr>
                <w:rFonts w:hint="eastAsia" w:ascii="Times New Roman" w:hAnsi="Times New Roman" w:eastAsia="宋体" w:cs="Times New Roman"/>
                <w:color w:val="auto"/>
                <w:sz w:val="21"/>
                <w:szCs w:val="21"/>
                <w:highlight w:val="none"/>
                <w:lang w:val="en-US" w:eastAsia="zh-CN"/>
              </w:rPr>
              <w:t xml:space="preserve">              </w:t>
            </w:r>
          </w:p>
        </w:tc>
        <w:tc>
          <w:tcPr>
            <w:tcW w:w="510" w:type="pct"/>
            <w:noWrap w:val="0"/>
            <w:vAlign w:val="center"/>
          </w:tcPr>
          <w:p w14:paraId="4B09EE64">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699" w:name="_Toc13576"/>
            <w:bookmarkStart w:id="3700" w:name="_Toc27718"/>
            <w:r>
              <w:rPr>
                <w:rFonts w:hint="eastAsia" w:ascii="Times New Roman" w:hAnsi="Times New Roman" w:eastAsia="宋体" w:cs="Times New Roman"/>
                <w:color w:val="auto"/>
                <w:sz w:val="21"/>
                <w:szCs w:val="21"/>
                <w:highlight w:val="none"/>
                <w:lang w:val="en-US" w:eastAsia="zh-CN"/>
              </w:rPr>
              <w:t>d</w:t>
            </w:r>
            <w:bookmarkEnd w:id="3699"/>
            <w:bookmarkEnd w:id="3700"/>
          </w:p>
        </w:tc>
        <w:tc>
          <w:tcPr>
            <w:tcW w:w="1189" w:type="pct"/>
            <w:noWrap w:val="0"/>
            <w:vAlign w:val="center"/>
          </w:tcPr>
          <w:p w14:paraId="7231ED34">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701" w:name="_Toc30912"/>
            <w:bookmarkStart w:id="3702" w:name="_Toc21073"/>
            <w:r>
              <w:rPr>
                <w:rFonts w:hint="eastAsia" w:ascii="Times New Roman" w:hAnsi="Times New Roman" w:eastAsia="宋体" w:cs="Times New Roman"/>
                <w:color w:val="auto"/>
                <w:sz w:val="21"/>
                <w:szCs w:val="21"/>
                <w:highlight w:val="none"/>
                <w:lang w:val="en-US" w:eastAsia="zh-CN"/>
              </w:rPr>
              <w:t>4.8</w:t>
            </w:r>
            <w:bookmarkEnd w:id="3701"/>
            <w:bookmarkEnd w:id="3702"/>
          </w:p>
        </w:tc>
        <w:tc>
          <w:tcPr>
            <w:tcW w:w="1594" w:type="pct"/>
            <w:tcBorders>
              <w:right w:val="nil"/>
            </w:tcBorders>
            <w:noWrap w:val="0"/>
            <w:vAlign w:val="center"/>
          </w:tcPr>
          <w:p w14:paraId="73992204">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32F4A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98" w:type="pct"/>
            <w:tcBorders>
              <w:left w:val="nil"/>
            </w:tcBorders>
            <w:noWrap w:val="0"/>
            <w:vAlign w:val="center"/>
          </w:tcPr>
          <w:p w14:paraId="7AF88A59">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703" w:name="_Toc27908"/>
            <w:bookmarkStart w:id="3704" w:name="_Toc22017"/>
            <w:r>
              <w:rPr>
                <w:rFonts w:hint="eastAsia" w:ascii="Times New Roman" w:hAnsi="Times New Roman" w:eastAsia="宋体" w:cs="Times New Roman"/>
                <w:color w:val="auto"/>
                <w:sz w:val="21"/>
                <w:szCs w:val="21"/>
                <w:highlight w:val="none"/>
                <w:lang w:val="en-US" w:eastAsia="zh-CN"/>
              </w:rPr>
              <w:t>15</w:t>
            </w:r>
            <w:bookmarkEnd w:id="3703"/>
            <w:bookmarkEnd w:id="3704"/>
          </w:p>
        </w:tc>
        <w:tc>
          <w:tcPr>
            <w:tcW w:w="1308" w:type="pct"/>
            <w:noWrap w:val="0"/>
            <w:vAlign w:val="center"/>
          </w:tcPr>
          <w:p w14:paraId="3226ABF4">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705" w:name="_Toc30885"/>
            <w:bookmarkStart w:id="3706" w:name="_Toc31172"/>
            <w:r>
              <w:rPr>
                <w:rFonts w:hint="eastAsia" w:ascii="Times New Roman" w:hAnsi="Times New Roman" w:eastAsia="宋体" w:cs="Times New Roman"/>
                <w:color w:val="auto"/>
                <w:sz w:val="21"/>
                <w:szCs w:val="21"/>
                <w:highlight w:val="none"/>
                <w:lang w:val="en-US" w:eastAsia="zh-CN"/>
              </w:rPr>
              <w:t>多年平均冰雹日数</w:t>
            </w:r>
            <w:bookmarkEnd w:id="3705"/>
            <w:bookmarkEnd w:id="3706"/>
          </w:p>
        </w:tc>
        <w:tc>
          <w:tcPr>
            <w:tcW w:w="510" w:type="pct"/>
            <w:noWrap w:val="0"/>
            <w:vAlign w:val="center"/>
          </w:tcPr>
          <w:p w14:paraId="5A5E7DA1">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3707" w:name="_Toc9014"/>
            <w:bookmarkStart w:id="3708" w:name="_Toc23093"/>
            <w:r>
              <w:rPr>
                <w:rFonts w:hint="eastAsia" w:ascii="Times New Roman" w:hAnsi="Times New Roman" w:eastAsia="宋体" w:cs="Times New Roman"/>
                <w:color w:val="auto"/>
                <w:sz w:val="21"/>
                <w:szCs w:val="21"/>
                <w:highlight w:val="none"/>
                <w:lang w:val="en-US" w:eastAsia="zh-CN"/>
              </w:rPr>
              <w:t>d</w:t>
            </w:r>
            <w:bookmarkEnd w:id="3707"/>
            <w:bookmarkEnd w:id="3708"/>
          </w:p>
        </w:tc>
        <w:tc>
          <w:tcPr>
            <w:tcW w:w="1189" w:type="pct"/>
            <w:noWrap w:val="0"/>
            <w:vAlign w:val="center"/>
          </w:tcPr>
          <w:p w14:paraId="323369A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09" w:name="_Toc12032"/>
            <w:bookmarkStart w:id="3710" w:name="_Toc5614"/>
            <w:r>
              <w:rPr>
                <w:rFonts w:hint="eastAsia" w:ascii="Times New Roman" w:hAnsi="Times New Roman" w:eastAsia="宋体" w:cs="Times New Roman"/>
                <w:color w:val="auto"/>
                <w:sz w:val="21"/>
                <w:szCs w:val="21"/>
                <w:highlight w:val="none"/>
                <w:lang w:val="en-US" w:eastAsia="zh-CN"/>
              </w:rPr>
              <w:t>0.7</w:t>
            </w:r>
            <w:bookmarkEnd w:id="3709"/>
            <w:bookmarkEnd w:id="3710"/>
          </w:p>
        </w:tc>
        <w:tc>
          <w:tcPr>
            <w:tcW w:w="1594" w:type="pct"/>
            <w:tcBorders>
              <w:right w:val="nil"/>
            </w:tcBorders>
            <w:noWrap w:val="0"/>
            <w:vAlign w:val="center"/>
          </w:tcPr>
          <w:p w14:paraId="15456B4F">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p>
        </w:tc>
      </w:tr>
    </w:tbl>
    <w:p w14:paraId="742393DB">
      <w:pPr>
        <w:pStyle w:val="6"/>
        <w:bidi w:val="0"/>
        <w:rPr>
          <w:rFonts w:hint="default" w:ascii="Times New Roman" w:hAnsi="Times New Roman" w:cs="Times New Roman"/>
          <w:color w:val="auto"/>
          <w:sz w:val="28"/>
          <w:szCs w:val="28"/>
          <w:highlight w:val="none"/>
          <w:lang w:val="en-US" w:eastAsia="zh-CN"/>
        </w:rPr>
      </w:pPr>
      <w:bookmarkStart w:id="3711" w:name="_Toc609"/>
      <w:r>
        <w:rPr>
          <w:rFonts w:hint="default" w:ascii="Times New Roman" w:hAnsi="Times New Roman" w:cs="Times New Roman"/>
          <w:color w:val="auto"/>
          <w:sz w:val="28"/>
          <w:szCs w:val="28"/>
          <w:highlight w:val="none"/>
          <w:lang w:val="en-US" w:eastAsia="zh-CN"/>
        </w:rPr>
        <w:t>4.1.6水文地质</w:t>
      </w:r>
      <w:bookmarkEnd w:id="3571"/>
      <w:bookmarkEnd w:id="3572"/>
      <w:bookmarkEnd w:id="3711"/>
    </w:p>
    <w:p w14:paraId="7B0F854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本地区属茹河流域。河谷中有间歇性地表径流，上游水量较小，末段水量较大。该地区以白垩系下统的砂岩为基底，上覆第四系壤土、碎石、角砾等。茹河上游建有乃河水库、店洼水库、石家峡水库。对茹河流域的水土保持起到极大的作用。该地区内的水</w:t>
      </w:r>
      <w:r>
        <w:rPr>
          <w:rFonts w:hint="default" w:ascii="Times New Roman" w:hAnsi="Times New Roman" w:eastAsia="宋体" w:cs="Times New Roman"/>
          <w:color w:val="auto"/>
          <w:sz w:val="24"/>
          <w:highlight w:val="none"/>
        </w:rPr>
        <w:t>文情况根据其赋存条件，水力性质及水力特征，可划分为地表水及第四系孔隙潜水。第四系孔隙潜水由大气降水、茹河河水补给。地表水由大气降水及六盘山基岩裂隙水补给，沿河谷由西向东的方向迳流。河床内地下水受地表径流渗透补给，河道存在地表水。</w:t>
      </w:r>
    </w:p>
    <w:p w14:paraId="25193162">
      <w:pPr>
        <w:bidi w:val="0"/>
        <w:jc w:val="both"/>
        <w:rPr>
          <w:rFonts w:hint="default" w:ascii="Times New Roman" w:hAnsi="Times New Roman" w:cs="Times New Roman"/>
          <w:color w:val="auto"/>
          <w:highlight w:val="none"/>
        </w:rPr>
      </w:pPr>
      <w:bookmarkStart w:id="3712" w:name="_Toc278395605"/>
      <w:bookmarkStart w:id="3713" w:name="_Toc278551217"/>
      <w:bookmarkStart w:id="3714" w:name="_Toc287964435"/>
      <w:bookmarkStart w:id="3715" w:name="_Toc287964222"/>
      <w:bookmarkStart w:id="3716" w:name="_Toc300567129"/>
      <w:bookmarkStart w:id="3717" w:name="_Toc280737519"/>
      <w:bookmarkStart w:id="3718" w:name="_Toc278550136"/>
      <w:bookmarkStart w:id="3719" w:name="_Toc300563413"/>
      <w:r>
        <w:rPr>
          <w:rFonts w:hint="default" w:ascii="Times New Roman" w:hAnsi="Times New Roman" w:cs="Times New Roman"/>
          <w:color w:val="auto"/>
          <w:highlight w:val="none"/>
        </w:rPr>
        <w:t>茹河干流发源于固原市原州区开城乡水沟壕，由古城镇五里山入县境内，</w:t>
      </w:r>
      <w:r>
        <w:rPr>
          <w:rFonts w:hint="eastAsia" w:cs="Times New Roman"/>
          <w:color w:val="auto"/>
          <w:highlight w:val="none"/>
          <w:lang w:eastAsia="zh-CN"/>
        </w:rPr>
        <w:t>途经</w:t>
      </w:r>
      <w:r>
        <w:rPr>
          <w:rFonts w:hint="default" w:ascii="Times New Roman" w:hAnsi="Times New Roman" w:cs="Times New Roman"/>
          <w:color w:val="auto"/>
          <w:highlight w:val="none"/>
        </w:rPr>
        <w:t>古城镇、白阳镇、城阳乡3乡1城（彭阳县城），流至城阳乡沟圈出县境流入浦河，主河道长度91km，区内流域面积为2011</w:t>
      </w:r>
      <w:r>
        <w:rPr>
          <w:rFonts w:hint="default" w:ascii="Times New Roman" w:hAnsi="Times New Roman" w:cs="Times New Roman"/>
          <w:color w:val="auto"/>
          <w:highlight w:val="none"/>
          <w:lang w:val="en-US" w:eastAsia="zh-CN"/>
        </w:rPr>
        <w:t>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，河道平均比降6.54‰。另一水源发于甘肃省环县庙儿掌，在彭阳县城汇入茹河干流，流域面积1127</w:t>
      </w:r>
      <w:r>
        <w:rPr>
          <w:rFonts w:hint="default" w:ascii="Times New Roman" w:hAnsi="Times New Roman" w:cs="Times New Roman"/>
          <w:color w:val="auto"/>
          <w:highlight w:val="none"/>
          <w:lang w:val="en-US" w:eastAsia="zh-CN"/>
        </w:rPr>
        <w:t>km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，全长74.6km，河道平均比降3.07‰。茹河流域涉及古城镇、白阳镇、城阳乡、草庙乡、孟塬乡、王洼镇、交岔乡等4乡3镇89个行政村490个自然村。</w:t>
      </w:r>
      <w:bookmarkEnd w:id="3712"/>
      <w:bookmarkEnd w:id="3713"/>
      <w:bookmarkEnd w:id="3714"/>
      <w:bookmarkEnd w:id="3715"/>
      <w:bookmarkEnd w:id="3716"/>
      <w:bookmarkEnd w:id="3717"/>
      <w:bookmarkEnd w:id="3718"/>
      <w:bookmarkEnd w:id="3719"/>
    </w:p>
    <w:p w14:paraId="34CF2071">
      <w:pPr>
        <w:bidi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茹河地处西北黄土高原东部黄土丘陵区，海拔1292～2416m，地形由西北向东南呈坡状倾斜，地形复杂，地貌破碎，沟壑纵横，属黄土高原丘陵及沟壑区第二副区，水土流失严重。茹河两岸阶地地势平坦，川塬相向，塬间平坦。</w:t>
      </w:r>
    </w:p>
    <w:p w14:paraId="55209B42">
      <w:pPr>
        <w:bidi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茹河山沟发育，多呈长条形，垂直于山脊平行排列，除发洪水外，多为干沟。茹河河床比降较陡，为1/50～1/400，河道宽20～150m，河谷深切，局部形成高达3～15m的阶地陡坎，属地下河流。</w:t>
      </w:r>
    </w:p>
    <w:p w14:paraId="0122111B">
      <w:pPr>
        <w:bidi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流域的径流特点是年内分配不均，与降水的年内变化关系十分密切，由于70%的降水集中在6～9月，因此68.9%的径流集中在汛期6～9月，7～8月占49.7%，8月份径流最大，占26.4％，平水期流量小，12月至次年1月连底冻。径流的年际变化很大，不仅有丰枯交替的特点，更为严重的是存在连续干旱的情况。</w:t>
      </w:r>
    </w:p>
    <w:p w14:paraId="3C7218F7">
      <w:pPr>
        <w:pStyle w:val="6"/>
        <w:bidi w:val="0"/>
        <w:rPr>
          <w:rFonts w:hint="default" w:ascii="Times New Roman" w:hAnsi="Times New Roman" w:eastAsia="宋体" w:cs="Times New Roman"/>
          <w:color w:val="auto"/>
          <w:sz w:val="28"/>
          <w:szCs w:val="28"/>
          <w:highlight w:val="none"/>
          <w:lang w:val="en-US" w:eastAsia="zh-CN"/>
        </w:rPr>
      </w:pPr>
      <w:bookmarkStart w:id="3720" w:name="_Toc21907"/>
      <w:r>
        <w:rPr>
          <w:rFonts w:hint="default" w:ascii="Times New Roman" w:hAnsi="Times New Roman" w:eastAsia="宋体" w:cs="Times New Roman"/>
          <w:color w:val="auto"/>
          <w:sz w:val="28"/>
          <w:szCs w:val="28"/>
          <w:highlight w:val="none"/>
          <w:lang w:val="en-US" w:eastAsia="zh-CN"/>
        </w:rPr>
        <w:t>4.1.7</w:t>
      </w:r>
      <w:r>
        <w:rPr>
          <w:rFonts w:hint="eastAsia" w:cs="Times New Roman"/>
          <w:color w:val="auto"/>
          <w:sz w:val="28"/>
          <w:szCs w:val="28"/>
          <w:highlight w:val="none"/>
          <w:lang w:val="en-US" w:eastAsia="zh-CN"/>
        </w:rPr>
        <w:t>工程地质条件</w:t>
      </w:r>
      <w:bookmarkEnd w:id="3720"/>
    </w:p>
    <w:p w14:paraId="41127EAD">
      <w:pPr>
        <w:numPr>
          <w:ilvl w:val="0"/>
          <w:numId w:val="6"/>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茹河小河段工程地质条件</w:t>
      </w:r>
    </w:p>
    <w:p w14:paraId="5C09B93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场地属丘陵地貌单元，总体地势西北高东南低；壤土覆盖较厚，冲沟发育。河谷大体由西向东方向展布。由于流水切割侵蚀，河谷大致呈</w:t>
      </w:r>
      <w:r>
        <w:rPr>
          <w:rFonts w:hint="eastAsia" w:cs="Times New Roman"/>
          <w:color w:val="auto"/>
          <w:sz w:val="24"/>
          <w:highlight w:val="none"/>
          <w:lang w:eastAsia="zh-CN"/>
        </w:rPr>
        <w:t>“U”形</w:t>
      </w:r>
      <w:r>
        <w:rPr>
          <w:rFonts w:hint="default" w:ascii="Times New Roman" w:hAnsi="Times New Roman" w:cs="Times New Roman"/>
          <w:color w:val="auto"/>
          <w:sz w:val="24"/>
          <w:highlight w:val="none"/>
        </w:rPr>
        <w:t>，河谷两岸岸坡较陡。河床及河漫滩宽度20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40m，地形较平坦，由于洪水的冲刷与一级阶地形成3</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5m的陡坎；一级阶地不连续，大部分地段缺失；二级阶地分布范围广，沿河道延伸，宽度50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100m，两侧阶地向河床方向倾斜。河道沿线岸坡多</w:t>
      </w:r>
      <w:r>
        <w:rPr>
          <w:rFonts w:hint="eastAsia" w:cs="Times New Roman"/>
          <w:color w:val="auto"/>
          <w:sz w:val="24"/>
          <w:highlight w:val="none"/>
          <w:lang w:eastAsia="zh-CN"/>
        </w:rPr>
        <w:t>呈</w:t>
      </w:r>
      <w:r>
        <w:rPr>
          <w:rFonts w:hint="default" w:ascii="Times New Roman" w:hAnsi="Times New Roman" w:cs="Times New Roman"/>
          <w:color w:val="auto"/>
          <w:sz w:val="24"/>
          <w:highlight w:val="none"/>
        </w:rPr>
        <w:t>立直陡坎，在河水的冲刷下部分地区存在较严重的崩塌、滑坡等不良地质现象。该地区第四系覆盖层较厚，场地地貌单元单一，无滑坡、泥石流等不良地质作用，局部地段有小范围的坍塌现象。没有发现断层及大的裂隙等对该工程有不利影响的构造痕迹。</w:t>
      </w:r>
      <w:bookmarkStart w:id="3721" w:name="OLE_LINK23"/>
      <w:r>
        <w:rPr>
          <w:rFonts w:hint="default" w:ascii="Times New Roman" w:hAnsi="Times New Roman" w:cs="Times New Roman"/>
          <w:color w:val="auto"/>
          <w:sz w:val="24"/>
          <w:highlight w:val="none"/>
        </w:rPr>
        <w:t>工作区地下水可分为第四系孔隙潜水和基岩裂隙水，均由大气降水补给，受季节影响较大，地下水多以下降泉的形式沿河谷分布，出露于地表，汇入河流。勘察期间场地河道内有地表水流，河漫滩处地下水位埋深较浅。</w:t>
      </w:r>
    </w:p>
    <w:bookmarkEnd w:id="3721"/>
    <w:p w14:paraId="47D7E8BD">
      <w:pPr>
        <w:numPr>
          <w:ilvl w:val="0"/>
          <w:numId w:val="6"/>
        </w:numPr>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3722" w:name="_Toc205565913"/>
      <w:r>
        <w:rPr>
          <w:rFonts w:hint="default" w:ascii="Times New Roman" w:hAnsi="Times New Roman" w:eastAsia="宋体" w:cs="Times New Roman"/>
          <w:color w:val="auto"/>
          <w:sz w:val="24"/>
          <w:highlight w:val="none"/>
          <w:lang w:val="en-US" w:eastAsia="zh-CN"/>
        </w:rPr>
        <w:t>石头崾岘水库清淤堆场工程地质条件</w:t>
      </w:r>
      <w:bookmarkEnd w:id="3722"/>
    </w:p>
    <w:p w14:paraId="15AAA22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场地属宁南黄土丘陵地貌单元，总的地势是西北高、东南低，壤土覆盖较厚，冲沟发育。河谷大体由西向东方向展布。由于流水切割侵蚀，河谷大致呈</w:t>
      </w:r>
      <w:r>
        <w:rPr>
          <w:rFonts w:hint="eastAsia" w:cs="Times New Roman"/>
          <w:color w:val="auto"/>
          <w:sz w:val="24"/>
          <w:highlight w:val="none"/>
          <w:lang w:val="en-US" w:eastAsia="zh-CN"/>
        </w:rPr>
        <w:t>“U”形</w:t>
      </w:r>
      <w:r>
        <w:rPr>
          <w:rFonts w:hint="default" w:ascii="Times New Roman" w:hAnsi="Times New Roman" w:eastAsia="宋体" w:cs="Times New Roman"/>
          <w:color w:val="auto"/>
          <w:sz w:val="24"/>
          <w:highlight w:val="none"/>
          <w:lang w:val="en-US" w:eastAsia="zh-CN"/>
        </w:rPr>
        <w:t>，河谷两岸岸坡较陡。</w:t>
      </w:r>
    </w:p>
    <w:p w14:paraId="05463EC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河床及河漫滩最大宽度约470m，地形较平坦，由于洪水的冲刷与一级阶地形成3m～5m的陡坎；一级阶地不连续，大部分地段缺失；二级阶地分布范围广，沿河道延伸，宽度50m～100m，两侧阶地向河床方向倾斜，植被茂盛。</w:t>
      </w:r>
    </w:p>
    <w:p w14:paraId="08A15A3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lang w:val="en-US" w:eastAsia="zh-CN"/>
        </w:rPr>
        <w:t>河道沿线岸坡多成立直陡坎，近岸的陡坡悬崖岩体由于受卸荷及流水侵蚀作用的影响，卸荷裂隙发育，部分地区存在较严重的崩塌、滑坡等不良地质现象，崩塌及残坡堆积物断续分布在陡崖下及缓坡上。</w:t>
      </w:r>
      <w:r>
        <w:rPr>
          <w:rFonts w:hint="default" w:ascii="Times New Roman" w:hAnsi="Times New Roman" w:cs="Times New Roman"/>
          <w:color w:val="auto"/>
          <w:sz w:val="24"/>
          <w:highlight w:val="none"/>
        </w:rPr>
        <w:t>依据堆场库区内地质调查成果，结合区域地质资料，堆场区内无活动性断裂构造分布。</w:t>
      </w:r>
    </w:p>
    <w:p w14:paraId="60C468A1">
      <w:pPr>
        <w:spacing w:line="360" w:lineRule="auto"/>
        <w:ind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勘察期间，河道内零星发育地表水流，自西向东径流，水深不大，流速缓慢。在勘察深度范围内，堆场区存在地下水，类型为第四系孔隙潜水，主要含水层为①层淤泥、</w:t>
      </w:r>
      <w:r>
        <w:rPr>
          <w:rFonts w:hint="default" w:ascii="Times New Roman" w:hAnsi="Times New Roman" w:cs="Times New Roman"/>
          <w:color w:val="auto"/>
          <w:highlight w:val="none"/>
        </w:rPr>
        <w:t>②层</w:t>
      </w:r>
      <w:r>
        <w:rPr>
          <w:rFonts w:hint="default" w:ascii="Times New Roman" w:hAnsi="Times New Roman" w:cs="Times New Roman"/>
          <w:color w:val="auto"/>
          <w:sz w:val="24"/>
          <w:highlight w:val="none"/>
        </w:rPr>
        <w:t>淤泥质壤土，补给来源为大气降水、河道内地表水下渗，排泄途径主要为蒸发、由西向东沿河谷径流排泄。稳定地下水位一般埋深0.6m～1.0m，水位变幅1.0m～1.5m。</w:t>
      </w:r>
    </w:p>
    <w:p w14:paraId="3F65CFC6">
      <w:pPr>
        <w:pStyle w:val="6"/>
        <w:bidi w:val="0"/>
        <w:rPr>
          <w:rFonts w:hint="default" w:ascii="Times New Roman" w:hAnsi="Times New Roman" w:eastAsia="宋体" w:cs="Times New Roman"/>
          <w:color w:val="auto"/>
          <w:sz w:val="28"/>
          <w:szCs w:val="28"/>
          <w:highlight w:val="none"/>
          <w:lang w:val="en-US" w:eastAsia="zh-CN"/>
        </w:rPr>
      </w:pPr>
      <w:bookmarkStart w:id="3723" w:name="_Toc8822"/>
      <w:bookmarkStart w:id="3724" w:name="_Toc1149"/>
      <w:bookmarkStart w:id="3725" w:name="_Toc29033"/>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lang w:val="en-US" w:eastAsia="zh-CN"/>
        </w:rPr>
        <w:t>土壤及植被</w:t>
      </w:r>
      <w:bookmarkEnd w:id="3723"/>
      <w:bookmarkEnd w:id="3724"/>
      <w:bookmarkEnd w:id="3725"/>
    </w:p>
    <w:p w14:paraId="575B4DFD">
      <w:pPr>
        <w:jc w:val="both"/>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彭阳县主要为</w:t>
      </w:r>
      <w:r>
        <w:rPr>
          <w:rFonts w:hint="default" w:ascii="Times New Roman" w:hAnsi="Times New Roman" w:cs="Times New Roman"/>
          <w:color w:val="auto"/>
          <w:sz w:val="24"/>
          <w:szCs w:val="24"/>
          <w:highlight w:val="none"/>
          <w:lang w:val="en-US" w:eastAsia="zh-CN"/>
        </w:rPr>
        <w:t>干旱丘陵区域，大部分区域属于退耕还林及退耕还草区，以次生林地和灌木林地及草地为主，原生草地分布较少，植物组成单一，但景观和物种多样性较好。干旱丘陵区总体植被长势及生物量较低。</w:t>
      </w:r>
    </w:p>
    <w:p w14:paraId="2F7A5B50">
      <w:pPr>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流域内的土壤主要为黄土性土和淡栗钙，分布面积约占流域面积的62%，分布在流域的北部和东部；其次为垆土，分布在流域的南部及西部，分布面积约占流域面积的20%；沿河道两侧及沟底分布红粘土、新积土等。</w:t>
      </w:r>
    </w:p>
    <w:p w14:paraId="4B445E5B">
      <w:pPr>
        <w:pStyle w:val="6"/>
        <w:bidi w:val="0"/>
        <w:rPr>
          <w:rFonts w:hint="default" w:ascii="Times New Roman" w:hAnsi="Times New Roman" w:eastAsia="宋体" w:cs="Times New Roman"/>
          <w:color w:val="auto"/>
          <w:sz w:val="28"/>
          <w:szCs w:val="28"/>
          <w:highlight w:val="none"/>
          <w:lang w:val="en-US" w:eastAsia="zh-CN"/>
        </w:rPr>
      </w:pPr>
      <w:bookmarkStart w:id="3726" w:name="_Toc6413"/>
      <w:bookmarkStart w:id="3727" w:name="_Toc3992"/>
      <w:bookmarkStart w:id="3728" w:name="_Toc3650"/>
      <w:r>
        <w:rPr>
          <w:rFonts w:hint="default" w:ascii="Times New Roman" w:hAnsi="Times New Roman" w:cs="Times New Roman"/>
          <w:color w:val="auto"/>
          <w:sz w:val="28"/>
          <w:szCs w:val="28"/>
          <w:highlight w:val="none"/>
          <w:lang w:val="en-US" w:eastAsia="zh-CN"/>
        </w:rPr>
        <w:t>4.1.</w:t>
      </w:r>
      <w:r>
        <w:rPr>
          <w:rFonts w:hint="eastAsia"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lang w:val="en-US" w:eastAsia="zh-CN"/>
        </w:rPr>
        <w:t>地震</w:t>
      </w:r>
      <w:bookmarkEnd w:id="3726"/>
      <w:bookmarkEnd w:id="3727"/>
      <w:bookmarkEnd w:id="3728"/>
    </w:p>
    <w:p w14:paraId="06683AEB">
      <w:pPr>
        <w:spacing w:line="360" w:lineRule="auto"/>
        <w:ind w:firstLine="480" w:firstLineChars="200"/>
        <w:jc w:val="both"/>
        <w:rPr>
          <w:rFonts w:hint="default" w:ascii="Times New Roman" w:hAnsi="Times New Roman" w:cs="Times New Roman"/>
          <w:color w:val="auto"/>
          <w:sz w:val="24"/>
          <w:highlight w:val="none"/>
        </w:rPr>
      </w:pPr>
      <w:bookmarkStart w:id="3729" w:name="_Toc19409"/>
      <w:bookmarkStart w:id="3730" w:name="_Toc4899"/>
      <w:r>
        <w:rPr>
          <w:rFonts w:hint="default" w:ascii="Times New Roman" w:hAnsi="Times New Roman" w:cs="Times New Roman"/>
          <w:color w:val="auto"/>
          <w:sz w:val="24"/>
          <w:highlight w:val="none"/>
        </w:rPr>
        <w:t>根据《中国地震动参数区划图》（1/400万），工程所在区地震动峰值加速度为0.20g，地震动反应谱特征周期0.45s，地震基本烈度为Ⅷ度，设计烈度采用Ⅷ度。</w:t>
      </w:r>
    </w:p>
    <w:p w14:paraId="42AE8F5F">
      <w:pPr>
        <w:pStyle w:val="4"/>
        <w:bidi w:val="0"/>
        <w:outlineLvl w:val="1"/>
        <w:rPr>
          <w:rFonts w:hint="default" w:ascii="Times New Roman" w:hAnsi="Times New Roman" w:cs="Times New Roman"/>
          <w:color w:val="auto"/>
          <w:sz w:val="28"/>
          <w:szCs w:val="28"/>
          <w:highlight w:val="none"/>
          <w:lang w:val="en-US" w:eastAsia="zh-CN"/>
        </w:rPr>
      </w:pPr>
      <w:bookmarkStart w:id="3731" w:name="_Toc21128"/>
      <w:bookmarkStart w:id="3732" w:name="_Toc20568"/>
      <w:r>
        <w:rPr>
          <w:rFonts w:hint="default" w:ascii="Times New Roman" w:hAnsi="Times New Roman" w:cs="Times New Roman"/>
          <w:color w:val="auto"/>
          <w:sz w:val="28"/>
          <w:szCs w:val="28"/>
          <w:highlight w:val="none"/>
          <w:lang w:val="en-US" w:eastAsia="zh-CN"/>
        </w:rPr>
        <w:t>4.2</w:t>
      </w:r>
      <w:r>
        <w:rPr>
          <w:rFonts w:hint="default" w:ascii="Times New Roman" w:hAnsi="Times New Roman" w:cs="Times New Roman"/>
          <w:color w:val="auto"/>
          <w:sz w:val="28"/>
          <w:szCs w:val="28"/>
          <w:highlight w:val="none"/>
        </w:rPr>
        <w:t>区域水资源</w:t>
      </w:r>
      <w:r>
        <w:rPr>
          <w:rFonts w:hint="default" w:ascii="Times New Roman" w:hAnsi="Times New Roman" w:cs="Times New Roman"/>
          <w:color w:val="auto"/>
          <w:sz w:val="28"/>
          <w:szCs w:val="28"/>
          <w:highlight w:val="none"/>
          <w:lang w:val="en-US" w:eastAsia="zh-CN"/>
        </w:rPr>
        <w:t>开发利用现状</w:t>
      </w:r>
      <w:bookmarkEnd w:id="3729"/>
      <w:bookmarkEnd w:id="3730"/>
      <w:bookmarkEnd w:id="3731"/>
      <w:bookmarkEnd w:id="3732"/>
    </w:p>
    <w:p w14:paraId="1A108E32">
      <w:pPr>
        <w:pStyle w:val="6"/>
        <w:bidi w:val="0"/>
        <w:rPr>
          <w:rFonts w:hint="default" w:ascii="Times New Roman" w:hAnsi="Times New Roman" w:cs="Times New Roman"/>
          <w:color w:val="auto"/>
          <w:sz w:val="28"/>
          <w:szCs w:val="28"/>
          <w:highlight w:val="none"/>
        </w:rPr>
      </w:pPr>
      <w:bookmarkStart w:id="3733" w:name="_Toc14367"/>
      <w:bookmarkStart w:id="3734" w:name="_Toc25013"/>
      <w:bookmarkStart w:id="3735" w:name="_Toc23651"/>
      <w:r>
        <w:rPr>
          <w:rFonts w:hint="default" w:ascii="Times New Roman" w:hAnsi="Times New Roman" w:cs="Times New Roman"/>
          <w:color w:val="auto"/>
          <w:sz w:val="28"/>
          <w:szCs w:val="28"/>
          <w:highlight w:val="none"/>
          <w:lang w:val="en-US" w:eastAsia="zh-CN"/>
        </w:rPr>
        <w:t>4.2.1</w:t>
      </w:r>
      <w:r>
        <w:rPr>
          <w:rFonts w:hint="default" w:ascii="Times New Roman" w:hAnsi="Times New Roman" w:cs="Times New Roman"/>
          <w:color w:val="auto"/>
          <w:sz w:val="28"/>
          <w:szCs w:val="28"/>
          <w:highlight w:val="none"/>
        </w:rPr>
        <w:t>彭阳县水资源量</w:t>
      </w:r>
      <w:bookmarkEnd w:id="3733"/>
      <w:bookmarkEnd w:id="3734"/>
      <w:bookmarkEnd w:id="3735"/>
    </w:p>
    <w:p w14:paraId="2180F124">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彭阳县多年平均降水量11.985亿m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，地表水资源量0.822亿m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，地下水资源量0.45亿m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，重复计算量0.399亿m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，彭阳县多年平均水资源总量为0.873亿m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，平均产水模数3.43万m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，可利用量0.180亿m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273EA505">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4.2-1</w:t>
      </w:r>
      <w:r>
        <w:rPr>
          <w:rFonts w:hint="default" w:ascii="Times New Roman" w:hAnsi="Times New Roman" w:eastAsia="宋体" w:cs="Times New Roman"/>
          <w:b/>
          <w:bCs/>
          <w:color w:val="auto"/>
          <w:sz w:val="24"/>
          <w:szCs w:val="24"/>
          <w:highlight w:val="none"/>
        </w:rPr>
        <w:t>彭阳县各分区水资源量成果表单位：万</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p>
    <w:tbl>
      <w:tblPr>
        <w:tblStyle w:val="3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395"/>
        <w:gridCol w:w="1515"/>
        <w:gridCol w:w="1485"/>
        <w:gridCol w:w="1710"/>
        <w:gridCol w:w="1291"/>
      </w:tblGrid>
      <w:tr w14:paraId="52AD2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dxa"/>
            <w:tcBorders>
              <w:tl2br w:val="nil"/>
              <w:tr2bl w:val="nil"/>
            </w:tcBorders>
            <w:vAlign w:val="center"/>
          </w:tcPr>
          <w:p w14:paraId="392CA532">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736" w:name="_Toc11399"/>
            <w:bookmarkStart w:id="3737" w:name="_Toc20201"/>
            <w:bookmarkStart w:id="3738" w:name="_Toc30694"/>
            <w:bookmarkStart w:id="3739" w:name="_Toc13697"/>
            <w:bookmarkStart w:id="3740" w:name="_Toc30889"/>
            <w:r>
              <w:rPr>
                <w:rFonts w:hint="default" w:ascii="Times New Roman" w:hAnsi="Times New Roman" w:eastAsia="宋体" w:cs="Times New Roman"/>
                <w:b/>
                <w:bCs/>
                <w:color w:val="auto"/>
                <w:sz w:val="21"/>
                <w:szCs w:val="21"/>
                <w:highlight w:val="none"/>
                <w:lang w:val="en-US" w:eastAsia="zh-CN"/>
              </w:rPr>
              <w:t>流域</w:t>
            </w:r>
            <w:bookmarkEnd w:id="3736"/>
            <w:bookmarkEnd w:id="3737"/>
            <w:bookmarkEnd w:id="3738"/>
            <w:bookmarkEnd w:id="3739"/>
            <w:bookmarkEnd w:id="3740"/>
          </w:p>
        </w:tc>
        <w:tc>
          <w:tcPr>
            <w:tcW w:w="1395" w:type="dxa"/>
            <w:tcBorders>
              <w:tl2br w:val="nil"/>
              <w:tr2bl w:val="nil"/>
            </w:tcBorders>
            <w:vAlign w:val="center"/>
          </w:tcPr>
          <w:p w14:paraId="562193E2">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741" w:name="_Toc25581"/>
            <w:bookmarkStart w:id="3742" w:name="_Toc31643"/>
            <w:bookmarkStart w:id="3743" w:name="_Toc14837"/>
            <w:bookmarkStart w:id="3744" w:name="_Toc22528"/>
            <w:bookmarkStart w:id="3745" w:name="_Toc16904"/>
            <w:r>
              <w:rPr>
                <w:rFonts w:hint="default" w:ascii="Times New Roman" w:hAnsi="Times New Roman" w:eastAsia="宋体" w:cs="Times New Roman"/>
                <w:b/>
                <w:bCs/>
                <w:color w:val="auto"/>
                <w:sz w:val="21"/>
                <w:szCs w:val="21"/>
                <w:highlight w:val="none"/>
                <w:lang w:val="en-US" w:eastAsia="zh-CN"/>
              </w:rPr>
              <w:t>计算面积</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km</w:t>
            </w:r>
            <w:r>
              <w:rPr>
                <w:rFonts w:hint="default" w:ascii="Times New Roman" w:hAnsi="Times New Roman" w:eastAsia="宋体" w:cs="Times New Roman"/>
                <w:b/>
                <w:bCs/>
                <w:color w:val="auto"/>
                <w:sz w:val="21"/>
                <w:szCs w:val="21"/>
                <w:highlight w:val="none"/>
                <w:vertAlign w:val="superscript"/>
                <w:lang w:val="en-US" w:eastAsia="zh-CN"/>
              </w:rPr>
              <w:t>2</w:t>
            </w:r>
            <w:r>
              <w:rPr>
                <w:rFonts w:hint="eastAsia" w:cs="Times New Roman"/>
                <w:b/>
                <w:bCs/>
                <w:color w:val="auto"/>
                <w:sz w:val="21"/>
                <w:szCs w:val="21"/>
                <w:highlight w:val="none"/>
                <w:vertAlign w:val="superscript"/>
                <w:lang w:val="en-US" w:eastAsia="zh-CN"/>
              </w:rPr>
              <w:t>）</w:t>
            </w:r>
            <w:bookmarkEnd w:id="3741"/>
            <w:bookmarkEnd w:id="3742"/>
            <w:bookmarkEnd w:id="3743"/>
            <w:bookmarkEnd w:id="3744"/>
            <w:bookmarkEnd w:id="3745"/>
          </w:p>
        </w:tc>
        <w:tc>
          <w:tcPr>
            <w:tcW w:w="1515" w:type="dxa"/>
            <w:tcBorders>
              <w:tl2br w:val="nil"/>
              <w:tr2bl w:val="nil"/>
            </w:tcBorders>
            <w:vAlign w:val="center"/>
          </w:tcPr>
          <w:p w14:paraId="0EF54DA6">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746" w:name="_Toc25939"/>
            <w:bookmarkStart w:id="3747" w:name="_Toc10746"/>
            <w:bookmarkStart w:id="3748" w:name="_Toc29915"/>
            <w:bookmarkStart w:id="3749" w:name="_Toc20485"/>
            <w:bookmarkStart w:id="3750" w:name="_Toc23963"/>
            <w:r>
              <w:rPr>
                <w:rFonts w:hint="default" w:ascii="Times New Roman" w:hAnsi="Times New Roman" w:eastAsia="宋体" w:cs="Times New Roman"/>
                <w:b/>
                <w:bCs/>
                <w:color w:val="auto"/>
                <w:sz w:val="21"/>
                <w:szCs w:val="21"/>
                <w:highlight w:val="none"/>
                <w:lang w:val="en-US" w:eastAsia="zh-CN"/>
              </w:rPr>
              <w:t>地表水资源量</w:t>
            </w:r>
            <w:bookmarkEnd w:id="3746"/>
            <w:bookmarkEnd w:id="3747"/>
            <w:bookmarkEnd w:id="3748"/>
            <w:bookmarkEnd w:id="3749"/>
            <w:bookmarkEnd w:id="3750"/>
          </w:p>
        </w:tc>
        <w:tc>
          <w:tcPr>
            <w:tcW w:w="1485" w:type="dxa"/>
            <w:tcBorders>
              <w:tl2br w:val="nil"/>
              <w:tr2bl w:val="nil"/>
            </w:tcBorders>
            <w:vAlign w:val="center"/>
          </w:tcPr>
          <w:p w14:paraId="023988E6">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751" w:name="_Toc20514"/>
            <w:bookmarkStart w:id="3752" w:name="_Toc31284"/>
            <w:bookmarkStart w:id="3753" w:name="_Toc18129"/>
            <w:bookmarkStart w:id="3754" w:name="_Toc11002"/>
            <w:bookmarkStart w:id="3755" w:name="_Toc31314"/>
            <w:r>
              <w:rPr>
                <w:rFonts w:hint="default" w:ascii="Times New Roman" w:hAnsi="Times New Roman" w:eastAsia="宋体" w:cs="Times New Roman"/>
                <w:b/>
                <w:bCs/>
                <w:color w:val="auto"/>
                <w:sz w:val="21"/>
                <w:szCs w:val="21"/>
                <w:highlight w:val="none"/>
                <w:lang w:val="en-US" w:eastAsia="zh-CN"/>
              </w:rPr>
              <w:t>地下水资源量</w:t>
            </w:r>
            <w:bookmarkEnd w:id="3751"/>
            <w:bookmarkEnd w:id="3752"/>
            <w:bookmarkEnd w:id="3753"/>
            <w:bookmarkEnd w:id="3754"/>
            <w:bookmarkEnd w:id="3755"/>
          </w:p>
        </w:tc>
        <w:tc>
          <w:tcPr>
            <w:tcW w:w="1710" w:type="dxa"/>
            <w:tcBorders>
              <w:tl2br w:val="nil"/>
              <w:tr2bl w:val="nil"/>
            </w:tcBorders>
            <w:vAlign w:val="center"/>
          </w:tcPr>
          <w:p w14:paraId="43C0E5F1">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756" w:name="_Toc3038"/>
            <w:bookmarkStart w:id="3757" w:name="_Toc6463"/>
            <w:bookmarkStart w:id="3758" w:name="_Toc29414"/>
            <w:bookmarkStart w:id="3759" w:name="_Toc8336"/>
            <w:bookmarkStart w:id="3760" w:name="_Toc10572"/>
            <w:r>
              <w:rPr>
                <w:rFonts w:hint="default" w:ascii="Times New Roman" w:hAnsi="Times New Roman" w:eastAsia="宋体" w:cs="Times New Roman"/>
                <w:b/>
                <w:bCs/>
                <w:color w:val="auto"/>
                <w:sz w:val="21"/>
                <w:szCs w:val="21"/>
                <w:highlight w:val="none"/>
                <w:lang w:val="en-US" w:eastAsia="zh-CN"/>
              </w:rPr>
              <w:t>与地表水重复量</w:t>
            </w:r>
            <w:bookmarkEnd w:id="3756"/>
            <w:bookmarkEnd w:id="3757"/>
            <w:bookmarkEnd w:id="3758"/>
            <w:bookmarkEnd w:id="3759"/>
            <w:bookmarkEnd w:id="3760"/>
          </w:p>
        </w:tc>
        <w:tc>
          <w:tcPr>
            <w:tcW w:w="1291" w:type="dxa"/>
            <w:tcBorders>
              <w:tl2br w:val="nil"/>
              <w:tr2bl w:val="nil"/>
            </w:tcBorders>
            <w:vAlign w:val="center"/>
          </w:tcPr>
          <w:p w14:paraId="4F8D58C9">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761" w:name="_Toc11570"/>
            <w:bookmarkStart w:id="3762" w:name="_Toc12955"/>
            <w:bookmarkStart w:id="3763" w:name="_Toc1506"/>
            <w:bookmarkStart w:id="3764" w:name="_Toc3408"/>
            <w:bookmarkStart w:id="3765" w:name="_Toc28764"/>
            <w:r>
              <w:rPr>
                <w:rFonts w:hint="default" w:ascii="Times New Roman" w:hAnsi="Times New Roman" w:eastAsia="宋体" w:cs="Times New Roman"/>
                <w:b/>
                <w:bCs/>
                <w:color w:val="auto"/>
                <w:sz w:val="21"/>
                <w:szCs w:val="21"/>
                <w:highlight w:val="none"/>
                <w:lang w:val="en-US" w:eastAsia="zh-CN"/>
              </w:rPr>
              <w:t>水资源总量</w:t>
            </w:r>
            <w:bookmarkEnd w:id="3761"/>
            <w:bookmarkEnd w:id="3762"/>
            <w:bookmarkEnd w:id="3763"/>
            <w:bookmarkEnd w:id="3764"/>
            <w:bookmarkEnd w:id="3765"/>
          </w:p>
        </w:tc>
      </w:tr>
      <w:tr w14:paraId="713F2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dxa"/>
            <w:tcBorders>
              <w:tl2br w:val="nil"/>
              <w:tr2bl w:val="nil"/>
            </w:tcBorders>
            <w:vAlign w:val="center"/>
          </w:tcPr>
          <w:p w14:paraId="6B43B20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66" w:name="_Toc3873"/>
            <w:bookmarkStart w:id="3767" w:name="_Toc4150"/>
            <w:bookmarkStart w:id="3768" w:name="_Toc11378"/>
            <w:bookmarkStart w:id="3769" w:name="_Toc15011"/>
            <w:bookmarkStart w:id="3770" w:name="_Toc31850"/>
            <w:r>
              <w:rPr>
                <w:rFonts w:hint="default" w:ascii="Times New Roman" w:hAnsi="Times New Roman" w:eastAsia="宋体" w:cs="Times New Roman"/>
                <w:color w:val="auto"/>
                <w:sz w:val="21"/>
                <w:szCs w:val="21"/>
                <w:highlight w:val="none"/>
                <w:lang w:val="en-US" w:eastAsia="zh-CN"/>
              </w:rPr>
              <w:t>茹河</w:t>
            </w:r>
            <w:bookmarkEnd w:id="3766"/>
            <w:bookmarkEnd w:id="3767"/>
            <w:bookmarkEnd w:id="3768"/>
            <w:bookmarkEnd w:id="3769"/>
            <w:bookmarkEnd w:id="3770"/>
          </w:p>
        </w:tc>
        <w:tc>
          <w:tcPr>
            <w:tcW w:w="1395" w:type="dxa"/>
            <w:tcBorders>
              <w:tl2br w:val="nil"/>
              <w:tr2bl w:val="nil"/>
            </w:tcBorders>
            <w:vAlign w:val="center"/>
          </w:tcPr>
          <w:p w14:paraId="235ACBF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71" w:name="_Toc22825"/>
            <w:bookmarkStart w:id="3772" w:name="_Toc8958"/>
            <w:bookmarkStart w:id="3773" w:name="_Toc31867"/>
            <w:bookmarkStart w:id="3774" w:name="_Toc30056"/>
            <w:bookmarkStart w:id="3775" w:name="_Toc28348"/>
            <w:r>
              <w:rPr>
                <w:rFonts w:hint="default" w:ascii="Times New Roman" w:hAnsi="Times New Roman" w:eastAsia="宋体" w:cs="Times New Roman"/>
                <w:color w:val="auto"/>
                <w:sz w:val="21"/>
                <w:szCs w:val="21"/>
                <w:highlight w:val="none"/>
                <w:lang w:val="en-US" w:eastAsia="zh-CN"/>
              </w:rPr>
              <w:t>1570</w:t>
            </w:r>
            <w:bookmarkEnd w:id="3771"/>
            <w:bookmarkEnd w:id="3772"/>
            <w:bookmarkEnd w:id="3773"/>
            <w:bookmarkEnd w:id="3774"/>
            <w:bookmarkEnd w:id="3775"/>
          </w:p>
        </w:tc>
        <w:tc>
          <w:tcPr>
            <w:tcW w:w="1515" w:type="dxa"/>
            <w:tcBorders>
              <w:tl2br w:val="nil"/>
              <w:tr2bl w:val="nil"/>
            </w:tcBorders>
            <w:vAlign w:val="center"/>
          </w:tcPr>
          <w:p w14:paraId="1CC4894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76" w:name="_Toc32274"/>
            <w:bookmarkStart w:id="3777" w:name="_Toc29182"/>
            <w:bookmarkStart w:id="3778" w:name="_Toc28231"/>
            <w:bookmarkStart w:id="3779" w:name="_Toc32030"/>
            <w:bookmarkStart w:id="3780" w:name="_Toc24401"/>
            <w:r>
              <w:rPr>
                <w:rFonts w:hint="default" w:ascii="Times New Roman" w:hAnsi="Times New Roman" w:eastAsia="宋体" w:cs="Times New Roman"/>
                <w:color w:val="auto"/>
                <w:sz w:val="21"/>
                <w:szCs w:val="21"/>
                <w:highlight w:val="none"/>
                <w:lang w:val="en-US" w:eastAsia="zh-CN"/>
              </w:rPr>
              <w:t>5495</w:t>
            </w:r>
            <w:bookmarkEnd w:id="3776"/>
            <w:bookmarkEnd w:id="3777"/>
            <w:bookmarkEnd w:id="3778"/>
            <w:bookmarkEnd w:id="3779"/>
            <w:bookmarkEnd w:id="3780"/>
          </w:p>
        </w:tc>
        <w:tc>
          <w:tcPr>
            <w:tcW w:w="1485" w:type="dxa"/>
            <w:tcBorders>
              <w:tl2br w:val="nil"/>
              <w:tr2bl w:val="nil"/>
            </w:tcBorders>
            <w:vAlign w:val="center"/>
          </w:tcPr>
          <w:p w14:paraId="04AE6D7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81" w:name="_Toc28896"/>
            <w:bookmarkStart w:id="3782" w:name="_Toc9778"/>
            <w:bookmarkStart w:id="3783" w:name="_Toc26311"/>
            <w:bookmarkStart w:id="3784" w:name="_Toc28707"/>
            <w:bookmarkStart w:id="3785" w:name="_Toc9736"/>
            <w:r>
              <w:rPr>
                <w:rFonts w:hint="default" w:ascii="Times New Roman" w:hAnsi="Times New Roman" w:eastAsia="宋体" w:cs="Times New Roman"/>
                <w:color w:val="auto"/>
                <w:sz w:val="21"/>
                <w:szCs w:val="21"/>
                <w:highlight w:val="none"/>
                <w:lang w:val="en-US" w:eastAsia="zh-CN"/>
              </w:rPr>
              <w:t>2526</w:t>
            </w:r>
            <w:bookmarkEnd w:id="3781"/>
            <w:bookmarkEnd w:id="3782"/>
            <w:bookmarkEnd w:id="3783"/>
            <w:bookmarkEnd w:id="3784"/>
            <w:bookmarkEnd w:id="3785"/>
          </w:p>
        </w:tc>
        <w:tc>
          <w:tcPr>
            <w:tcW w:w="1710" w:type="dxa"/>
            <w:tcBorders>
              <w:tl2br w:val="nil"/>
              <w:tr2bl w:val="nil"/>
            </w:tcBorders>
            <w:vAlign w:val="center"/>
          </w:tcPr>
          <w:p w14:paraId="2D8CD80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86" w:name="_Toc28561"/>
            <w:bookmarkStart w:id="3787" w:name="_Toc29169"/>
            <w:bookmarkStart w:id="3788" w:name="_Toc4546"/>
            <w:bookmarkStart w:id="3789" w:name="_Toc31535"/>
            <w:bookmarkStart w:id="3790" w:name="_Toc8696"/>
            <w:r>
              <w:rPr>
                <w:rFonts w:hint="default" w:ascii="Times New Roman" w:hAnsi="Times New Roman" w:eastAsia="宋体" w:cs="Times New Roman"/>
                <w:color w:val="auto"/>
                <w:sz w:val="21"/>
                <w:szCs w:val="21"/>
                <w:highlight w:val="none"/>
                <w:lang w:val="en-US" w:eastAsia="zh-CN"/>
              </w:rPr>
              <w:t>2216</w:t>
            </w:r>
            <w:bookmarkEnd w:id="3786"/>
            <w:bookmarkEnd w:id="3787"/>
            <w:bookmarkEnd w:id="3788"/>
            <w:bookmarkEnd w:id="3789"/>
            <w:bookmarkEnd w:id="3790"/>
          </w:p>
        </w:tc>
        <w:tc>
          <w:tcPr>
            <w:tcW w:w="1291" w:type="dxa"/>
            <w:tcBorders>
              <w:tl2br w:val="nil"/>
              <w:tr2bl w:val="nil"/>
            </w:tcBorders>
            <w:vAlign w:val="center"/>
          </w:tcPr>
          <w:p w14:paraId="4BB5946E">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91" w:name="_Toc13861"/>
            <w:bookmarkStart w:id="3792" w:name="_Toc8099"/>
            <w:bookmarkStart w:id="3793" w:name="_Toc22483"/>
            <w:bookmarkStart w:id="3794" w:name="_Toc28349"/>
            <w:bookmarkStart w:id="3795" w:name="_Toc19961"/>
            <w:r>
              <w:rPr>
                <w:rFonts w:hint="default" w:ascii="Times New Roman" w:hAnsi="Times New Roman" w:eastAsia="宋体" w:cs="Times New Roman"/>
                <w:color w:val="auto"/>
                <w:sz w:val="21"/>
                <w:szCs w:val="21"/>
                <w:highlight w:val="none"/>
                <w:lang w:val="en-US" w:eastAsia="zh-CN"/>
              </w:rPr>
              <w:t>5805</w:t>
            </w:r>
            <w:bookmarkEnd w:id="3791"/>
            <w:bookmarkEnd w:id="3792"/>
            <w:bookmarkEnd w:id="3793"/>
            <w:bookmarkEnd w:id="3794"/>
            <w:bookmarkEnd w:id="3795"/>
          </w:p>
        </w:tc>
      </w:tr>
      <w:tr w14:paraId="4ED95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dxa"/>
            <w:tcBorders>
              <w:tl2br w:val="nil"/>
              <w:tr2bl w:val="nil"/>
            </w:tcBorders>
            <w:vAlign w:val="center"/>
          </w:tcPr>
          <w:p w14:paraId="369DB68E">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796" w:name="_Toc1086"/>
            <w:bookmarkStart w:id="3797" w:name="_Toc6352"/>
            <w:bookmarkStart w:id="3798" w:name="_Toc4996"/>
            <w:bookmarkStart w:id="3799" w:name="_Toc7599"/>
            <w:bookmarkStart w:id="3800" w:name="_Toc23740"/>
            <w:r>
              <w:rPr>
                <w:rFonts w:hint="default" w:ascii="Times New Roman" w:hAnsi="Times New Roman" w:eastAsia="宋体" w:cs="Times New Roman"/>
                <w:color w:val="auto"/>
                <w:sz w:val="21"/>
                <w:szCs w:val="21"/>
                <w:highlight w:val="none"/>
                <w:lang w:val="en-US" w:eastAsia="zh-CN"/>
              </w:rPr>
              <w:t>红河</w:t>
            </w:r>
            <w:bookmarkEnd w:id="3796"/>
            <w:bookmarkEnd w:id="3797"/>
            <w:bookmarkEnd w:id="3798"/>
            <w:bookmarkEnd w:id="3799"/>
            <w:bookmarkEnd w:id="3800"/>
          </w:p>
        </w:tc>
        <w:tc>
          <w:tcPr>
            <w:tcW w:w="1395" w:type="dxa"/>
            <w:tcBorders>
              <w:tl2br w:val="nil"/>
              <w:tr2bl w:val="nil"/>
            </w:tcBorders>
            <w:vAlign w:val="center"/>
          </w:tcPr>
          <w:p w14:paraId="7D54D7A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01" w:name="_Toc3686"/>
            <w:bookmarkStart w:id="3802" w:name="_Toc988"/>
            <w:bookmarkStart w:id="3803" w:name="_Toc30842"/>
            <w:bookmarkStart w:id="3804" w:name="_Toc32606"/>
            <w:bookmarkStart w:id="3805" w:name="_Toc183"/>
            <w:r>
              <w:rPr>
                <w:rFonts w:hint="default" w:ascii="Times New Roman" w:hAnsi="Times New Roman" w:eastAsia="宋体" w:cs="Times New Roman"/>
                <w:color w:val="auto"/>
                <w:sz w:val="21"/>
                <w:szCs w:val="21"/>
                <w:highlight w:val="none"/>
                <w:lang w:val="en-US" w:eastAsia="zh-CN"/>
              </w:rPr>
              <w:t>303</w:t>
            </w:r>
            <w:bookmarkEnd w:id="3801"/>
            <w:bookmarkEnd w:id="3802"/>
            <w:bookmarkEnd w:id="3803"/>
            <w:bookmarkEnd w:id="3804"/>
            <w:bookmarkEnd w:id="3805"/>
          </w:p>
        </w:tc>
        <w:tc>
          <w:tcPr>
            <w:tcW w:w="1515" w:type="dxa"/>
            <w:tcBorders>
              <w:tl2br w:val="nil"/>
              <w:tr2bl w:val="nil"/>
            </w:tcBorders>
            <w:vAlign w:val="center"/>
          </w:tcPr>
          <w:p w14:paraId="6A18367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06" w:name="_Toc26697"/>
            <w:bookmarkStart w:id="3807" w:name="_Toc9994"/>
            <w:bookmarkStart w:id="3808" w:name="_Toc13377"/>
            <w:bookmarkStart w:id="3809" w:name="_Toc30619"/>
            <w:bookmarkStart w:id="3810" w:name="_Toc25558"/>
            <w:r>
              <w:rPr>
                <w:rFonts w:hint="default" w:ascii="Times New Roman" w:hAnsi="Times New Roman" w:eastAsia="宋体" w:cs="Times New Roman"/>
                <w:color w:val="auto"/>
                <w:sz w:val="21"/>
                <w:szCs w:val="21"/>
                <w:highlight w:val="none"/>
                <w:lang w:val="en-US" w:eastAsia="zh-CN"/>
              </w:rPr>
              <w:t>1382</w:t>
            </w:r>
            <w:bookmarkEnd w:id="3806"/>
            <w:bookmarkEnd w:id="3807"/>
            <w:bookmarkEnd w:id="3808"/>
            <w:bookmarkEnd w:id="3809"/>
            <w:bookmarkEnd w:id="3810"/>
          </w:p>
        </w:tc>
        <w:tc>
          <w:tcPr>
            <w:tcW w:w="1485" w:type="dxa"/>
            <w:tcBorders>
              <w:tl2br w:val="nil"/>
              <w:tr2bl w:val="nil"/>
            </w:tcBorders>
            <w:vAlign w:val="center"/>
          </w:tcPr>
          <w:p w14:paraId="78EEFFE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11" w:name="_Toc26123"/>
            <w:bookmarkStart w:id="3812" w:name="_Toc14947"/>
            <w:bookmarkStart w:id="3813" w:name="_Toc27559"/>
            <w:bookmarkStart w:id="3814" w:name="_Toc26796"/>
            <w:bookmarkStart w:id="3815" w:name="_Toc18179"/>
            <w:r>
              <w:rPr>
                <w:rFonts w:hint="default" w:ascii="Times New Roman" w:hAnsi="Times New Roman" w:eastAsia="宋体" w:cs="Times New Roman"/>
                <w:color w:val="auto"/>
                <w:sz w:val="21"/>
                <w:szCs w:val="21"/>
                <w:highlight w:val="none"/>
                <w:lang w:val="en-US" w:eastAsia="zh-CN"/>
              </w:rPr>
              <w:t>1519</w:t>
            </w:r>
            <w:bookmarkEnd w:id="3811"/>
            <w:bookmarkEnd w:id="3812"/>
            <w:bookmarkEnd w:id="3813"/>
            <w:bookmarkEnd w:id="3814"/>
            <w:bookmarkEnd w:id="3815"/>
          </w:p>
        </w:tc>
        <w:tc>
          <w:tcPr>
            <w:tcW w:w="1710" w:type="dxa"/>
            <w:tcBorders>
              <w:tl2br w:val="nil"/>
              <w:tr2bl w:val="nil"/>
            </w:tcBorders>
            <w:vAlign w:val="center"/>
          </w:tcPr>
          <w:p w14:paraId="0214ECAB">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16" w:name="_Toc6530"/>
            <w:bookmarkStart w:id="3817" w:name="_Toc30203"/>
            <w:bookmarkStart w:id="3818" w:name="_Toc5112"/>
            <w:bookmarkStart w:id="3819" w:name="_Toc6108"/>
            <w:bookmarkStart w:id="3820" w:name="_Toc21559"/>
            <w:r>
              <w:rPr>
                <w:rFonts w:hint="default" w:ascii="Times New Roman" w:hAnsi="Times New Roman" w:eastAsia="宋体" w:cs="Times New Roman"/>
                <w:color w:val="auto"/>
                <w:sz w:val="21"/>
                <w:szCs w:val="21"/>
                <w:highlight w:val="none"/>
                <w:lang w:val="en-US" w:eastAsia="zh-CN"/>
              </w:rPr>
              <w:t>1319</w:t>
            </w:r>
            <w:bookmarkEnd w:id="3816"/>
            <w:bookmarkEnd w:id="3817"/>
            <w:bookmarkEnd w:id="3818"/>
            <w:bookmarkEnd w:id="3819"/>
            <w:bookmarkEnd w:id="3820"/>
          </w:p>
        </w:tc>
        <w:tc>
          <w:tcPr>
            <w:tcW w:w="1291" w:type="dxa"/>
            <w:tcBorders>
              <w:tl2br w:val="nil"/>
              <w:tr2bl w:val="nil"/>
            </w:tcBorders>
            <w:vAlign w:val="center"/>
          </w:tcPr>
          <w:p w14:paraId="5AF34DE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21" w:name="_Toc13151"/>
            <w:bookmarkStart w:id="3822" w:name="_Toc13831"/>
            <w:bookmarkStart w:id="3823" w:name="_Toc6237"/>
            <w:bookmarkStart w:id="3824" w:name="_Toc31229"/>
            <w:bookmarkStart w:id="3825" w:name="_Toc22433"/>
            <w:r>
              <w:rPr>
                <w:rFonts w:hint="default" w:ascii="Times New Roman" w:hAnsi="Times New Roman" w:eastAsia="宋体" w:cs="Times New Roman"/>
                <w:color w:val="auto"/>
                <w:sz w:val="21"/>
                <w:szCs w:val="21"/>
                <w:highlight w:val="none"/>
                <w:lang w:val="en-US" w:eastAsia="zh-CN"/>
              </w:rPr>
              <w:t>1582</w:t>
            </w:r>
            <w:bookmarkEnd w:id="3821"/>
            <w:bookmarkEnd w:id="3822"/>
            <w:bookmarkEnd w:id="3823"/>
            <w:bookmarkEnd w:id="3824"/>
            <w:bookmarkEnd w:id="3825"/>
          </w:p>
        </w:tc>
      </w:tr>
      <w:tr w14:paraId="095D1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dxa"/>
            <w:tcBorders>
              <w:tl2br w:val="nil"/>
              <w:tr2bl w:val="nil"/>
            </w:tcBorders>
            <w:vAlign w:val="center"/>
          </w:tcPr>
          <w:p w14:paraId="031E599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26" w:name="_Toc23321"/>
            <w:bookmarkStart w:id="3827" w:name="_Toc17034"/>
            <w:bookmarkStart w:id="3828" w:name="_Toc19498"/>
            <w:bookmarkStart w:id="3829" w:name="_Toc14538"/>
            <w:bookmarkStart w:id="3830" w:name="_Toc29391"/>
            <w:r>
              <w:rPr>
                <w:rFonts w:hint="default" w:ascii="Times New Roman" w:hAnsi="Times New Roman" w:eastAsia="宋体" w:cs="Times New Roman"/>
                <w:color w:val="auto"/>
                <w:sz w:val="21"/>
                <w:szCs w:val="21"/>
                <w:highlight w:val="none"/>
                <w:lang w:val="en-US" w:eastAsia="zh-CN"/>
              </w:rPr>
              <w:t>安家川河</w:t>
            </w:r>
            <w:bookmarkEnd w:id="3826"/>
            <w:bookmarkEnd w:id="3827"/>
            <w:bookmarkEnd w:id="3828"/>
            <w:bookmarkEnd w:id="3829"/>
            <w:bookmarkEnd w:id="3830"/>
          </w:p>
        </w:tc>
        <w:tc>
          <w:tcPr>
            <w:tcW w:w="1395" w:type="dxa"/>
            <w:tcBorders>
              <w:tl2br w:val="nil"/>
              <w:tr2bl w:val="nil"/>
            </w:tcBorders>
            <w:vAlign w:val="center"/>
          </w:tcPr>
          <w:p w14:paraId="56C278C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31" w:name="_Toc21846"/>
            <w:bookmarkStart w:id="3832" w:name="_Toc16472"/>
            <w:bookmarkStart w:id="3833" w:name="_Toc18534"/>
            <w:bookmarkStart w:id="3834" w:name="_Toc17942"/>
            <w:bookmarkStart w:id="3835" w:name="_Toc23229"/>
            <w:r>
              <w:rPr>
                <w:rFonts w:hint="default" w:ascii="Times New Roman" w:hAnsi="Times New Roman" w:eastAsia="宋体" w:cs="Times New Roman"/>
                <w:color w:val="auto"/>
                <w:sz w:val="21"/>
                <w:szCs w:val="21"/>
                <w:highlight w:val="none"/>
                <w:lang w:val="en-US" w:eastAsia="zh-CN"/>
              </w:rPr>
              <w:t>672</w:t>
            </w:r>
            <w:bookmarkEnd w:id="3831"/>
            <w:bookmarkEnd w:id="3832"/>
            <w:bookmarkEnd w:id="3833"/>
            <w:bookmarkEnd w:id="3834"/>
            <w:bookmarkEnd w:id="3835"/>
          </w:p>
        </w:tc>
        <w:tc>
          <w:tcPr>
            <w:tcW w:w="1515" w:type="dxa"/>
            <w:tcBorders>
              <w:tl2br w:val="nil"/>
              <w:tr2bl w:val="nil"/>
            </w:tcBorders>
            <w:vAlign w:val="center"/>
          </w:tcPr>
          <w:p w14:paraId="57534DB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36" w:name="_Toc27399"/>
            <w:bookmarkStart w:id="3837" w:name="_Toc255"/>
            <w:bookmarkStart w:id="3838" w:name="_Toc797"/>
            <w:bookmarkStart w:id="3839" w:name="_Toc22245"/>
            <w:bookmarkStart w:id="3840" w:name="_Toc14685"/>
            <w:r>
              <w:rPr>
                <w:rFonts w:hint="default" w:ascii="Times New Roman" w:hAnsi="Times New Roman" w:eastAsia="宋体" w:cs="Times New Roman"/>
                <w:color w:val="auto"/>
                <w:sz w:val="21"/>
                <w:szCs w:val="21"/>
                <w:highlight w:val="none"/>
                <w:lang w:val="en-US" w:eastAsia="zh-CN"/>
              </w:rPr>
              <w:t>1344</w:t>
            </w:r>
            <w:bookmarkEnd w:id="3836"/>
            <w:bookmarkEnd w:id="3837"/>
            <w:bookmarkEnd w:id="3838"/>
            <w:bookmarkEnd w:id="3839"/>
            <w:bookmarkEnd w:id="3840"/>
          </w:p>
        </w:tc>
        <w:tc>
          <w:tcPr>
            <w:tcW w:w="1485" w:type="dxa"/>
            <w:tcBorders>
              <w:tl2br w:val="nil"/>
              <w:tr2bl w:val="nil"/>
            </w:tcBorders>
            <w:vAlign w:val="center"/>
          </w:tcPr>
          <w:p w14:paraId="66A783E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41" w:name="_Toc12505"/>
            <w:bookmarkStart w:id="3842" w:name="_Toc6793"/>
            <w:bookmarkStart w:id="3843" w:name="_Toc3977"/>
            <w:bookmarkStart w:id="3844" w:name="_Toc25086"/>
            <w:bookmarkStart w:id="3845" w:name="_Toc21310"/>
            <w:r>
              <w:rPr>
                <w:rFonts w:hint="default" w:ascii="Times New Roman" w:hAnsi="Times New Roman" w:eastAsia="宋体" w:cs="Times New Roman"/>
                <w:color w:val="auto"/>
                <w:sz w:val="21"/>
                <w:szCs w:val="21"/>
                <w:highlight w:val="none"/>
                <w:lang w:val="en-US" w:eastAsia="zh-CN"/>
              </w:rPr>
              <w:t>455</w:t>
            </w:r>
            <w:bookmarkEnd w:id="3841"/>
            <w:bookmarkEnd w:id="3842"/>
            <w:bookmarkEnd w:id="3843"/>
            <w:bookmarkEnd w:id="3844"/>
            <w:bookmarkEnd w:id="3845"/>
          </w:p>
        </w:tc>
        <w:tc>
          <w:tcPr>
            <w:tcW w:w="1710" w:type="dxa"/>
            <w:tcBorders>
              <w:tl2br w:val="nil"/>
              <w:tr2bl w:val="nil"/>
            </w:tcBorders>
            <w:vAlign w:val="center"/>
          </w:tcPr>
          <w:p w14:paraId="3EFC385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46" w:name="_Toc13913"/>
            <w:bookmarkStart w:id="3847" w:name="_Toc28082"/>
            <w:bookmarkStart w:id="3848" w:name="_Toc4306"/>
            <w:bookmarkStart w:id="3849" w:name="_Toc17194"/>
            <w:bookmarkStart w:id="3850" w:name="_Toc15626"/>
            <w:r>
              <w:rPr>
                <w:rFonts w:hint="default" w:ascii="Times New Roman" w:hAnsi="Times New Roman" w:eastAsia="宋体" w:cs="Times New Roman"/>
                <w:color w:val="auto"/>
                <w:sz w:val="21"/>
                <w:szCs w:val="21"/>
                <w:highlight w:val="none"/>
                <w:lang w:val="en-US" w:eastAsia="zh-CN"/>
              </w:rPr>
              <w:t>455</w:t>
            </w:r>
            <w:bookmarkEnd w:id="3846"/>
            <w:bookmarkEnd w:id="3847"/>
            <w:bookmarkEnd w:id="3848"/>
            <w:bookmarkEnd w:id="3849"/>
            <w:bookmarkEnd w:id="3850"/>
          </w:p>
        </w:tc>
        <w:tc>
          <w:tcPr>
            <w:tcW w:w="1291" w:type="dxa"/>
            <w:tcBorders>
              <w:tl2br w:val="nil"/>
              <w:tr2bl w:val="nil"/>
            </w:tcBorders>
            <w:vAlign w:val="center"/>
          </w:tcPr>
          <w:p w14:paraId="56DC26F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51" w:name="_Toc29916"/>
            <w:bookmarkStart w:id="3852" w:name="_Toc16075"/>
            <w:bookmarkStart w:id="3853" w:name="_Toc28668"/>
            <w:bookmarkStart w:id="3854" w:name="_Toc19020"/>
            <w:bookmarkStart w:id="3855" w:name="_Toc10026"/>
            <w:r>
              <w:rPr>
                <w:rFonts w:hint="default" w:ascii="Times New Roman" w:hAnsi="Times New Roman" w:eastAsia="宋体" w:cs="Times New Roman"/>
                <w:color w:val="auto"/>
                <w:sz w:val="21"/>
                <w:szCs w:val="21"/>
                <w:highlight w:val="none"/>
                <w:lang w:val="en-US" w:eastAsia="zh-CN"/>
              </w:rPr>
              <w:t>1344</w:t>
            </w:r>
            <w:bookmarkEnd w:id="3851"/>
            <w:bookmarkEnd w:id="3852"/>
            <w:bookmarkEnd w:id="3853"/>
            <w:bookmarkEnd w:id="3854"/>
            <w:bookmarkEnd w:id="3855"/>
          </w:p>
        </w:tc>
      </w:tr>
      <w:tr w14:paraId="08810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6" w:type="dxa"/>
            <w:tcBorders>
              <w:tl2br w:val="nil"/>
              <w:tr2bl w:val="nil"/>
            </w:tcBorders>
            <w:vAlign w:val="center"/>
          </w:tcPr>
          <w:p w14:paraId="40F0EF3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56" w:name="_Toc6264"/>
            <w:bookmarkStart w:id="3857" w:name="_Toc11353"/>
            <w:bookmarkStart w:id="3858" w:name="_Toc8067"/>
            <w:bookmarkStart w:id="3859" w:name="_Toc23180"/>
            <w:bookmarkStart w:id="3860" w:name="_Toc4672"/>
            <w:r>
              <w:rPr>
                <w:rFonts w:hint="default" w:ascii="Times New Roman" w:hAnsi="Times New Roman" w:eastAsia="宋体" w:cs="Times New Roman"/>
                <w:color w:val="auto"/>
                <w:sz w:val="21"/>
                <w:szCs w:val="21"/>
                <w:highlight w:val="none"/>
                <w:lang w:val="en-US" w:eastAsia="zh-CN"/>
              </w:rPr>
              <w:t>合计</w:t>
            </w:r>
            <w:bookmarkEnd w:id="3856"/>
            <w:bookmarkEnd w:id="3857"/>
            <w:bookmarkEnd w:id="3858"/>
            <w:bookmarkEnd w:id="3859"/>
            <w:bookmarkEnd w:id="3860"/>
          </w:p>
        </w:tc>
        <w:tc>
          <w:tcPr>
            <w:tcW w:w="1395" w:type="dxa"/>
            <w:tcBorders>
              <w:tl2br w:val="nil"/>
              <w:tr2bl w:val="nil"/>
            </w:tcBorders>
            <w:vAlign w:val="center"/>
          </w:tcPr>
          <w:p w14:paraId="3090AA7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61" w:name="_Toc17561"/>
            <w:bookmarkStart w:id="3862" w:name="_Toc2311"/>
            <w:bookmarkStart w:id="3863" w:name="_Toc29217"/>
            <w:bookmarkStart w:id="3864" w:name="_Toc113"/>
            <w:bookmarkStart w:id="3865" w:name="_Toc26419"/>
            <w:r>
              <w:rPr>
                <w:rFonts w:hint="default" w:ascii="Times New Roman" w:hAnsi="Times New Roman" w:eastAsia="宋体" w:cs="Times New Roman"/>
                <w:color w:val="auto"/>
                <w:sz w:val="21"/>
                <w:szCs w:val="21"/>
                <w:highlight w:val="none"/>
                <w:lang w:val="en-US" w:eastAsia="zh-CN"/>
              </w:rPr>
              <w:t>2545</w:t>
            </w:r>
            <w:bookmarkEnd w:id="3861"/>
            <w:bookmarkEnd w:id="3862"/>
            <w:bookmarkEnd w:id="3863"/>
            <w:bookmarkEnd w:id="3864"/>
            <w:bookmarkEnd w:id="3865"/>
          </w:p>
        </w:tc>
        <w:tc>
          <w:tcPr>
            <w:tcW w:w="1515" w:type="dxa"/>
            <w:tcBorders>
              <w:tl2br w:val="nil"/>
              <w:tr2bl w:val="nil"/>
            </w:tcBorders>
            <w:vAlign w:val="center"/>
          </w:tcPr>
          <w:p w14:paraId="27433948">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66" w:name="_Toc10833"/>
            <w:bookmarkStart w:id="3867" w:name="_Toc29715"/>
            <w:bookmarkStart w:id="3868" w:name="_Toc31058"/>
            <w:bookmarkStart w:id="3869" w:name="_Toc9442"/>
            <w:bookmarkStart w:id="3870" w:name="_Toc8828"/>
            <w:r>
              <w:rPr>
                <w:rFonts w:hint="default" w:ascii="Times New Roman" w:hAnsi="Times New Roman" w:eastAsia="宋体" w:cs="Times New Roman"/>
                <w:color w:val="auto"/>
                <w:sz w:val="21"/>
                <w:szCs w:val="21"/>
                <w:highlight w:val="none"/>
                <w:lang w:val="en-US" w:eastAsia="zh-CN"/>
              </w:rPr>
              <w:t>8221</w:t>
            </w:r>
            <w:bookmarkEnd w:id="3866"/>
            <w:bookmarkEnd w:id="3867"/>
            <w:bookmarkEnd w:id="3868"/>
            <w:bookmarkEnd w:id="3869"/>
            <w:bookmarkEnd w:id="3870"/>
          </w:p>
        </w:tc>
        <w:tc>
          <w:tcPr>
            <w:tcW w:w="1485" w:type="dxa"/>
            <w:tcBorders>
              <w:tl2br w:val="nil"/>
              <w:tr2bl w:val="nil"/>
            </w:tcBorders>
            <w:vAlign w:val="center"/>
          </w:tcPr>
          <w:p w14:paraId="387AE2B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71" w:name="_Toc21313"/>
            <w:bookmarkStart w:id="3872" w:name="_Toc30977"/>
            <w:bookmarkStart w:id="3873" w:name="_Toc28811"/>
            <w:bookmarkStart w:id="3874" w:name="_Toc8449"/>
            <w:bookmarkStart w:id="3875" w:name="_Toc14573"/>
            <w:r>
              <w:rPr>
                <w:rFonts w:hint="default" w:ascii="Times New Roman" w:hAnsi="Times New Roman" w:eastAsia="宋体" w:cs="Times New Roman"/>
                <w:color w:val="auto"/>
                <w:sz w:val="21"/>
                <w:szCs w:val="21"/>
                <w:highlight w:val="none"/>
                <w:lang w:val="en-US" w:eastAsia="zh-CN"/>
              </w:rPr>
              <w:t>4500</w:t>
            </w:r>
            <w:bookmarkEnd w:id="3871"/>
            <w:bookmarkEnd w:id="3872"/>
            <w:bookmarkEnd w:id="3873"/>
            <w:bookmarkEnd w:id="3874"/>
            <w:bookmarkEnd w:id="3875"/>
          </w:p>
        </w:tc>
        <w:tc>
          <w:tcPr>
            <w:tcW w:w="1710" w:type="dxa"/>
            <w:tcBorders>
              <w:tl2br w:val="nil"/>
              <w:tr2bl w:val="nil"/>
            </w:tcBorders>
            <w:vAlign w:val="center"/>
          </w:tcPr>
          <w:p w14:paraId="1011A55D">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76" w:name="_Toc1722"/>
            <w:bookmarkStart w:id="3877" w:name="_Toc2818"/>
            <w:bookmarkStart w:id="3878" w:name="_Toc14498"/>
            <w:bookmarkStart w:id="3879" w:name="_Toc23567"/>
            <w:bookmarkStart w:id="3880" w:name="_Toc21241"/>
            <w:r>
              <w:rPr>
                <w:rFonts w:hint="default" w:ascii="Times New Roman" w:hAnsi="Times New Roman" w:eastAsia="宋体" w:cs="Times New Roman"/>
                <w:color w:val="auto"/>
                <w:sz w:val="21"/>
                <w:szCs w:val="21"/>
                <w:highlight w:val="none"/>
                <w:lang w:val="en-US" w:eastAsia="zh-CN"/>
              </w:rPr>
              <w:t>3990</w:t>
            </w:r>
            <w:bookmarkEnd w:id="3876"/>
            <w:bookmarkEnd w:id="3877"/>
            <w:bookmarkEnd w:id="3878"/>
            <w:bookmarkEnd w:id="3879"/>
            <w:bookmarkEnd w:id="3880"/>
          </w:p>
        </w:tc>
        <w:tc>
          <w:tcPr>
            <w:tcW w:w="1291" w:type="dxa"/>
            <w:tcBorders>
              <w:tl2br w:val="nil"/>
              <w:tr2bl w:val="nil"/>
            </w:tcBorders>
            <w:vAlign w:val="center"/>
          </w:tcPr>
          <w:p w14:paraId="3403520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881" w:name="_Toc610"/>
            <w:bookmarkStart w:id="3882" w:name="_Toc28608"/>
            <w:bookmarkStart w:id="3883" w:name="_Toc1768"/>
            <w:bookmarkStart w:id="3884" w:name="_Toc18923"/>
            <w:bookmarkStart w:id="3885" w:name="_Toc27334"/>
            <w:r>
              <w:rPr>
                <w:rFonts w:hint="default" w:ascii="Times New Roman" w:hAnsi="Times New Roman" w:eastAsia="宋体" w:cs="Times New Roman"/>
                <w:color w:val="auto"/>
                <w:sz w:val="21"/>
                <w:szCs w:val="21"/>
                <w:highlight w:val="none"/>
                <w:lang w:val="en-US" w:eastAsia="zh-CN"/>
              </w:rPr>
              <w:t>8731</w:t>
            </w:r>
            <w:bookmarkEnd w:id="3881"/>
            <w:bookmarkEnd w:id="3882"/>
            <w:bookmarkEnd w:id="3883"/>
            <w:bookmarkEnd w:id="3884"/>
            <w:bookmarkEnd w:id="3885"/>
          </w:p>
        </w:tc>
      </w:tr>
    </w:tbl>
    <w:p w14:paraId="1BFD2401">
      <w:pPr>
        <w:pStyle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4.2-2</w:t>
      </w:r>
      <w:r>
        <w:rPr>
          <w:rFonts w:hint="default" w:ascii="Times New Roman" w:hAnsi="Times New Roman" w:eastAsia="宋体" w:cs="Times New Roman"/>
          <w:color w:val="auto"/>
          <w:sz w:val="24"/>
          <w:szCs w:val="24"/>
          <w:highlight w:val="none"/>
        </w:rPr>
        <w:t>彭阳县各分区不同频率水资源量成果表单位：万</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p>
    <w:tbl>
      <w:tblPr>
        <w:tblStyle w:val="3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14:paraId="7047B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0" w:type="dxa"/>
            <w:tcBorders>
              <w:tl2br w:val="nil"/>
              <w:tr2bl w:val="nil"/>
            </w:tcBorders>
            <w:vAlign w:val="center"/>
          </w:tcPr>
          <w:p w14:paraId="3DAA43CB">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886" w:name="_Toc21672"/>
            <w:bookmarkStart w:id="3887" w:name="_Toc15091"/>
            <w:bookmarkStart w:id="3888" w:name="_Toc11965"/>
            <w:bookmarkStart w:id="3889" w:name="_Toc18289"/>
            <w:bookmarkStart w:id="3890" w:name="_Toc4533"/>
            <w:r>
              <w:rPr>
                <w:rFonts w:hint="default" w:ascii="Times New Roman" w:hAnsi="Times New Roman" w:eastAsia="宋体" w:cs="Times New Roman"/>
                <w:b/>
                <w:bCs/>
                <w:color w:val="auto"/>
                <w:sz w:val="21"/>
                <w:szCs w:val="21"/>
                <w:highlight w:val="none"/>
                <w:lang w:val="en-US" w:eastAsia="zh-CN"/>
              </w:rPr>
              <w:t>流域</w:t>
            </w:r>
            <w:bookmarkEnd w:id="3886"/>
            <w:bookmarkEnd w:id="3887"/>
            <w:bookmarkEnd w:id="3888"/>
            <w:bookmarkEnd w:id="3889"/>
            <w:bookmarkEnd w:id="3890"/>
          </w:p>
        </w:tc>
        <w:tc>
          <w:tcPr>
            <w:tcW w:w="1420" w:type="dxa"/>
            <w:tcBorders>
              <w:tl2br w:val="nil"/>
              <w:tr2bl w:val="nil"/>
            </w:tcBorders>
            <w:vAlign w:val="center"/>
          </w:tcPr>
          <w:p w14:paraId="6065F26D">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891" w:name="_Toc31465"/>
            <w:bookmarkStart w:id="3892" w:name="_Toc28878"/>
            <w:bookmarkStart w:id="3893" w:name="_Toc1183"/>
            <w:bookmarkStart w:id="3894" w:name="_Toc18735"/>
            <w:bookmarkStart w:id="3895" w:name="_Toc13048"/>
            <w:r>
              <w:rPr>
                <w:rFonts w:hint="default" w:ascii="Times New Roman" w:hAnsi="Times New Roman" w:eastAsia="宋体" w:cs="Times New Roman"/>
                <w:b/>
                <w:bCs/>
                <w:color w:val="auto"/>
                <w:sz w:val="21"/>
                <w:szCs w:val="21"/>
                <w:highlight w:val="none"/>
                <w:lang w:val="en-US" w:eastAsia="zh-CN"/>
              </w:rPr>
              <w:t>水资源总量</w:t>
            </w:r>
            <w:bookmarkEnd w:id="3891"/>
            <w:bookmarkEnd w:id="3892"/>
            <w:bookmarkEnd w:id="3893"/>
            <w:bookmarkEnd w:id="3894"/>
            <w:bookmarkEnd w:id="3895"/>
          </w:p>
        </w:tc>
        <w:tc>
          <w:tcPr>
            <w:tcW w:w="1420" w:type="dxa"/>
            <w:tcBorders>
              <w:tl2br w:val="nil"/>
              <w:tr2bl w:val="nil"/>
            </w:tcBorders>
            <w:vAlign w:val="center"/>
          </w:tcPr>
          <w:p w14:paraId="6BCCD7A7">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896" w:name="_Toc5447"/>
            <w:bookmarkStart w:id="3897" w:name="_Toc30321"/>
            <w:bookmarkStart w:id="3898" w:name="_Toc25287"/>
            <w:bookmarkStart w:id="3899" w:name="_Toc23767"/>
            <w:bookmarkStart w:id="3900" w:name="_Toc11670"/>
            <w:r>
              <w:rPr>
                <w:rFonts w:hint="default" w:ascii="Times New Roman" w:hAnsi="Times New Roman" w:eastAsia="宋体" w:cs="Times New Roman"/>
                <w:b/>
                <w:bCs/>
                <w:color w:val="auto"/>
                <w:sz w:val="21"/>
                <w:szCs w:val="21"/>
                <w:highlight w:val="none"/>
                <w:lang w:val="en-US" w:eastAsia="zh-CN"/>
              </w:rPr>
              <w:t>50%保证率</w:t>
            </w:r>
            <w:bookmarkEnd w:id="3896"/>
            <w:bookmarkEnd w:id="3897"/>
            <w:bookmarkEnd w:id="3898"/>
            <w:bookmarkEnd w:id="3899"/>
            <w:bookmarkEnd w:id="3900"/>
          </w:p>
        </w:tc>
        <w:tc>
          <w:tcPr>
            <w:tcW w:w="1420" w:type="dxa"/>
            <w:tcBorders>
              <w:tl2br w:val="nil"/>
              <w:tr2bl w:val="nil"/>
            </w:tcBorders>
            <w:vAlign w:val="center"/>
          </w:tcPr>
          <w:p w14:paraId="71C4CC9A">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901" w:name="_Toc32320"/>
            <w:bookmarkStart w:id="3902" w:name="_Toc18280"/>
            <w:bookmarkStart w:id="3903" w:name="_Toc13321"/>
            <w:bookmarkStart w:id="3904" w:name="_Toc31547"/>
            <w:bookmarkStart w:id="3905" w:name="_Toc29549"/>
            <w:r>
              <w:rPr>
                <w:rFonts w:hint="default" w:ascii="Times New Roman" w:hAnsi="Times New Roman" w:eastAsia="宋体" w:cs="Times New Roman"/>
                <w:b/>
                <w:bCs/>
                <w:color w:val="auto"/>
                <w:sz w:val="21"/>
                <w:szCs w:val="21"/>
                <w:highlight w:val="none"/>
                <w:lang w:val="en-US" w:eastAsia="zh-CN"/>
              </w:rPr>
              <w:t>75%保证率</w:t>
            </w:r>
            <w:bookmarkEnd w:id="3901"/>
            <w:bookmarkEnd w:id="3902"/>
            <w:bookmarkEnd w:id="3903"/>
            <w:bookmarkEnd w:id="3904"/>
            <w:bookmarkEnd w:id="3905"/>
          </w:p>
        </w:tc>
        <w:tc>
          <w:tcPr>
            <w:tcW w:w="1421" w:type="dxa"/>
            <w:tcBorders>
              <w:tl2br w:val="nil"/>
              <w:tr2bl w:val="nil"/>
            </w:tcBorders>
            <w:vAlign w:val="center"/>
          </w:tcPr>
          <w:p w14:paraId="61696A20">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906" w:name="_Toc1830"/>
            <w:bookmarkStart w:id="3907" w:name="_Toc188"/>
            <w:bookmarkStart w:id="3908" w:name="_Toc12561"/>
            <w:bookmarkStart w:id="3909" w:name="_Toc8575"/>
            <w:bookmarkStart w:id="3910" w:name="_Toc24005"/>
            <w:r>
              <w:rPr>
                <w:rFonts w:hint="default" w:ascii="Times New Roman" w:hAnsi="Times New Roman" w:eastAsia="宋体" w:cs="Times New Roman"/>
                <w:b/>
                <w:bCs/>
                <w:color w:val="auto"/>
                <w:sz w:val="21"/>
                <w:szCs w:val="21"/>
                <w:highlight w:val="none"/>
                <w:lang w:val="en-US" w:eastAsia="zh-CN"/>
              </w:rPr>
              <w:t>85%保证率</w:t>
            </w:r>
            <w:bookmarkEnd w:id="3906"/>
            <w:bookmarkEnd w:id="3907"/>
            <w:bookmarkEnd w:id="3908"/>
            <w:bookmarkEnd w:id="3909"/>
            <w:bookmarkEnd w:id="3910"/>
          </w:p>
        </w:tc>
        <w:tc>
          <w:tcPr>
            <w:tcW w:w="1421" w:type="dxa"/>
            <w:tcBorders>
              <w:tl2br w:val="nil"/>
              <w:tr2bl w:val="nil"/>
            </w:tcBorders>
            <w:vAlign w:val="center"/>
          </w:tcPr>
          <w:p w14:paraId="59FFE70C">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3911" w:name="_Toc12279"/>
            <w:bookmarkStart w:id="3912" w:name="_Toc6079"/>
            <w:bookmarkStart w:id="3913" w:name="_Toc1659"/>
            <w:bookmarkStart w:id="3914" w:name="_Toc27849"/>
            <w:bookmarkStart w:id="3915" w:name="_Toc28972"/>
            <w:r>
              <w:rPr>
                <w:rFonts w:hint="default" w:ascii="Times New Roman" w:hAnsi="Times New Roman" w:eastAsia="宋体" w:cs="Times New Roman"/>
                <w:b/>
                <w:bCs/>
                <w:color w:val="auto"/>
                <w:sz w:val="21"/>
                <w:szCs w:val="21"/>
                <w:highlight w:val="none"/>
                <w:lang w:val="en-US" w:eastAsia="zh-CN"/>
              </w:rPr>
              <w:t>95%保证率</w:t>
            </w:r>
            <w:bookmarkEnd w:id="3911"/>
            <w:bookmarkEnd w:id="3912"/>
            <w:bookmarkEnd w:id="3913"/>
            <w:bookmarkEnd w:id="3914"/>
            <w:bookmarkEnd w:id="3915"/>
          </w:p>
        </w:tc>
      </w:tr>
      <w:tr w14:paraId="32FF4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20" w:type="dxa"/>
            <w:tcBorders>
              <w:tl2br w:val="nil"/>
              <w:tr2bl w:val="nil"/>
            </w:tcBorders>
            <w:vAlign w:val="center"/>
          </w:tcPr>
          <w:p w14:paraId="3DEA8ED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16" w:name="_Toc2598"/>
            <w:bookmarkStart w:id="3917" w:name="_Toc14200"/>
            <w:bookmarkStart w:id="3918" w:name="_Toc23125"/>
            <w:bookmarkStart w:id="3919" w:name="_Toc9830"/>
            <w:bookmarkStart w:id="3920" w:name="_Toc30552"/>
            <w:r>
              <w:rPr>
                <w:rFonts w:hint="default" w:ascii="Times New Roman" w:hAnsi="Times New Roman" w:eastAsia="宋体" w:cs="Times New Roman"/>
                <w:color w:val="auto"/>
                <w:sz w:val="21"/>
                <w:szCs w:val="21"/>
                <w:highlight w:val="none"/>
                <w:lang w:val="en-US" w:eastAsia="zh-CN"/>
              </w:rPr>
              <w:t>茹河</w:t>
            </w:r>
            <w:bookmarkEnd w:id="3916"/>
            <w:bookmarkEnd w:id="3917"/>
            <w:bookmarkEnd w:id="3918"/>
            <w:bookmarkEnd w:id="3919"/>
            <w:bookmarkEnd w:id="3920"/>
          </w:p>
        </w:tc>
        <w:tc>
          <w:tcPr>
            <w:tcW w:w="1420" w:type="dxa"/>
            <w:tcBorders>
              <w:tl2br w:val="nil"/>
              <w:tr2bl w:val="nil"/>
            </w:tcBorders>
            <w:vAlign w:val="center"/>
          </w:tcPr>
          <w:p w14:paraId="4D5F38B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21" w:name="_Toc26140"/>
            <w:bookmarkStart w:id="3922" w:name="_Toc5291"/>
            <w:bookmarkStart w:id="3923" w:name="_Toc1621"/>
            <w:bookmarkStart w:id="3924" w:name="_Toc18791"/>
            <w:bookmarkStart w:id="3925" w:name="_Toc21762"/>
            <w:r>
              <w:rPr>
                <w:rFonts w:hint="default" w:ascii="Times New Roman" w:hAnsi="Times New Roman" w:eastAsia="宋体" w:cs="Times New Roman"/>
                <w:color w:val="auto"/>
                <w:sz w:val="21"/>
                <w:szCs w:val="21"/>
                <w:highlight w:val="none"/>
                <w:lang w:val="en-US" w:eastAsia="zh-CN"/>
              </w:rPr>
              <w:t>5805</w:t>
            </w:r>
            <w:bookmarkEnd w:id="3921"/>
            <w:bookmarkEnd w:id="3922"/>
            <w:bookmarkEnd w:id="3923"/>
            <w:bookmarkEnd w:id="3924"/>
            <w:bookmarkEnd w:id="3925"/>
          </w:p>
        </w:tc>
        <w:tc>
          <w:tcPr>
            <w:tcW w:w="1420" w:type="dxa"/>
            <w:tcBorders>
              <w:tl2br w:val="nil"/>
              <w:tr2bl w:val="nil"/>
            </w:tcBorders>
            <w:vAlign w:val="center"/>
          </w:tcPr>
          <w:p w14:paraId="5B58D2C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26" w:name="_Toc15500"/>
            <w:bookmarkStart w:id="3927" w:name="_Toc23487"/>
            <w:bookmarkStart w:id="3928" w:name="_Toc28658"/>
            <w:bookmarkStart w:id="3929" w:name="_Toc2088"/>
            <w:bookmarkStart w:id="3930" w:name="_Toc22002"/>
            <w:r>
              <w:rPr>
                <w:rFonts w:hint="default" w:ascii="Times New Roman" w:hAnsi="Times New Roman" w:eastAsia="宋体" w:cs="Times New Roman"/>
                <w:color w:val="auto"/>
                <w:sz w:val="21"/>
                <w:szCs w:val="21"/>
                <w:highlight w:val="none"/>
                <w:lang w:val="en-US" w:eastAsia="zh-CN"/>
              </w:rPr>
              <w:t>5271</w:t>
            </w:r>
            <w:bookmarkEnd w:id="3926"/>
            <w:bookmarkEnd w:id="3927"/>
            <w:bookmarkEnd w:id="3928"/>
            <w:bookmarkEnd w:id="3929"/>
            <w:bookmarkEnd w:id="3930"/>
          </w:p>
        </w:tc>
        <w:tc>
          <w:tcPr>
            <w:tcW w:w="1420" w:type="dxa"/>
            <w:tcBorders>
              <w:tl2br w:val="nil"/>
              <w:tr2bl w:val="nil"/>
            </w:tcBorders>
            <w:vAlign w:val="center"/>
          </w:tcPr>
          <w:p w14:paraId="03991ACE">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31" w:name="_Toc5048"/>
            <w:bookmarkStart w:id="3932" w:name="_Toc26559"/>
            <w:bookmarkStart w:id="3933" w:name="_Toc8075"/>
            <w:bookmarkStart w:id="3934" w:name="_Toc9938"/>
            <w:bookmarkStart w:id="3935" w:name="_Toc15370"/>
            <w:r>
              <w:rPr>
                <w:rFonts w:hint="default" w:ascii="Times New Roman" w:hAnsi="Times New Roman" w:eastAsia="宋体" w:cs="Times New Roman"/>
                <w:color w:val="auto"/>
                <w:sz w:val="21"/>
                <w:szCs w:val="21"/>
                <w:highlight w:val="none"/>
                <w:lang w:val="en-US" w:eastAsia="zh-CN"/>
              </w:rPr>
              <w:t>3547</w:t>
            </w:r>
            <w:bookmarkEnd w:id="3931"/>
            <w:bookmarkEnd w:id="3932"/>
            <w:bookmarkEnd w:id="3933"/>
            <w:bookmarkEnd w:id="3934"/>
            <w:bookmarkEnd w:id="3935"/>
          </w:p>
        </w:tc>
        <w:tc>
          <w:tcPr>
            <w:tcW w:w="1421" w:type="dxa"/>
            <w:tcBorders>
              <w:tl2br w:val="nil"/>
              <w:tr2bl w:val="nil"/>
            </w:tcBorders>
            <w:vAlign w:val="center"/>
          </w:tcPr>
          <w:p w14:paraId="6354728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36" w:name="_Toc8564"/>
            <w:bookmarkStart w:id="3937" w:name="_Toc8490"/>
            <w:bookmarkStart w:id="3938" w:name="_Toc3434"/>
            <w:bookmarkStart w:id="3939" w:name="_Toc5523"/>
            <w:bookmarkStart w:id="3940" w:name="_Toc15385"/>
            <w:r>
              <w:rPr>
                <w:rFonts w:hint="default" w:ascii="Times New Roman" w:hAnsi="Times New Roman" w:eastAsia="宋体" w:cs="Times New Roman"/>
                <w:color w:val="auto"/>
                <w:sz w:val="21"/>
                <w:szCs w:val="21"/>
                <w:highlight w:val="none"/>
                <w:lang w:val="en-US" w:eastAsia="zh-CN"/>
              </w:rPr>
              <w:t>2786</w:t>
            </w:r>
            <w:bookmarkEnd w:id="3936"/>
            <w:bookmarkEnd w:id="3937"/>
            <w:bookmarkEnd w:id="3938"/>
            <w:bookmarkEnd w:id="3939"/>
            <w:bookmarkEnd w:id="3940"/>
          </w:p>
        </w:tc>
        <w:tc>
          <w:tcPr>
            <w:tcW w:w="1421" w:type="dxa"/>
            <w:tcBorders>
              <w:tl2br w:val="nil"/>
              <w:tr2bl w:val="nil"/>
            </w:tcBorders>
            <w:vAlign w:val="center"/>
          </w:tcPr>
          <w:p w14:paraId="4FB64E1B">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41" w:name="_Toc16601"/>
            <w:bookmarkStart w:id="3942" w:name="_Toc18600"/>
            <w:bookmarkStart w:id="3943" w:name="_Toc15555"/>
            <w:bookmarkStart w:id="3944" w:name="_Toc18943"/>
            <w:bookmarkStart w:id="3945" w:name="_Toc14938"/>
            <w:r>
              <w:rPr>
                <w:rFonts w:hint="default" w:ascii="Times New Roman" w:hAnsi="Times New Roman" w:eastAsia="宋体" w:cs="Times New Roman"/>
                <w:color w:val="auto"/>
                <w:sz w:val="21"/>
                <w:szCs w:val="21"/>
                <w:highlight w:val="none"/>
                <w:lang w:val="en-US" w:eastAsia="zh-CN"/>
              </w:rPr>
              <w:t>1834</w:t>
            </w:r>
            <w:bookmarkEnd w:id="3941"/>
            <w:bookmarkEnd w:id="3942"/>
            <w:bookmarkEnd w:id="3943"/>
            <w:bookmarkEnd w:id="3944"/>
            <w:bookmarkEnd w:id="3945"/>
          </w:p>
        </w:tc>
      </w:tr>
      <w:tr w14:paraId="41A1A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0" w:type="dxa"/>
            <w:tcBorders>
              <w:tl2br w:val="nil"/>
              <w:tr2bl w:val="nil"/>
            </w:tcBorders>
            <w:vAlign w:val="center"/>
          </w:tcPr>
          <w:p w14:paraId="5ACEAFC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46" w:name="_Toc31935"/>
            <w:bookmarkStart w:id="3947" w:name="_Toc18203"/>
            <w:bookmarkStart w:id="3948" w:name="_Toc16118"/>
            <w:bookmarkStart w:id="3949" w:name="_Toc19727"/>
            <w:bookmarkStart w:id="3950" w:name="_Toc31794"/>
            <w:r>
              <w:rPr>
                <w:rFonts w:hint="default" w:ascii="Times New Roman" w:hAnsi="Times New Roman" w:eastAsia="宋体" w:cs="Times New Roman"/>
                <w:color w:val="auto"/>
                <w:sz w:val="21"/>
                <w:szCs w:val="21"/>
                <w:highlight w:val="none"/>
                <w:lang w:val="en-US" w:eastAsia="zh-CN"/>
              </w:rPr>
              <w:t>红河</w:t>
            </w:r>
            <w:bookmarkEnd w:id="3946"/>
            <w:bookmarkEnd w:id="3947"/>
            <w:bookmarkEnd w:id="3948"/>
            <w:bookmarkEnd w:id="3949"/>
            <w:bookmarkEnd w:id="3950"/>
          </w:p>
        </w:tc>
        <w:tc>
          <w:tcPr>
            <w:tcW w:w="1420" w:type="dxa"/>
            <w:tcBorders>
              <w:tl2br w:val="nil"/>
              <w:tr2bl w:val="nil"/>
            </w:tcBorders>
            <w:vAlign w:val="center"/>
          </w:tcPr>
          <w:p w14:paraId="70862C6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51" w:name="_Toc4118"/>
            <w:bookmarkStart w:id="3952" w:name="_Toc21141"/>
            <w:bookmarkStart w:id="3953" w:name="_Toc25091"/>
            <w:bookmarkStart w:id="3954" w:name="_Toc30886"/>
            <w:bookmarkStart w:id="3955" w:name="_Toc8087"/>
            <w:r>
              <w:rPr>
                <w:rFonts w:hint="default" w:ascii="Times New Roman" w:hAnsi="Times New Roman" w:eastAsia="宋体" w:cs="Times New Roman"/>
                <w:color w:val="auto"/>
                <w:sz w:val="21"/>
                <w:szCs w:val="21"/>
                <w:highlight w:val="none"/>
                <w:lang w:val="en-US" w:eastAsia="zh-CN"/>
              </w:rPr>
              <w:t>1582</w:t>
            </w:r>
            <w:bookmarkEnd w:id="3951"/>
            <w:bookmarkEnd w:id="3952"/>
            <w:bookmarkEnd w:id="3953"/>
            <w:bookmarkEnd w:id="3954"/>
            <w:bookmarkEnd w:id="3955"/>
          </w:p>
        </w:tc>
        <w:tc>
          <w:tcPr>
            <w:tcW w:w="1420" w:type="dxa"/>
            <w:tcBorders>
              <w:tl2br w:val="nil"/>
              <w:tr2bl w:val="nil"/>
            </w:tcBorders>
            <w:vAlign w:val="center"/>
          </w:tcPr>
          <w:p w14:paraId="146E587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56" w:name="_Toc32120"/>
            <w:bookmarkStart w:id="3957" w:name="_Toc16079"/>
            <w:bookmarkStart w:id="3958" w:name="_Toc31230"/>
            <w:bookmarkStart w:id="3959" w:name="_Toc23772"/>
            <w:bookmarkStart w:id="3960" w:name="_Toc27957"/>
            <w:r>
              <w:rPr>
                <w:rFonts w:hint="default" w:ascii="Times New Roman" w:hAnsi="Times New Roman" w:eastAsia="宋体" w:cs="Times New Roman"/>
                <w:color w:val="auto"/>
                <w:sz w:val="21"/>
                <w:szCs w:val="21"/>
                <w:highlight w:val="none"/>
                <w:lang w:val="en-US" w:eastAsia="zh-CN"/>
              </w:rPr>
              <w:t>1452</w:t>
            </w:r>
            <w:bookmarkEnd w:id="3956"/>
            <w:bookmarkEnd w:id="3957"/>
            <w:bookmarkEnd w:id="3958"/>
            <w:bookmarkEnd w:id="3959"/>
            <w:bookmarkEnd w:id="3960"/>
          </w:p>
        </w:tc>
        <w:tc>
          <w:tcPr>
            <w:tcW w:w="1420" w:type="dxa"/>
            <w:tcBorders>
              <w:tl2br w:val="nil"/>
              <w:tr2bl w:val="nil"/>
            </w:tcBorders>
            <w:vAlign w:val="center"/>
          </w:tcPr>
          <w:p w14:paraId="08E8553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61" w:name="_Toc1080"/>
            <w:bookmarkStart w:id="3962" w:name="_Toc12700"/>
            <w:bookmarkStart w:id="3963" w:name="_Toc16973"/>
            <w:bookmarkStart w:id="3964" w:name="_Toc32473"/>
            <w:bookmarkStart w:id="3965" w:name="_Toc15080"/>
            <w:r>
              <w:rPr>
                <w:rFonts w:hint="default" w:ascii="Times New Roman" w:hAnsi="Times New Roman" w:eastAsia="宋体" w:cs="Times New Roman"/>
                <w:color w:val="auto"/>
                <w:sz w:val="21"/>
                <w:szCs w:val="21"/>
                <w:highlight w:val="none"/>
                <w:lang w:val="en-US" w:eastAsia="zh-CN"/>
              </w:rPr>
              <w:t>1003</w:t>
            </w:r>
            <w:bookmarkEnd w:id="3961"/>
            <w:bookmarkEnd w:id="3962"/>
            <w:bookmarkEnd w:id="3963"/>
            <w:bookmarkEnd w:id="3964"/>
            <w:bookmarkEnd w:id="3965"/>
          </w:p>
        </w:tc>
        <w:tc>
          <w:tcPr>
            <w:tcW w:w="1421" w:type="dxa"/>
            <w:tcBorders>
              <w:tl2br w:val="nil"/>
              <w:tr2bl w:val="nil"/>
            </w:tcBorders>
            <w:vAlign w:val="center"/>
          </w:tcPr>
          <w:p w14:paraId="1CC4A1B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66" w:name="_Toc11153"/>
            <w:bookmarkStart w:id="3967" w:name="_Toc24200"/>
            <w:bookmarkStart w:id="3968" w:name="_Toc28607"/>
            <w:bookmarkStart w:id="3969" w:name="_Toc11646"/>
            <w:bookmarkStart w:id="3970" w:name="_Toc14929"/>
            <w:r>
              <w:rPr>
                <w:rFonts w:hint="default" w:ascii="Times New Roman" w:hAnsi="Times New Roman" w:eastAsia="宋体" w:cs="Times New Roman"/>
                <w:color w:val="auto"/>
                <w:sz w:val="21"/>
                <w:szCs w:val="21"/>
                <w:highlight w:val="none"/>
                <w:lang w:val="en-US" w:eastAsia="zh-CN"/>
              </w:rPr>
              <w:t>799</w:t>
            </w:r>
            <w:bookmarkEnd w:id="3966"/>
            <w:bookmarkEnd w:id="3967"/>
            <w:bookmarkEnd w:id="3968"/>
            <w:bookmarkEnd w:id="3969"/>
            <w:bookmarkEnd w:id="3970"/>
          </w:p>
        </w:tc>
        <w:tc>
          <w:tcPr>
            <w:tcW w:w="1421" w:type="dxa"/>
            <w:tcBorders>
              <w:tl2br w:val="nil"/>
              <w:tr2bl w:val="nil"/>
            </w:tcBorders>
            <w:vAlign w:val="center"/>
          </w:tcPr>
          <w:p w14:paraId="1A4BDCCE">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71" w:name="_Toc19207"/>
            <w:bookmarkStart w:id="3972" w:name="_Toc2667"/>
            <w:bookmarkStart w:id="3973" w:name="_Toc3272"/>
            <w:bookmarkStart w:id="3974" w:name="_Toc4803"/>
            <w:bookmarkStart w:id="3975" w:name="_Toc32158"/>
            <w:r>
              <w:rPr>
                <w:rFonts w:hint="default" w:ascii="Times New Roman" w:hAnsi="Times New Roman" w:eastAsia="宋体" w:cs="Times New Roman"/>
                <w:color w:val="auto"/>
                <w:sz w:val="21"/>
                <w:szCs w:val="21"/>
                <w:highlight w:val="none"/>
                <w:lang w:val="en-US" w:eastAsia="zh-CN"/>
              </w:rPr>
              <w:t>541</w:t>
            </w:r>
            <w:bookmarkEnd w:id="3971"/>
            <w:bookmarkEnd w:id="3972"/>
            <w:bookmarkEnd w:id="3973"/>
            <w:bookmarkEnd w:id="3974"/>
            <w:bookmarkEnd w:id="3975"/>
          </w:p>
        </w:tc>
      </w:tr>
      <w:tr w14:paraId="68C2E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0" w:type="dxa"/>
            <w:tcBorders>
              <w:tl2br w:val="nil"/>
              <w:tr2bl w:val="nil"/>
            </w:tcBorders>
            <w:vAlign w:val="center"/>
          </w:tcPr>
          <w:p w14:paraId="1D20657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76" w:name="_Toc31183"/>
            <w:bookmarkStart w:id="3977" w:name="_Toc5911"/>
            <w:bookmarkStart w:id="3978" w:name="_Toc18434"/>
            <w:bookmarkStart w:id="3979" w:name="_Toc11148"/>
            <w:bookmarkStart w:id="3980" w:name="_Toc9255"/>
            <w:r>
              <w:rPr>
                <w:rFonts w:hint="default" w:ascii="Times New Roman" w:hAnsi="Times New Roman" w:eastAsia="宋体" w:cs="Times New Roman"/>
                <w:color w:val="auto"/>
                <w:sz w:val="21"/>
                <w:szCs w:val="21"/>
                <w:highlight w:val="none"/>
                <w:lang w:val="en-US" w:eastAsia="zh-CN"/>
              </w:rPr>
              <w:t>安家川河</w:t>
            </w:r>
            <w:bookmarkEnd w:id="3976"/>
            <w:bookmarkEnd w:id="3977"/>
            <w:bookmarkEnd w:id="3978"/>
            <w:bookmarkEnd w:id="3979"/>
            <w:bookmarkEnd w:id="3980"/>
          </w:p>
        </w:tc>
        <w:tc>
          <w:tcPr>
            <w:tcW w:w="1420" w:type="dxa"/>
            <w:tcBorders>
              <w:tl2br w:val="nil"/>
              <w:tr2bl w:val="nil"/>
            </w:tcBorders>
            <w:vAlign w:val="center"/>
          </w:tcPr>
          <w:p w14:paraId="53027E2B">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81" w:name="_Toc27773"/>
            <w:bookmarkStart w:id="3982" w:name="_Toc11760"/>
            <w:bookmarkStart w:id="3983" w:name="_Toc11085"/>
            <w:bookmarkStart w:id="3984" w:name="_Toc12348"/>
            <w:bookmarkStart w:id="3985" w:name="_Toc14595"/>
            <w:r>
              <w:rPr>
                <w:rFonts w:hint="default" w:ascii="Times New Roman" w:hAnsi="Times New Roman" w:eastAsia="宋体" w:cs="Times New Roman"/>
                <w:color w:val="auto"/>
                <w:sz w:val="21"/>
                <w:szCs w:val="21"/>
                <w:highlight w:val="none"/>
                <w:lang w:val="en-US" w:eastAsia="zh-CN"/>
              </w:rPr>
              <w:t>1344</w:t>
            </w:r>
            <w:bookmarkEnd w:id="3981"/>
            <w:bookmarkEnd w:id="3982"/>
            <w:bookmarkEnd w:id="3983"/>
            <w:bookmarkEnd w:id="3984"/>
            <w:bookmarkEnd w:id="3985"/>
          </w:p>
        </w:tc>
        <w:tc>
          <w:tcPr>
            <w:tcW w:w="1420" w:type="dxa"/>
            <w:tcBorders>
              <w:tl2br w:val="nil"/>
              <w:tr2bl w:val="nil"/>
            </w:tcBorders>
            <w:vAlign w:val="center"/>
          </w:tcPr>
          <w:p w14:paraId="3B2DC46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86" w:name="_Toc13381"/>
            <w:bookmarkStart w:id="3987" w:name="_Toc29444"/>
            <w:bookmarkStart w:id="3988" w:name="_Toc6639"/>
            <w:bookmarkStart w:id="3989" w:name="_Toc15915"/>
            <w:bookmarkStart w:id="3990" w:name="_Toc7853"/>
            <w:r>
              <w:rPr>
                <w:rFonts w:hint="default" w:ascii="Times New Roman" w:hAnsi="Times New Roman" w:eastAsia="宋体" w:cs="Times New Roman"/>
                <w:color w:val="auto"/>
                <w:sz w:val="21"/>
                <w:szCs w:val="21"/>
                <w:highlight w:val="none"/>
                <w:lang w:val="en-US" w:eastAsia="zh-CN"/>
              </w:rPr>
              <w:t>1212</w:t>
            </w:r>
            <w:bookmarkEnd w:id="3986"/>
            <w:bookmarkEnd w:id="3987"/>
            <w:bookmarkEnd w:id="3988"/>
            <w:bookmarkEnd w:id="3989"/>
            <w:bookmarkEnd w:id="3990"/>
          </w:p>
        </w:tc>
        <w:tc>
          <w:tcPr>
            <w:tcW w:w="1420" w:type="dxa"/>
            <w:tcBorders>
              <w:tl2br w:val="nil"/>
              <w:tr2bl w:val="nil"/>
            </w:tcBorders>
            <w:vAlign w:val="center"/>
          </w:tcPr>
          <w:p w14:paraId="158E93D2">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91" w:name="_Toc15841"/>
            <w:bookmarkStart w:id="3992" w:name="_Toc10488"/>
            <w:bookmarkStart w:id="3993" w:name="_Toc29888"/>
            <w:bookmarkStart w:id="3994" w:name="_Toc17590"/>
            <w:bookmarkStart w:id="3995" w:name="_Toc15442"/>
            <w:r>
              <w:rPr>
                <w:rFonts w:hint="default" w:ascii="Times New Roman" w:hAnsi="Times New Roman" w:eastAsia="宋体" w:cs="Times New Roman"/>
                <w:color w:val="auto"/>
                <w:sz w:val="21"/>
                <w:szCs w:val="21"/>
                <w:highlight w:val="none"/>
                <w:lang w:val="en-US" w:eastAsia="zh-CN"/>
              </w:rPr>
              <w:t>801</w:t>
            </w:r>
            <w:bookmarkEnd w:id="3991"/>
            <w:bookmarkEnd w:id="3992"/>
            <w:bookmarkEnd w:id="3993"/>
            <w:bookmarkEnd w:id="3994"/>
            <w:bookmarkEnd w:id="3995"/>
          </w:p>
        </w:tc>
        <w:tc>
          <w:tcPr>
            <w:tcW w:w="1421" w:type="dxa"/>
            <w:tcBorders>
              <w:tl2br w:val="nil"/>
              <w:tr2bl w:val="nil"/>
            </w:tcBorders>
            <w:vAlign w:val="center"/>
          </w:tcPr>
          <w:p w14:paraId="202455C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3996" w:name="_Toc14504"/>
            <w:bookmarkStart w:id="3997" w:name="_Toc17365"/>
            <w:bookmarkStart w:id="3998" w:name="_Toc1280"/>
            <w:bookmarkStart w:id="3999" w:name="_Toc26692"/>
            <w:bookmarkStart w:id="4000" w:name="_Toc23949"/>
            <w:r>
              <w:rPr>
                <w:rFonts w:hint="default" w:ascii="Times New Roman" w:hAnsi="Times New Roman" w:eastAsia="宋体" w:cs="Times New Roman"/>
                <w:color w:val="auto"/>
                <w:sz w:val="21"/>
                <w:szCs w:val="21"/>
                <w:highlight w:val="none"/>
                <w:lang w:val="en-US" w:eastAsia="zh-CN"/>
              </w:rPr>
              <w:t>622</w:t>
            </w:r>
            <w:bookmarkEnd w:id="3996"/>
            <w:bookmarkEnd w:id="3997"/>
            <w:bookmarkEnd w:id="3998"/>
            <w:bookmarkEnd w:id="3999"/>
            <w:bookmarkEnd w:id="4000"/>
          </w:p>
        </w:tc>
        <w:tc>
          <w:tcPr>
            <w:tcW w:w="1421" w:type="dxa"/>
            <w:tcBorders>
              <w:tl2br w:val="nil"/>
              <w:tr2bl w:val="nil"/>
            </w:tcBorders>
            <w:vAlign w:val="center"/>
          </w:tcPr>
          <w:p w14:paraId="01EF4C30">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4001" w:name="_Toc11504"/>
            <w:bookmarkStart w:id="4002" w:name="_Toc24152"/>
            <w:bookmarkStart w:id="4003" w:name="_Toc26072"/>
            <w:bookmarkStart w:id="4004" w:name="_Toc11659"/>
            <w:bookmarkStart w:id="4005" w:name="_Toc30742"/>
            <w:r>
              <w:rPr>
                <w:rFonts w:hint="default" w:ascii="Times New Roman" w:hAnsi="Times New Roman" w:eastAsia="宋体" w:cs="Times New Roman"/>
                <w:color w:val="auto"/>
                <w:sz w:val="21"/>
                <w:szCs w:val="21"/>
                <w:highlight w:val="none"/>
                <w:lang w:val="en-US" w:eastAsia="zh-CN"/>
              </w:rPr>
              <w:t>401</w:t>
            </w:r>
            <w:bookmarkEnd w:id="4001"/>
            <w:bookmarkEnd w:id="4002"/>
            <w:bookmarkEnd w:id="4003"/>
            <w:bookmarkEnd w:id="4004"/>
            <w:bookmarkEnd w:id="4005"/>
          </w:p>
        </w:tc>
      </w:tr>
      <w:tr w14:paraId="02E31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20" w:type="dxa"/>
            <w:tcBorders>
              <w:tl2br w:val="nil"/>
              <w:tr2bl w:val="nil"/>
            </w:tcBorders>
            <w:vAlign w:val="center"/>
          </w:tcPr>
          <w:p w14:paraId="335197C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4006" w:name="_Toc14962"/>
            <w:bookmarkStart w:id="4007" w:name="_Toc1370"/>
            <w:bookmarkStart w:id="4008" w:name="_Toc16643"/>
            <w:bookmarkStart w:id="4009" w:name="_Toc23216"/>
            <w:bookmarkStart w:id="4010" w:name="_Toc3790"/>
            <w:r>
              <w:rPr>
                <w:rFonts w:hint="default" w:ascii="Times New Roman" w:hAnsi="Times New Roman" w:eastAsia="宋体" w:cs="Times New Roman"/>
                <w:color w:val="auto"/>
                <w:sz w:val="21"/>
                <w:szCs w:val="21"/>
                <w:highlight w:val="none"/>
                <w:lang w:val="en-US" w:eastAsia="zh-CN"/>
              </w:rPr>
              <w:t>合计</w:t>
            </w:r>
            <w:bookmarkEnd w:id="4006"/>
            <w:bookmarkEnd w:id="4007"/>
            <w:bookmarkEnd w:id="4008"/>
            <w:bookmarkEnd w:id="4009"/>
            <w:bookmarkEnd w:id="4010"/>
          </w:p>
        </w:tc>
        <w:tc>
          <w:tcPr>
            <w:tcW w:w="1420" w:type="dxa"/>
            <w:tcBorders>
              <w:tl2br w:val="nil"/>
              <w:tr2bl w:val="nil"/>
            </w:tcBorders>
            <w:vAlign w:val="center"/>
          </w:tcPr>
          <w:p w14:paraId="219F45C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4011" w:name="_Toc3967"/>
            <w:bookmarkStart w:id="4012" w:name="_Toc581"/>
            <w:bookmarkStart w:id="4013" w:name="_Toc27705"/>
            <w:bookmarkStart w:id="4014" w:name="_Toc31321"/>
            <w:bookmarkStart w:id="4015" w:name="_Toc9456"/>
            <w:r>
              <w:rPr>
                <w:rFonts w:hint="default" w:ascii="Times New Roman" w:hAnsi="Times New Roman" w:eastAsia="宋体" w:cs="Times New Roman"/>
                <w:color w:val="auto"/>
                <w:sz w:val="21"/>
                <w:szCs w:val="21"/>
                <w:highlight w:val="none"/>
                <w:lang w:val="en-US" w:eastAsia="zh-CN"/>
              </w:rPr>
              <w:t>8731</w:t>
            </w:r>
            <w:bookmarkEnd w:id="4011"/>
            <w:bookmarkEnd w:id="4012"/>
            <w:bookmarkEnd w:id="4013"/>
            <w:bookmarkEnd w:id="4014"/>
            <w:bookmarkEnd w:id="4015"/>
          </w:p>
        </w:tc>
        <w:tc>
          <w:tcPr>
            <w:tcW w:w="1420" w:type="dxa"/>
            <w:tcBorders>
              <w:tl2br w:val="nil"/>
              <w:tr2bl w:val="nil"/>
            </w:tcBorders>
            <w:vAlign w:val="center"/>
          </w:tcPr>
          <w:p w14:paraId="2E5A0D0E">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4016" w:name="_Toc9185"/>
            <w:bookmarkStart w:id="4017" w:name="_Toc27170"/>
            <w:bookmarkStart w:id="4018" w:name="_Toc24746"/>
            <w:bookmarkStart w:id="4019" w:name="_Toc19352"/>
            <w:bookmarkStart w:id="4020" w:name="_Toc19183"/>
            <w:r>
              <w:rPr>
                <w:rFonts w:hint="default" w:ascii="Times New Roman" w:hAnsi="Times New Roman" w:eastAsia="宋体" w:cs="Times New Roman"/>
                <w:color w:val="auto"/>
                <w:sz w:val="21"/>
                <w:szCs w:val="21"/>
                <w:highlight w:val="none"/>
                <w:lang w:val="en-US" w:eastAsia="zh-CN"/>
              </w:rPr>
              <w:t>7935</w:t>
            </w:r>
            <w:bookmarkEnd w:id="4016"/>
            <w:bookmarkEnd w:id="4017"/>
            <w:bookmarkEnd w:id="4018"/>
            <w:bookmarkEnd w:id="4019"/>
            <w:bookmarkEnd w:id="4020"/>
          </w:p>
        </w:tc>
        <w:tc>
          <w:tcPr>
            <w:tcW w:w="1420" w:type="dxa"/>
            <w:tcBorders>
              <w:tl2br w:val="nil"/>
              <w:tr2bl w:val="nil"/>
            </w:tcBorders>
            <w:vAlign w:val="center"/>
          </w:tcPr>
          <w:p w14:paraId="272DB57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4021" w:name="_Toc888"/>
            <w:bookmarkStart w:id="4022" w:name="_Toc10635"/>
            <w:bookmarkStart w:id="4023" w:name="_Toc13136"/>
            <w:bookmarkStart w:id="4024" w:name="_Toc13317"/>
            <w:bookmarkStart w:id="4025" w:name="_Toc29402"/>
            <w:r>
              <w:rPr>
                <w:rFonts w:hint="default" w:ascii="Times New Roman" w:hAnsi="Times New Roman" w:eastAsia="宋体" w:cs="Times New Roman"/>
                <w:color w:val="auto"/>
                <w:sz w:val="21"/>
                <w:szCs w:val="21"/>
                <w:highlight w:val="none"/>
                <w:lang w:val="en-US" w:eastAsia="zh-CN"/>
              </w:rPr>
              <w:t>5351</w:t>
            </w:r>
            <w:bookmarkEnd w:id="4021"/>
            <w:bookmarkEnd w:id="4022"/>
            <w:bookmarkEnd w:id="4023"/>
            <w:bookmarkEnd w:id="4024"/>
            <w:bookmarkEnd w:id="4025"/>
          </w:p>
        </w:tc>
        <w:tc>
          <w:tcPr>
            <w:tcW w:w="1421" w:type="dxa"/>
            <w:tcBorders>
              <w:tl2br w:val="nil"/>
              <w:tr2bl w:val="nil"/>
            </w:tcBorders>
            <w:vAlign w:val="center"/>
          </w:tcPr>
          <w:p w14:paraId="3BB04A1A">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4026" w:name="_Toc26955"/>
            <w:bookmarkStart w:id="4027" w:name="_Toc9967"/>
            <w:bookmarkStart w:id="4028" w:name="_Toc11595"/>
            <w:bookmarkStart w:id="4029" w:name="_Toc25617"/>
            <w:bookmarkStart w:id="4030" w:name="_Toc6174"/>
            <w:r>
              <w:rPr>
                <w:rFonts w:hint="default" w:ascii="Times New Roman" w:hAnsi="Times New Roman" w:eastAsia="宋体" w:cs="Times New Roman"/>
                <w:color w:val="auto"/>
                <w:sz w:val="21"/>
                <w:szCs w:val="21"/>
                <w:highlight w:val="none"/>
                <w:lang w:val="en-US" w:eastAsia="zh-CN"/>
              </w:rPr>
              <w:t>4207</w:t>
            </w:r>
            <w:bookmarkEnd w:id="4026"/>
            <w:bookmarkEnd w:id="4027"/>
            <w:bookmarkEnd w:id="4028"/>
            <w:bookmarkEnd w:id="4029"/>
            <w:bookmarkEnd w:id="4030"/>
          </w:p>
        </w:tc>
        <w:tc>
          <w:tcPr>
            <w:tcW w:w="1421" w:type="dxa"/>
            <w:tcBorders>
              <w:tl2br w:val="nil"/>
              <w:tr2bl w:val="nil"/>
            </w:tcBorders>
            <w:vAlign w:val="center"/>
          </w:tcPr>
          <w:p w14:paraId="70FD4A1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4031" w:name="_Toc5962"/>
            <w:bookmarkStart w:id="4032" w:name="_Toc23747"/>
            <w:bookmarkStart w:id="4033" w:name="_Toc675"/>
            <w:bookmarkStart w:id="4034" w:name="_Toc19209"/>
            <w:bookmarkStart w:id="4035" w:name="_Toc16056"/>
            <w:r>
              <w:rPr>
                <w:rFonts w:hint="default" w:ascii="Times New Roman" w:hAnsi="Times New Roman" w:eastAsia="宋体" w:cs="Times New Roman"/>
                <w:color w:val="auto"/>
                <w:sz w:val="21"/>
                <w:szCs w:val="21"/>
                <w:highlight w:val="none"/>
                <w:lang w:val="en-US" w:eastAsia="zh-CN"/>
              </w:rPr>
              <w:t>2776</w:t>
            </w:r>
            <w:bookmarkEnd w:id="4031"/>
            <w:bookmarkEnd w:id="4032"/>
            <w:bookmarkEnd w:id="4033"/>
            <w:bookmarkEnd w:id="4034"/>
            <w:bookmarkEnd w:id="4035"/>
          </w:p>
        </w:tc>
      </w:tr>
    </w:tbl>
    <w:p w14:paraId="157D8B3C">
      <w:pPr>
        <w:pStyle w:val="6"/>
        <w:bidi w:val="0"/>
        <w:ind w:left="0" w:leftChars="0" w:firstLine="0" w:firstLineChars="0"/>
        <w:rPr>
          <w:rFonts w:hint="default" w:ascii="Times New Roman" w:hAnsi="Times New Roman" w:cs="Times New Roman"/>
          <w:b/>
          <w:color w:val="auto"/>
          <w:sz w:val="28"/>
          <w:szCs w:val="28"/>
          <w:highlight w:val="none"/>
        </w:rPr>
      </w:pPr>
      <w:bookmarkStart w:id="4036" w:name="_Toc22408"/>
      <w:bookmarkStart w:id="4037" w:name="_Toc14050"/>
      <w:bookmarkStart w:id="4038" w:name="_Toc18851"/>
      <w:r>
        <w:rPr>
          <w:rFonts w:hint="default" w:ascii="Times New Roman" w:hAnsi="Times New Roman" w:cs="Times New Roman"/>
          <w:b/>
          <w:color w:val="auto"/>
          <w:sz w:val="28"/>
          <w:szCs w:val="28"/>
          <w:highlight w:val="none"/>
          <w:lang w:val="en-US" w:eastAsia="zh-CN"/>
        </w:rPr>
        <w:t>4.2.2</w:t>
      </w:r>
      <w:r>
        <w:rPr>
          <w:rFonts w:hint="default" w:ascii="Times New Roman" w:hAnsi="Times New Roman" w:cs="Times New Roman"/>
          <w:b/>
          <w:color w:val="auto"/>
          <w:sz w:val="28"/>
          <w:szCs w:val="28"/>
          <w:highlight w:val="none"/>
        </w:rPr>
        <w:t>水资源开发利用现状</w:t>
      </w:r>
      <w:bookmarkEnd w:id="4036"/>
      <w:bookmarkEnd w:id="4037"/>
      <w:bookmarkEnd w:id="4038"/>
    </w:p>
    <w:p w14:paraId="256B7B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bookmarkStart w:id="4039" w:name="_Toc4784"/>
      <w:bookmarkStart w:id="4040" w:name="_Toc15222"/>
      <w:r>
        <w:rPr>
          <w:rFonts w:hint="eastAsia" w:ascii="Times New Roman" w:hAnsi="Times New Roman" w:eastAsia="宋体" w:cs="Times New Roman"/>
          <w:color w:val="auto"/>
          <w:sz w:val="24"/>
          <w:szCs w:val="24"/>
          <w:highlight w:val="none"/>
          <w:lang w:eastAsia="zh-CN"/>
        </w:rPr>
        <w:t>根据2023年《宁夏水资源公报》，统计分析彭阳县2023年水资源总量0.610亿m³，降水、地表水、地下水均呈偏少态势，用水以农业为主且效率较高。</w:t>
      </w:r>
    </w:p>
    <w:p w14:paraId="7FB934B3">
      <w:pPr>
        <w:pStyle w:val="7"/>
        <w:bidi w:val="0"/>
        <w:rPr>
          <w:rFonts w:hint="eastAsia"/>
          <w:color w:val="auto"/>
          <w:highlight w:val="none"/>
          <w:lang w:eastAsia="zh-CN"/>
        </w:rPr>
      </w:pPr>
      <w:r>
        <w:rPr>
          <w:rFonts w:hint="eastAsia"/>
          <w:color w:val="auto"/>
          <w:highlight w:val="none"/>
          <w:lang w:val="en-US" w:eastAsia="zh-CN"/>
        </w:rPr>
        <w:t>4.2.2.3</w:t>
      </w:r>
      <w:r>
        <w:rPr>
          <w:rFonts w:hint="eastAsia"/>
          <w:color w:val="auto"/>
          <w:highlight w:val="none"/>
          <w:lang w:eastAsia="zh-CN"/>
        </w:rPr>
        <w:t>水资源量</w:t>
      </w:r>
    </w:p>
    <w:p w14:paraId="30F82A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）降水情况：年降水量8.627亿m³，折合降水深339mm，较上年减少9.7%，较多年平均偏少28.0%。</w:t>
      </w:r>
    </w:p>
    <w:p w14:paraId="7080D9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）地表水资源：天然地表水资源量0.549亿m³，径流深21.6mm，较上年减少4.5%，较多年平均偏少33.2%。</w:t>
      </w:r>
    </w:p>
    <w:p w14:paraId="50014B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）地下水资源：地下水资源量0.445亿m³，与地表水重复计算量0.384亿m³。</w:t>
      </w:r>
    </w:p>
    <w:p w14:paraId="47EECB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）水资源总量：当地降水形成的水资源总量0.610亿m³，仅占宁夏全区总量的7.5%。</w:t>
      </w:r>
    </w:p>
    <w:p w14:paraId="5171752C">
      <w:pPr>
        <w:pStyle w:val="7"/>
        <w:bidi w:val="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4.2.2.4</w:t>
      </w:r>
      <w:r>
        <w:rPr>
          <w:rFonts w:hint="eastAsia" w:ascii="Times New Roman" w:hAnsi="Times New Roman" w:eastAsia="宋体" w:cs="Times New Roman"/>
          <w:color w:val="auto"/>
          <w:highlight w:val="none"/>
          <w:lang w:eastAsia="zh-CN"/>
        </w:rPr>
        <w:t>开发利用情况</w:t>
      </w:r>
    </w:p>
    <w:p w14:paraId="146CC2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）供水量：总供水量0.283亿m³，其中地表水源0.186亿m³（均为当地地表水），地下水源0.086亿m³，其他水源0.011亿m³（再生水）。</w:t>
      </w:r>
    </w:p>
    <w:p w14:paraId="28B6561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）取水量：总取水量0.283亿m³，农业取水量0.213亿m³（占比75.3%，含农林牧渔0.192亿m³、畜禽0.021亿m³），工业取水量0.015亿m³，生活取水量0.052亿m³（城镇0.032亿m³、农村0.020亿m³），人工生态环境补水量0.003亿m³。</w:t>
      </w:r>
    </w:p>
    <w:p w14:paraId="7771FC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）耗水量：总耗水量0.214亿m³，农业耗水量0.177亿m³（占比82.7%），工业耗水量0.006亿m³，生活耗水量0.028亿m³，人工生态环境耗水量0.003亿m³。</w:t>
      </w:r>
    </w:p>
    <w:p w14:paraId="17EF1EDB">
      <w:pPr>
        <w:pStyle w:val="7"/>
        <w:bidi w:val="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4.2.2.4</w:t>
      </w:r>
      <w:r>
        <w:rPr>
          <w:rFonts w:hint="eastAsia" w:ascii="Times New Roman" w:hAnsi="Times New Roman" w:eastAsia="宋体" w:cs="Times New Roman"/>
          <w:color w:val="auto"/>
          <w:highlight w:val="none"/>
          <w:lang w:eastAsia="zh-CN"/>
        </w:rPr>
        <w:t>用水效率指标</w:t>
      </w:r>
    </w:p>
    <w:p w14:paraId="558684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耕地实际灌溉亩均用水量174m³，远低于宁夏全区平均515m³。</w:t>
      </w:r>
    </w:p>
    <w:p w14:paraId="273B93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灌溉水有效利用系数0.763，高于宁夏全区平均0.579，用水效率处于全区领先水平。</w:t>
      </w:r>
    </w:p>
    <w:p w14:paraId="3267D4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万元地区生产总值用水量38m³（扣除河湖生态补水后仍为38m³），万元工业增加值用水量23.6m³。</w:t>
      </w:r>
    </w:p>
    <w:p w14:paraId="589FE174">
      <w:pPr>
        <w:pStyle w:val="6"/>
        <w:bidi w:val="0"/>
        <w:rPr>
          <w:rFonts w:hint="default" w:ascii="Times New Roman" w:hAnsi="Times New Roman" w:cs="Times New Roman"/>
          <w:color w:val="auto"/>
          <w:sz w:val="28"/>
          <w:szCs w:val="28"/>
          <w:highlight w:val="none"/>
        </w:rPr>
      </w:pPr>
      <w:bookmarkStart w:id="4041" w:name="_Toc22018"/>
      <w:r>
        <w:rPr>
          <w:rFonts w:hint="default" w:ascii="Times New Roman" w:hAnsi="Times New Roman" w:cs="Times New Roman"/>
          <w:color w:val="auto"/>
          <w:sz w:val="28"/>
          <w:szCs w:val="28"/>
          <w:highlight w:val="none"/>
          <w:lang w:val="en-US" w:eastAsia="zh-CN"/>
        </w:rPr>
        <w:t>4.2.3</w:t>
      </w:r>
      <w:r>
        <w:rPr>
          <w:rFonts w:hint="default" w:ascii="Times New Roman" w:hAnsi="Times New Roman" w:cs="Times New Roman"/>
          <w:color w:val="auto"/>
          <w:sz w:val="28"/>
          <w:szCs w:val="28"/>
          <w:highlight w:val="none"/>
        </w:rPr>
        <w:t>水利工程设施现状</w:t>
      </w:r>
      <w:bookmarkEnd w:id="4039"/>
      <w:bookmarkEnd w:id="4040"/>
      <w:bookmarkEnd w:id="4041"/>
    </w:p>
    <w:p w14:paraId="030C1422">
      <w:pPr>
        <w:spacing w:line="360" w:lineRule="auto"/>
        <w:ind w:firstLine="573"/>
        <w:rPr>
          <w:color w:val="auto"/>
          <w:sz w:val="24"/>
          <w:highlight w:val="none"/>
        </w:rPr>
      </w:pPr>
      <w:r>
        <w:rPr>
          <w:color w:val="auto"/>
          <w:sz w:val="24"/>
          <w:highlight w:val="none"/>
        </w:rPr>
        <w:t>茹河是蒲河右岸一级支流，泾河的二级支流，流域由西到东经彭阳县城而过，介于东经106°12ˊ～106°58ˊ，北纬35°46ˊ～36°17ˊ间，发源于甘肃省环县卢家湾乡庙儿掌，流经宁夏</w:t>
      </w:r>
      <w:r>
        <w:rPr>
          <w:rFonts w:hint="eastAsia"/>
          <w:color w:val="auto"/>
          <w:sz w:val="24"/>
          <w:highlight w:val="none"/>
          <w:lang w:eastAsia="zh-CN"/>
        </w:rPr>
        <w:t>固原市</w:t>
      </w:r>
      <w:r>
        <w:rPr>
          <w:color w:val="auto"/>
          <w:sz w:val="24"/>
          <w:highlight w:val="none"/>
        </w:rPr>
        <w:t>彭阳县、甘肃省镇原县，于甘肃省镇原县交口镇汇入蒲河。茹河流域面积3378km</w:t>
      </w:r>
      <w:r>
        <w:rPr>
          <w:color w:val="auto"/>
          <w:sz w:val="24"/>
          <w:highlight w:val="none"/>
          <w:vertAlign w:val="superscript"/>
        </w:rPr>
        <w:t>2</w:t>
      </w:r>
      <w:r>
        <w:rPr>
          <w:color w:val="auto"/>
          <w:sz w:val="24"/>
          <w:highlight w:val="none"/>
        </w:rPr>
        <w:t>，其中甘肃境内1305km</w:t>
      </w:r>
      <w:r>
        <w:rPr>
          <w:color w:val="auto"/>
          <w:sz w:val="24"/>
          <w:highlight w:val="none"/>
          <w:vertAlign w:val="superscript"/>
        </w:rPr>
        <w:t>2</w:t>
      </w:r>
      <w:r>
        <w:rPr>
          <w:color w:val="auto"/>
          <w:sz w:val="24"/>
          <w:highlight w:val="none"/>
        </w:rPr>
        <w:t>，宁夏境内流域面积2073km</w:t>
      </w:r>
      <w:r>
        <w:rPr>
          <w:color w:val="auto"/>
          <w:sz w:val="24"/>
          <w:highlight w:val="none"/>
          <w:vertAlign w:val="superscript"/>
        </w:rPr>
        <w:t>2</w:t>
      </w:r>
      <w:r>
        <w:rPr>
          <w:color w:val="auto"/>
          <w:sz w:val="24"/>
          <w:highlight w:val="none"/>
        </w:rPr>
        <w:t>；河长192km，其中甘肃境内86.6km，宁夏105.4km；茹河在境内原州区498.5㎞</w:t>
      </w:r>
      <w:r>
        <w:rPr>
          <w:color w:val="auto"/>
          <w:sz w:val="24"/>
          <w:highlight w:val="none"/>
          <w:vertAlign w:val="superscript"/>
        </w:rPr>
        <w:t>2</w:t>
      </w:r>
      <w:r>
        <w:rPr>
          <w:color w:val="auto"/>
          <w:sz w:val="24"/>
          <w:highlight w:val="none"/>
        </w:rPr>
        <w:t>，泾源县41.5km</w:t>
      </w:r>
      <w:r>
        <w:rPr>
          <w:color w:val="auto"/>
          <w:sz w:val="24"/>
          <w:highlight w:val="none"/>
          <w:vertAlign w:val="superscript"/>
        </w:rPr>
        <w:t>2</w:t>
      </w:r>
      <w:r>
        <w:rPr>
          <w:color w:val="auto"/>
          <w:sz w:val="24"/>
          <w:highlight w:val="none"/>
        </w:rPr>
        <w:t>，彭阳县境内流域面积1533km</w:t>
      </w:r>
      <w:r>
        <w:rPr>
          <w:color w:val="auto"/>
          <w:sz w:val="24"/>
          <w:highlight w:val="none"/>
          <w:vertAlign w:val="superscript"/>
        </w:rPr>
        <w:t>2</w:t>
      </w:r>
      <w:r>
        <w:rPr>
          <w:color w:val="auto"/>
          <w:sz w:val="24"/>
          <w:highlight w:val="none"/>
        </w:rPr>
        <w:t>，河道平均比降6.59‰，在彭阳县境内河长76.2km。上游有王洼沟、母家沟、干沟河、川口河较大支沟加入。</w:t>
      </w:r>
    </w:p>
    <w:p w14:paraId="77AF33FE">
      <w:pPr>
        <w:autoSpaceDE w:val="0"/>
        <w:autoSpaceDN w:val="0"/>
        <w:adjustRightInd w:val="0"/>
        <w:spacing w:line="360" w:lineRule="auto"/>
        <w:ind w:firstLine="570"/>
        <w:jc w:val="both"/>
        <w:rPr>
          <w:color w:val="auto"/>
          <w:sz w:val="24"/>
          <w:highlight w:val="none"/>
        </w:rPr>
      </w:pPr>
      <w:r>
        <w:rPr>
          <w:color w:val="auto"/>
          <w:sz w:val="24"/>
          <w:highlight w:val="none"/>
        </w:rPr>
        <w:t>川口河彭阳县境内全长20.3km，川口河上游建有2座小二型水库、7座淤地坝，水利工程面积31.17km</w:t>
      </w:r>
      <w:r>
        <w:rPr>
          <w:color w:val="auto"/>
          <w:sz w:val="24"/>
          <w:highlight w:val="none"/>
          <w:vertAlign w:val="superscript"/>
        </w:rPr>
        <w:t>2</w:t>
      </w:r>
      <w:r>
        <w:rPr>
          <w:color w:val="auto"/>
          <w:sz w:val="24"/>
          <w:highlight w:val="none"/>
        </w:rPr>
        <w:t>，总库容472.2万m</w:t>
      </w:r>
      <w:r>
        <w:rPr>
          <w:color w:val="auto"/>
          <w:sz w:val="24"/>
          <w:highlight w:val="none"/>
          <w:vertAlign w:val="superscript"/>
        </w:rPr>
        <w:t>3</w:t>
      </w:r>
      <w:r>
        <w:rPr>
          <w:rFonts w:hint="eastAsia"/>
          <w:color w:val="auto"/>
          <w:sz w:val="24"/>
          <w:highlight w:val="none"/>
          <w:vertAlign w:val="baseline"/>
          <w:lang w:eastAsia="zh-CN"/>
        </w:rPr>
        <w:t>。</w:t>
      </w:r>
      <w:r>
        <w:rPr>
          <w:color w:val="auto"/>
          <w:sz w:val="24"/>
          <w:highlight w:val="none"/>
        </w:rPr>
        <w:t>2019年在《固原市彭阳县小河河道治理工程》中进行分段治理，砌护长6.36km，其中左岸4.05km，右岸2.31km。</w:t>
      </w:r>
    </w:p>
    <w:p w14:paraId="4F66881E">
      <w:pPr>
        <w:jc w:val="both"/>
        <w:rPr>
          <w:color w:val="auto"/>
          <w:sz w:val="24"/>
          <w:highlight w:val="none"/>
        </w:rPr>
      </w:pPr>
      <w:r>
        <w:rPr>
          <w:color w:val="auto"/>
          <w:sz w:val="24"/>
          <w:highlight w:val="none"/>
        </w:rPr>
        <w:t>茹河（小河段）彭阳县境内全长54.0km，2019年在《固原市彭阳县小河河道治理工程》中进行分段治理，砌护长5.68km，其中左岸2.81km，右岸2.87km。2022年在《宁夏固原市彭阳县小河流域石家峡水库工程》中库区内进行治理，砌护长0.384km，其中左岸0.29km，右岸0.094km。</w:t>
      </w:r>
    </w:p>
    <w:p w14:paraId="0CBE60C2">
      <w:pPr>
        <w:jc w:val="both"/>
        <w:rPr>
          <w:color w:val="auto"/>
          <w:sz w:val="24"/>
          <w:highlight w:val="none"/>
          <w:vertAlign w:val="superscript"/>
        </w:rPr>
      </w:pPr>
      <w:r>
        <w:rPr>
          <w:color w:val="auto"/>
          <w:sz w:val="24"/>
          <w:highlight w:val="none"/>
        </w:rPr>
        <w:t>家峡水库至石头崾岘水库区间建有2座中型水库、3座淤地坝，水利工程面积1072.91km</w:t>
      </w:r>
      <w:r>
        <w:rPr>
          <w:color w:val="auto"/>
          <w:sz w:val="24"/>
          <w:highlight w:val="none"/>
          <w:vertAlign w:val="superscript"/>
        </w:rPr>
        <w:t>2</w:t>
      </w:r>
      <w:r>
        <w:rPr>
          <w:color w:val="auto"/>
          <w:sz w:val="24"/>
          <w:highlight w:val="none"/>
        </w:rPr>
        <w:t>，总库容4295.96万m</w:t>
      </w:r>
      <w:r>
        <w:rPr>
          <w:color w:val="auto"/>
          <w:sz w:val="24"/>
          <w:highlight w:val="none"/>
          <w:vertAlign w:val="superscript"/>
        </w:rPr>
        <w:t>3</w:t>
      </w:r>
      <w:r>
        <w:rPr>
          <w:color w:val="auto"/>
          <w:sz w:val="24"/>
          <w:highlight w:val="none"/>
        </w:rPr>
        <w:t>。</w:t>
      </w:r>
    </w:p>
    <w:p w14:paraId="0210EAF5">
      <w:pPr>
        <w:rPr>
          <w:rFonts w:hint="default" w:ascii="Times New Roman" w:hAnsi="Times New Roman" w:cs="Times New Roman"/>
          <w:color w:val="auto"/>
          <w:sz w:val="28"/>
          <w:szCs w:val="28"/>
          <w:highlight w:val="none"/>
          <w:lang w:eastAsia="zh-CN"/>
        </w:rPr>
        <w:sectPr>
          <w:head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BCA290D">
      <w:pPr>
        <w:pStyle w:val="3"/>
        <w:outlineLvl w:val="0"/>
        <w:rPr>
          <w:rFonts w:hint="default" w:ascii="Times New Roman" w:hAnsi="Times New Roman" w:cs="Times New Roman"/>
          <w:snapToGrid w:val="0"/>
          <w:color w:val="auto"/>
          <w:sz w:val="28"/>
          <w:szCs w:val="28"/>
          <w:highlight w:val="none"/>
        </w:rPr>
      </w:pPr>
      <w:bookmarkStart w:id="4042" w:name="_Toc12414"/>
      <w:bookmarkStart w:id="4043" w:name="_Toc24092"/>
      <w:bookmarkStart w:id="4044" w:name="_Toc20283"/>
      <w:bookmarkStart w:id="4045" w:name="_Toc20588"/>
      <w:r>
        <w:rPr>
          <w:rFonts w:hint="default" w:ascii="Times New Roman" w:hAnsi="Times New Roman" w:cs="Times New Roman"/>
          <w:snapToGrid w:val="0"/>
          <w:color w:val="auto"/>
          <w:sz w:val="28"/>
          <w:szCs w:val="28"/>
          <w:highlight w:val="none"/>
        </w:rPr>
        <w:t>5 环境质量现状监测及评价</w:t>
      </w:r>
      <w:bookmarkEnd w:id="4042"/>
      <w:bookmarkEnd w:id="4043"/>
      <w:bookmarkEnd w:id="4044"/>
      <w:bookmarkEnd w:id="4045"/>
    </w:p>
    <w:p w14:paraId="26396547">
      <w:pPr>
        <w:pStyle w:val="4"/>
        <w:bidi w:val="0"/>
        <w:rPr>
          <w:rFonts w:hint="default" w:ascii="Times New Roman" w:hAnsi="Times New Roman" w:cs="Times New Roman"/>
          <w:color w:val="auto"/>
          <w:sz w:val="28"/>
          <w:szCs w:val="28"/>
          <w:highlight w:val="none"/>
          <w:lang w:val="en-US" w:eastAsia="zh-CN"/>
        </w:rPr>
      </w:pPr>
      <w:bookmarkStart w:id="4046" w:name="_Toc308"/>
      <w:bookmarkStart w:id="4047" w:name="_Toc8306"/>
      <w:bookmarkStart w:id="4048" w:name="_Toc20519"/>
      <w:bookmarkStart w:id="4049" w:name="_Toc726"/>
      <w:r>
        <w:rPr>
          <w:rFonts w:hint="default" w:ascii="Times New Roman" w:hAnsi="Times New Roman" w:cs="Times New Roman"/>
          <w:color w:val="auto"/>
          <w:sz w:val="28"/>
          <w:szCs w:val="28"/>
          <w:highlight w:val="none"/>
        </w:rPr>
        <w:t>5.1</w:t>
      </w:r>
      <w:r>
        <w:rPr>
          <w:rFonts w:hint="default" w:ascii="Times New Roman" w:hAnsi="Times New Roman" w:cs="Times New Roman"/>
          <w:color w:val="auto"/>
          <w:sz w:val="28"/>
          <w:szCs w:val="28"/>
          <w:highlight w:val="none"/>
          <w:lang w:val="en-US" w:eastAsia="zh-CN"/>
        </w:rPr>
        <w:t>环境空气质量</w:t>
      </w:r>
      <w:r>
        <w:rPr>
          <w:rFonts w:hint="default" w:ascii="Times New Roman" w:hAnsi="Times New Roman" w:cs="Times New Roman"/>
          <w:color w:val="auto"/>
          <w:sz w:val="28"/>
          <w:szCs w:val="28"/>
          <w:highlight w:val="none"/>
        </w:rPr>
        <w:t>现状评价</w:t>
      </w:r>
      <w:bookmarkEnd w:id="4046"/>
      <w:bookmarkEnd w:id="4047"/>
      <w:bookmarkEnd w:id="4048"/>
      <w:bookmarkEnd w:id="4049"/>
      <w:r>
        <w:rPr>
          <w:rFonts w:hint="default" w:ascii="Times New Roman" w:hAnsi="Times New Roman" w:cs="Times New Roman"/>
          <w:color w:val="auto"/>
          <w:sz w:val="28"/>
          <w:szCs w:val="28"/>
          <w:highlight w:val="none"/>
          <w:lang w:val="en-US" w:eastAsia="zh-CN"/>
        </w:rPr>
        <w:t xml:space="preserve"> </w:t>
      </w:r>
    </w:p>
    <w:p w14:paraId="6B0280BD">
      <w:pPr>
        <w:pStyle w:val="6"/>
        <w:bidi w:val="0"/>
        <w:rPr>
          <w:rFonts w:hint="default" w:ascii="Times New Roman" w:hAnsi="Times New Roman" w:cs="Times New Roman"/>
          <w:color w:val="auto"/>
          <w:sz w:val="28"/>
          <w:szCs w:val="28"/>
          <w:highlight w:val="none"/>
        </w:rPr>
      </w:pPr>
      <w:bookmarkStart w:id="4050" w:name="_Toc28176"/>
      <w:bookmarkStart w:id="4051" w:name="_Toc27759"/>
      <w:bookmarkStart w:id="4052" w:name="_Toc8836"/>
      <w:r>
        <w:rPr>
          <w:rFonts w:hint="default" w:ascii="Times New Roman" w:hAnsi="Times New Roman" w:cs="Times New Roman"/>
          <w:color w:val="auto"/>
          <w:sz w:val="28"/>
          <w:szCs w:val="28"/>
          <w:highlight w:val="none"/>
          <w:lang w:val="en-US" w:eastAsia="zh-CN"/>
        </w:rPr>
        <w:t>5.1.1区域达标情况判定</w:t>
      </w:r>
      <w:bookmarkEnd w:id="4050"/>
      <w:bookmarkEnd w:id="4051"/>
      <w:bookmarkEnd w:id="4052"/>
    </w:p>
    <w:p w14:paraId="41B2FBF0">
      <w:pP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本次评价选取</w:t>
      </w:r>
      <w:r>
        <w:rPr>
          <w:rFonts w:hint="default" w:ascii="Times New Roman" w:hAnsi="Times New Roman"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年作为评价基准年，本工程涉及</w:t>
      </w:r>
      <w:r>
        <w:rPr>
          <w:rFonts w:hint="default" w:ascii="Times New Roman" w:hAnsi="Times New Roman" w:cs="Times New Roman"/>
          <w:color w:val="auto"/>
          <w:sz w:val="24"/>
          <w:szCs w:val="24"/>
          <w:highlight w:val="none"/>
          <w:lang w:val="en-US" w:eastAsia="zh-CN"/>
        </w:rPr>
        <w:t>固原市彭阳县</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根据导则要求采用《202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年宁夏生态环境质量状况》数据和结论进行区域达标的判定。</w:t>
      </w:r>
    </w:p>
    <w:p w14:paraId="0D035E3D">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基本污染物监测结果见表</w:t>
      </w:r>
      <w:r>
        <w:rPr>
          <w:rFonts w:hint="default" w:ascii="Times New Roman" w:hAnsi="Times New Roman" w:cs="Times New Roman"/>
          <w:color w:val="auto"/>
          <w:sz w:val="24"/>
          <w:szCs w:val="24"/>
          <w:highlight w:val="none"/>
          <w:lang w:val="en-US" w:eastAsia="zh-CN"/>
        </w:rPr>
        <w:t>5.1-</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14:paraId="169D0B61">
      <w:pPr>
        <w:snapToGrid w:val="0"/>
        <w:spacing w:line="240" w:lineRule="auto"/>
        <w:ind w:left="0" w:leftChars="0"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5.1-</w:t>
      </w: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彭阳县</w:t>
      </w:r>
      <w:r>
        <w:rPr>
          <w:rFonts w:hint="default" w:ascii="Times New Roman" w:hAnsi="Times New Roman" w:eastAsia="宋体" w:cs="Times New Roman"/>
          <w:b/>
          <w:bCs/>
          <w:color w:val="auto"/>
          <w:sz w:val="24"/>
          <w:szCs w:val="24"/>
          <w:highlight w:val="none"/>
        </w:rPr>
        <w:t>大气环境质量现状监测结果统计表</w:t>
      </w:r>
    </w:p>
    <w:tbl>
      <w:tblPr>
        <w:tblStyle w:val="31"/>
        <w:tblW w:w="81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907"/>
        <w:gridCol w:w="1271"/>
        <w:gridCol w:w="1374"/>
        <w:gridCol w:w="1388"/>
      </w:tblGrid>
      <w:tr w14:paraId="2B67F3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02" w:type="dxa"/>
            <w:tcBorders>
              <w:tl2br w:val="nil"/>
              <w:tr2bl w:val="nil"/>
            </w:tcBorders>
            <w:noWrap w:val="0"/>
            <w:vAlign w:val="center"/>
          </w:tcPr>
          <w:p w14:paraId="55A30AF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2907" w:type="dxa"/>
            <w:tcBorders>
              <w:tl2br w:val="nil"/>
              <w:tr2bl w:val="nil"/>
            </w:tcBorders>
            <w:noWrap w:val="0"/>
            <w:vAlign w:val="center"/>
          </w:tcPr>
          <w:p w14:paraId="1678674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1271" w:type="dxa"/>
            <w:tcBorders>
              <w:tl2br w:val="nil"/>
              <w:tr2bl w:val="nil"/>
            </w:tcBorders>
            <w:noWrap w:val="0"/>
            <w:vAlign w:val="center"/>
          </w:tcPr>
          <w:p w14:paraId="109A9CB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现状浓度值（ug/m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374" w:type="dxa"/>
            <w:tcBorders>
              <w:tl2br w:val="nil"/>
              <w:tr2bl w:val="nil"/>
            </w:tcBorders>
            <w:noWrap w:val="0"/>
            <w:vAlign w:val="center"/>
          </w:tcPr>
          <w:p w14:paraId="0EF64E9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标准值（ug/m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388" w:type="dxa"/>
            <w:tcBorders>
              <w:tl2br w:val="nil"/>
              <w:tr2bl w:val="nil"/>
            </w:tcBorders>
            <w:noWrap w:val="0"/>
            <w:vAlign w:val="center"/>
          </w:tcPr>
          <w:p w14:paraId="52D805D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5688E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02" w:type="dxa"/>
            <w:tcBorders>
              <w:tl2br w:val="nil"/>
              <w:tr2bl w:val="nil"/>
            </w:tcBorders>
            <w:noWrap w:val="0"/>
            <w:vAlign w:val="center"/>
          </w:tcPr>
          <w:p w14:paraId="3C27944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2907" w:type="dxa"/>
            <w:tcBorders>
              <w:tl2br w:val="nil"/>
              <w:tr2bl w:val="nil"/>
            </w:tcBorders>
            <w:noWrap w:val="0"/>
            <w:vAlign w:val="center"/>
          </w:tcPr>
          <w:p w14:paraId="1757A9C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271" w:type="dxa"/>
            <w:tcBorders>
              <w:tl2br w:val="nil"/>
              <w:tr2bl w:val="nil"/>
            </w:tcBorders>
            <w:noWrap w:val="0"/>
            <w:vAlign w:val="center"/>
          </w:tcPr>
          <w:p w14:paraId="1B185DD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58</w:t>
            </w:r>
          </w:p>
        </w:tc>
        <w:tc>
          <w:tcPr>
            <w:tcW w:w="1374" w:type="dxa"/>
            <w:tcBorders>
              <w:tl2br w:val="nil"/>
              <w:tr2bl w:val="nil"/>
            </w:tcBorders>
            <w:noWrap w:val="0"/>
            <w:vAlign w:val="center"/>
          </w:tcPr>
          <w:p w14:paraId="27F7B1F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388" w:type="dxa"/>
            <w:tcBorders>
              <w:tl2br w:val="nil"/>
              <w:tr2bl w:val="nil"/>
            </w:tcBorders>
            <w:noWrap w:val="0"/>
            <w:vAlign w:val="center"/>
          </w:tcPr>
          <w:p w14:paraId="55281CE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131D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02" w:type="dxa"/>
            <w:tcBorders>
              <w:tl2br w:val="nil"/>
              <w:tr2bl w:val="nil"/>
            </w:tcBorders>
            <w:noWrap w:val="0"/>
            <w:vAlign w:val="center"/>
          </w:tcPr>
          <w:p w14:paraId="7EB243A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2907" w:type="dxa"/>
            <w:tcBorders>
              <w:tl2br w:val="nil"/>
              <w:tr2bl w:val="nil"/>
            </w:tcBorders>
            <w:noWrap w:val="0"/>
            <w:vAlign w:val="center"/>
          </w:tcPr>
          <w:p w14:paraId="40443FD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271" w:type="dxa"/>
            <w:tcBorders>
              <w:tl2br w:val="nil"/>
              <w:tr2bl w:val="nil"/>
            </w:tcBorders>
            <w:noWrap w:val="0"/>
            <w:vAlign w:val="center"/>
          </w:tcPr>
          <w:p w14:paraId="55F8A55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p>
        </w:tc>
        <w:tc>
          <w:tcPr>
            <w:tcW w:w="1374" w:type="dxa"/>
            <w:tcBorders>
              <w:tl2br w:val="nil"/>
              <w:tr2bl w:val="nil"/>
            </w:tcBorders>
            <w:noWrap w:val="0"/>
            <w:vAlign w:val="center"/>
          </w:tcPr>
          <w:p w14:paraId="59E3E61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388" w:type="dxa"/>
            <w:tcBorders>
              <w:tl2br w:val="nil"/>
              <w:tr2bl w:val="nil"/>
            </w:tcBorders>
            <w:noWrap w:val="0"/>
            <w:vAlign w:val="center"/>
          </w:tcPr>
          <w:p w14:paraId="320E14D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5A54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02" w:type="dxa"/>
            <w:tcBorders>
              <w:tl2br w:val="nil"/>
              <w:tr2bl w:val="nil"/>
            </w:tcBorders>
            <w:noWrap w:val="0"/>
            <w:vAlign w:val="center"/>
          </w:tcPr>
          <w:p w14:paraId="30383BA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907" w:type="dxa"/>
            <w:tcBorders>
              <w:tl2br w:val="nil"/>
              <w:tr2bl w:val="nil"/>
            </w:tcBorders>
            <w:noWrap w:val="0"/>
            <w:vAlign w:val="center"/>
          </w:tcPr>
          <w:p w14:paraId="6772A5C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271" w:type="dxa"/>
            <w:tcBorders>
              <w:tl2br w:val="nil"/>
              <w:tr2bl w:val="nil"/>
            </w:tcBorders>
            <w:noWrap w:val="0"/>
            <w:vAlign w:val="center"/>
          </w:tcPr>
          <w:p w14:paraId="03ED87B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4</w:t>
            </w:r>
          </w:p>
        </w:tc>
        <w:tc>
          <w:tcPr>
            <w:tcW w:w="1374" w:type="dxa"/>
            <w:tcBorders>
              <w:tl2br w:val="nil"/>
              <w:tr2bl w:val="nil"/>
            </w:tcBorders>
            <w:noWrap w:val="0"/>
            <w:vAlign w:val="center"/>
          </w:tcPr>
          <w:p w14:paraId="0192034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88" w:type="dxa"/>
            <w:tcBorders>
              <w:tl2br w:val="nil"/>
              <w:tr2bl w:val="nil"/>
            </w:tcBorders>
            <w:noWrap w:val="0"/>
            <w:vAlign w:val="center"/>
          </w:tcPr>
          <w:p w14:paraId="0FF259A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0C8A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exact"/>
          <w:jc w:val="center"/>
        </w:trPr>
        <w:tc>
          <w:tcPr>
            <w:tcW w:w="1202" w:type="dxa"/>
            <w:tcBorders>
              <w:tl2br w:val="nil"/>
              <w:tr2bl w:val="nil"/>
            </w:tcBorders>
            <w:noWrap w:val="0"/>
            <w:vAlign w:val="center"/>
          </w:tcPr>
          <w:p w14:paraId="7E5AC60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907" w:type="dxa"/>
            <w:tcBorders>
              <w:tl2br w:val="nil"/>
              <w:tr2bl w:val="nil"/>
            </w:tcBorders>
            <w:noWrap w:val="0"/>
            <w:vAlign w:val="center"/>
          </w:tcPr>
          <w:p w14:paraId="0055959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271" w:type="dxa"/>
            <w:tcBorders>
              <w:tl2br w:val="nil"/>
              <w:tr2bl w:val="nil"/>
            </w:tcBorders>
            <w:noWrap w:val="0"/>
            <w:vAlign w:val="center"/>
          </w:tcPr>
          <w:p w14:paraId="5E23C58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374" w:type="dxa"/>
            <w:tcBorders>
              <w:tl2br w:val="nil"/>
              <w:tr2bl w:val="nil"/>
            </w:tcBorders>
            <w:noWrap w:val="0"/>
            <w:vAlign w:val="center"/>
          </w:tcPr>
          <w:p w14:paraId="653F23F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388" w:type="dxa"/>
            <w:tcBorders>
              <w:tl2br w:val="nil"/>
              <w:tr2bl w:val="nil"/>
            </w:tcBorders>
            <w:noWrap w:val="0"/>
            <w:vAlign w:val="center"/>
          </w:tcPr>
          <w:p w14:paraId="413D605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07F7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02" w:type="dxa"/>
            <w:tcBorders>
              <w:tl2br w:val="nil"/>
              <w:tr2bl w:val="nil"/>
            </w:tcBorders>
            <w:noWrap w:val="0"/>
            <w:vAlign w:val="center"/>
          </w:tcPr>
          <w:p w14:paraId="556F9A9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907" w:type="dxa"/>
            <w:tcBorders>
              <w:tl2br w:val="nil"/>
              <w:tr2bl w:val="nil"/>
            </w:tcBorders>
            <w:noWrap w:val="0"/>
            <w:vAlign w:val="center"/>
          </w:tcPr>
          <w:p w14:paraId="1DBFEAE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24小时平均质量浓度（mg/m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71" w:type="dxa"/>
            <w:tcBorders>
              <w:tl2br w:val="nil"/>
              <w:tr2bl w:val="nil"/>
            </w:tcBorders>
            <w:noWrap w:val="0"/>
            <w:vAlign w:val="center"/>
          </w:tcPr>
          <w:p w14:paraId="035C672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w:t>
            </w:r>
          </w:p>
        </w:tc>
        <w:tc>
          <w:tcPr>
            <w:tcW w:w="1374" w:type="dxa"/>
            <w:tcBorders>
              <w:tl2br w:val="nil"/>
              <w:tr2bl w:val="nil"/>
            </w:tcBorders>
            <w:noWrap w:val="0"/>
            <w:vAlign w:val="center"/>
          </w:tcPr>
          <w:p w14:paraId="20FDFE7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388" w:type="dxa"/>
            <w:tcBorders>
              <w:tl2br w:val="nil"/>
              <w:tr2bl w:val="nil"/>
            </w:tcBorders>
            <w:noWrap w:val="0"/>
            <w:vAlign w:val="center"/>
          </w:tcPr>
          <w:p w14:paraId="3E59F8D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41AC0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02" w:type="dxa"/>
            <w:tcBorders>
              <w:tl2br w:val="nil"/>
              <w:tr2bl w:val="nil"/>
            </w:tcBorders>
            <w:noWrap w:val="0"/>
            <w:vAlign w:val="center"/>
          </w:tcPr>
          <w:p w14:paraId="17A5DB6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907" w:type="dxa"/>
            <w:tcBorders>
              <w:tl2br w:val="nil"/>
              <w:tr2bl w:val="nil"/>
            </w:tcBorders>
            <w:noWrap w:val="0"/>
            <w:vAlign w:val="center"/>
          </w:tcPr>
          <w:p w14:paraId="434BBD7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日最大8小时平均质量浓度</w:t>
            </w:r>
          </w:p>
        </w:tc>
        <w:tc>
          <w:tcPr>
            <w:tcW w:w="1271" w:type="dxa"/>
            <w:tcBorders>
              <w:tl2br w:val="nil"/>
              <w:tr2bl w:val="nil"/>
            </w:tcBorders>
            <w:noWrap w:val="0"/>
            <w:vAlign w:val="center"/>
          </w:tcPr>
          <w:p w14:paraId="387B17D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134</w:t>
            </w:r>
          </w:p>
        </w:tc>
        <w:tc>
          <w:tcPr>
            <w:tcW w:w="1374" w:type="dxa"/>
            <w:tcBorders>
              <w:tl2br w:val="nil"/>
              <w:tr2bl w:val="nil"/>
            </w:tcBorders>
            <w:noWrap w:val="0"/>
            <w:vAlign w:val="center"/>
          </w:tcPr>
          <w:p w14:paraId="2922D02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388" w:type="dxa"/>
            <w:tcBorders>
              <w:tl2br w:val="nil"/>
              <w:tr2bl w:val="nil"/>
            </w:tcBorders>
            <w:noWrap w:val="0"/>
            <w:vAlign w:val="center"/>
          </w:tcPr>
          <w:p w14:paraId="372BF7E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6C649925">
      <w:pPr>
        <w:spacing w:line="360" w:lineRule="auto"/>
        <w:ind w:firstLine="491"/>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根据上表可知，</w:t>
      </w:r>
      <w:r>
        <w:rPr>
          <w:rFonts w:hint="default" w:ascii="Times New Roman" w:hAnsi="Times New Roman" w:cs="Times New Roman"/>
          <w:color w:val="auto"/>
          <w:sz w:val="24"/>
          <w:szCs w:val="24"/>
          <w:highlight w:val="none"/>
          <w:lang w:val="en-US" w:eastAsia="zh-CN"/>
        </w:rPr>
        <w:t>彭阳县</w:t>
      </w:r>
      <w:r>
        <w:rPr>
          <w:rFonts w:hint="default" w:ascii="Times New Roman" w:hAnsi="Times New Roman" w:eastAsia="宋体"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年度SO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24小时平均第95百分位数、O</w:t>
      </w:r>
      <w:r>
        <w:rPr>
          <w:rFonts w:hint="default" w:ascii="Times New Roman" w:hAnsi="Times New Roman" w:eastAsia="宋体" w:cs="Times New Roman"/>
          <w:color w:val="auto"/>
          <w:sz w:val="24"/>
          <w:szCs w:val="24"/>
          <w:highlight w:val="none"/>
          <w:vertAlign w:val="subscript"/>
        </w:rPr>
        <w:t>3-8H-90per</w:t>
      </w:r>
      <w:r>
        <w:rPr>
          <w:rFonts w:hint="default" w:ascii="Times New Roman" w:hAnsi="Times New Roman" w:eastAsia="宋体" w:cs="Times New Roman"/>
          <w:color w:val="auto"/>
          <w:sz w:val="24"/>
          <w:szCs w:val="24"/>
          <w:highlight w:val="none"/>
        </w:rPr>
        <w:t>年平均浓度值均达到《环境空气质量标准》（GB3095-2012）二级标准。根据《环境影响评价技术导则大气环境》（HJ2.2-2018）6.4.1.1的要求，六项污染物全部达标即为城市环境空气质量达标，因此，</w:t>
      </w:r>
      <w:r>
        <w:rPr>
          <w:rFonts w:hint="default" w:ascii="Times New Roman" w:hAnsi="Times New Roman" w:cs="Times New Roman"/>
          <w:color w:val="auto"/>
          <w:sz w:val="24"/>
          <w:szCs w:val="24"/>
          <w:highlight w:val="none"/>
          <w:lang w:val="en-US" w:eastAsia="zh-CN"/>
        </w:rPr>
        <w:t>彭阳县总体</w:t>
      </w:r>
      <w:r>
        <w:rPr>
          <w:rFonts w:hint="default" w:ascii="Times New Roman" w:hAnsi="Times New Roman" w:eastAsia="宋体" w:cs="Times New Roman"/>
          <w:color w:val="auto"/>
          <w:sz w:val="24"/>
          <w:szCs w:val="24"/>
          <w:highlight w:val="none"/>
        </w:rPr>
        <w:t>属于达标区。</w:t>
      </w:r>
    </w:p>
    <w:p w14:paraId="2FC3BDA9">
      <w:pPr>
        <w:pStyle w:val="4"/>
        <w:bidi w:val="0"/>
        <w:rPr>
          <w:rFonts w:hint="default" w:ascii="Times New Roman" w:hAnsi="Times New Roman" w:cs="Times New Roman"/>
          <w:color w:val="auto"/>
          <w:sz w:val="28"/>
          <w:szCs w:val="28"/>
          <w:highlight w:val="none"/>
          <w:lang w:val="en-US" w:eastAsia="zh-CN"/>
        </w:rPr>
      </w:pPr>
      <w:bookmarkStart w:id="4053" w:name="_Toc19479"/>
      <w:bookmarkStart w:id="4054" w:name="_Toc5427"/>
      <w:bookmarkStart w:id="4055" w:name="_Toc7321"/>
      <w:bookmarkStart w:id="4056" w:name="_Toc28548"/>
      <w:r>
        <w:rPr>
          <w:rFonts w:hint="default" w:ascii="Times New Roman" w:hAnsi="Times New Roman" w:cs="Times New Roman"/>
          <w:color w:val="auto"/>
          <w:sz w:val="28"/>
          <w:szCs w:val="28"/>
          <w:highlight w:val="none"/>
          <w:lang w:val="en-US" w:eastAsia="zh-CN"/>
        </w:rPr>
        <w:t>5.2地表水质量现状评价</w:t>
      </w:r>
      <w:bookmarkEnd w:id="4053"/>
      <w:bookmarkEnd w:id="4054"/>
      <w:bookmarkEnd w:id="4055"/>
      <w:bookmarkEnd w:id="4056"/>
      <w:r>
        <w:rPr>
          <w:rFonts w:hint="default" w:ascii="Times New Roman" w:hAnsi="Times New Roman" w:cs="Times New Roman"/>
          <w:color w:val="auto"/>
          <w:sz w:val="28"/>
          <w:szCs w:val="28"/>
          <w:highlight w:val="none"/>
          <w:lang w:val="en-US" w:eastAsia="zh-CN"/>
        </w:rPr>
        <w:t xml:space="preserve"> </w:t>
      </w:r>
    </w:p>
    <w:p w14:paraId="385309CB">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本次评价选取</w:t>
      </w: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年作为评价基准年，</w:t>
      </w:r>
      <w:r>
        <w:rPr>
          <w:rFonts w:hint="default" w:ascii="Times New Roman" w:hAnsi="Times New Roman" w:cs="Times New Roman"/>
          <w:color w:val="auto"/>
          <w:sz w:val="24"/>
          <w:szCs w:val="24"/>
          <w:highlight w:val="none"/>
          <w:lang w:val="en-US" w:eastAsia="zh-CN"/>
        </w:rPr>
        <w:t>引用</w:t>
      </w:r>
      <w:r>
        <w:rPr>
          <w:rFonts w:hint="default" w:ascii="Times New Roman" w:hAnsi="Times New Roman"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w:t>
      </w:r>
      <w:r>
        <w:rPr>
          <w:rFonts w:hint="default" w:ascii="Times New Roman" w:hAnsi="Times New Roman" w:cs="Times New Roman"/>
          <w:color w:val="auto"/>
          <w:sz w:val="24"/>
          <w:szCs w:val="24"/>
          <w:highlight w:val="none"/>
          <w:lang w:val="en-US" w:eastAsia="zh-CN"/>
        </w:rPr>
        <w:t>中</w:t>
      </w:r>
      <w:r>
        <w:rPr>
          <w:rFonts w:hint="default" w:ascii="Times New Roman" w:hAnsi="Times New Roman" w:eastAsia="宋体" w:cs="Times New Roman"/>
          <w:snapToGrid w:val="0"/>
          <w:color w:val="auto"/>
          <w:sz w:val="24"/>
          <w:szCs w:val="24"/>
          <w:highlight w:val="none"/>
        </w:rPr>
        <w:t>茹河乃家河水库</w:t>
      </w:r>
      <w:r>
        <w:rPr>
          <w:rFonts w:hint="eastAsia" w:ascii="Times New Roman" w:hAnsi="Times New Roman" w:cs="Times New Roman"/>
          <w:snapToGrid w:val="0"/>
          <w:color w:val="auto"/>
          <w:sz w:val="24"/>
          <w:szCs w:val="24"/>
          <w:highlight w:val="none"/>
          <w:lang w:eastAsia="zh-CN"/>
        </w:rPr>
        <w:t>及</w:t>
      </w:r>
      <w:r>
        <w:rPr>
          <w:rFonts w:hint="default" w:ascii="Times New Roman" w:hAnsi="Times New Roman" w:eastAsia="宋体" w:cs="Times New Roman"/>
          <w:snapToGrid w:val="0"/>
          <w:color w:val="auto"/>
          <w:sz w:val="24"/>
          <w:szCs w:val="24"/>
          <w:highlight w:val="none"/>
        </w:rPr>
        <w:t>沟圈省界断面</w:t>
      </w:r>
      <w:r>
        <w:rPr>
          <w:rFonts w:hint="default" w:ascii="Times New Roman" w:hAnsi="Times New Roman" w:cs="Times New Roman"/>
          <w:snapToGrid w:val="0"/>
          <w:color w:val="auto"/>
          <w:sz w:val="24"/>
          <w:szCs w:val="24"/>
          <w:highlight w:val="none"/>
          <w:lang w:val="en-US" w:eastAsia="zh-CN"/>
        </w:rPr>
        <w:t>水质</w:t>
      </w:r>
      <w:r>
        <w:rPr>
          <w:rFonts w:hint="default" w:ascii="Times New Roman" w:hAnsi="Times New Roman" w:cs="Times New Roman"/>
          <w:color w:val="auto"/>
          <w:sz w:val="24"/>
          <w:szCs w:val="24"/>
          <w:highlight w:val="none"/>
        </w:rPr>
        <w:t>。</w:t>
      </w:r>
    </w:p>
    <w:p w14:paraId="3B914845">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茹河乃家河水库</w:t>
      </w:r>
      <w:r>
        <w:rPr>
          <w:rFonts w:hint="eastAsia" w:ascii="Times New Roman" w:hAnsi="Times New Roman" w:cs="Times New Roman"/>
          <w:color w:val="auto"/>
          <w:sz w:val="24"/>
          <w:szCs w:val="24"/>
          <w:highlight w:val="none"/>
          <w:lang w:eastAsia="zh-CN"/>
        </w:rPr>
        <w:t>水质为</w:t>
      </w:r>
      <w:r>
        <w:rPr>
          <w:rFonts w:hint="eastAsia" w:cs="Times New Roman"/>
          <w:color w:val="auto"/>
          <w:sz w:val="24"/>
          <w:szCs w:val="24"/>
          <w:highlight w:val="none"/>
          <w:lang w:eastAsia="zh-CN"/>
        </w:rPr>
        <w:t>Ⅱ类</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沟圈</w:t>
      </w:r>
      <w:r>
        <w:rPr>
          <w:rFonts w:hint="default" w:ascii="Times New Roman" w:hAnsi="Times New Roman" w:eastAsia="宋体" w:cs="Times New Roman"/>
          <w:color w:val="auto"/>
          <w:sz w:val="24"/>
          <w:szCs w:val="24"/>
          <w:highlight w:val="none"/>
          <w:lang w:val="en-US" w:eastAsia="zh-CN"/>
        </w:rPr>
        <w:t>断面水质均为</w:t>
      </w:r>
      <w:r>
        <w:rPr>
          <w:rFonts w:hint="eastAsia" w:cs="Times New Roman"/>
          <w:color w:val="auto"/>
          <w:sz w:val="24"/>
          <w:szCs w:val="24"/>
          <w:highlight w:val="none"/>
          <w:lang w:val="en-US" w:eastAsia="zh-CN"/>
        </w:rPr>
        <w:t>Ⅲ类</w:t>
      </w:r>
      <w:r>
        <w:rPr>
          <w:rFonts w:hint="default" w:ascii="Times New Roman" w:hAnsi="Times New Roman" w:eastAsia="宋体" w:cs="Times New Roman"/>
          <w:color w:val="auto"/>
          <w:sz w:val="24"/>
          <w:szCs w:val="24"/>
          <w:highlight w:val="none"/>
          <w:lang w:val="en-US" w:eastAsia="zh-CN"/>
        </w:rPr>
        <w:t>。</w:t>
      </w:r>
    </w:p>
    <w:p w14:paraId="1846DF56">
      <w:pPr>
        <w:pStyle w:val="4"/>
        <w:bidi w:val="0"/>
        <w:rPr>
          <w:rFonts w:hint="default" w:ascii="Times New Roman" w:hAnsi="Times New Roman" w:cs="Times New Roman"/>
          <w:color w:val="auto"/>
          <w:sz w:val="28"/>
          <w:szCs w:val="28"/>
          <w:highlight w:val="none"/>
          <w:lang w:val="en-US" w:eastAsia="zh-CN"/>
        </w:rPr>
      </w:pPr>
      <w:bookmarkStart w:id="4057" w:name="_Toc28122"/>
      <w:bookmarkStart w:id="4058" w:name="_Toc7421"/>
      <w:bookmarkStart w:id="4059" w:name="_Toc2829"/>
      <w:bookmarkStart w:id="4060" w:name="_Toc32092"/>
      <w:r>
        <w:rPr>
          <w:rFonts w:hint="default" w:ascii="Times New Roman" w:hAnsi="Times New Roman" w:cs="Times New Roman"/>
          <w:color w:val="auto"/>
          <w:sz w:val="28"/>
          <w:szCs w:val="28"/>
          <w:highlight w:val="none"/>
          <w:lang w:val="en-US" w:eastAsia="zh-CN"/>
        </w:rPr>
        <w:t>5.3地下水环境质量现状评价</w:t>
      </w:r>
      <w:bookmarkEnd w:id="4057"/>
      <w:bookmarkEnd w:id="4058"/>
      <w:bookmarkEnd w:id="4059"/>
      <w:bookmarkEnd w:id="4060"/>
      <w:r>
        <w:rPr>
          <w:rFonts w:hint="default" w:ascii="Times New Roman" w:hAnsi="Times New Roman" w:cs="Times New Roman"/>
          <w:color w:val="auto"/>
          <w:sz w:val="28"/>
          <w:szCs w:val="28"/>
          <w:highlight w:val="none"/>
          <w:lang w:val="en-US" w:eastAsia="zh-CN"/>
        </w:rPr>
        <w:t xml:space="preserve"> </w:t>
      </w:r>
    </w:p>
    <w:p w14:paraId="6DC67228">
      <w:pPr>
        <w:spacing w:line="360" w:lineRule="auto"/>
        <w:ind w:firstLine="480" w:firstLineChars="200"/>
        <w:jc w:val="both"/>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根据《环境影响评价技术导则地下水环境》（HJ610-2016）8.3.3.3规定</w:t>
      </w:r>
      <w:r>
        <w:rPr>
          <w:rFonts w:hint="eastAsia" w:cs="Times New Roman"/>
          <w:snapToGrid w:val="0"/>
          <w:color w:val="auto"/>
          <w:szCs w:val="24"/>
          <w:highlight w:val="none"/>
          <w:lang w:eastAsia="zh-CN"/>
        </w:rPr>
        <w:t>“</w:t>
      </w:r>
      <w:r>
        <w:rPr>
          <w:rFonts w:hint="default" w:ascii="Times New Roman" w:hAnsi="Times New Roman" w:cs="Times New Roman"/>
          <w:snapToGrid w:val="0"/>
          <w:color w:val="auto"/>
          <w:szCs w:val="24"/>
          <w:highlight w:val="none"/>
        </w:rPr>
        <w:t>三级评价项目潜水含水层水质监测点应不少于3个，可能受建设项目影响且具有饮用水开发利用价值的含水层1</w:t>
      </w:r>
      <w:r>
        <w:rPr>
          <w:rFonts w:hint="eastAsia" w:cs="Times New Roman"/>
          <w:snapToGrid w:val="0"/>
          <w:color w:val="auto"/>
          <w:szCs w:val="24"/>
          <w:highlight w:val="none"/>
          <w:lang w:eastAsia="zh-CN"/>
        </w:rPr>
        <w:t>—</w:t>
      </w:r>
      <w:r>
        <w:rPr>
          <w:rFonts w:hint="default" w:ascii="Times New Roman" w:hAnsi="Times New Roman" w:cs="Times New Roman"/>
          <w:snapToGrid w:val="0"/>
          <w:color w:val="auto"/>
          <w:szCs w:val="24"/>
          <w:highlight w:val="none"/>
        </w:rPr>
        <w:t>2个。原则上建设项目场地上游及下游影响区的地下水水质监测点各不得少于1个</w:t>
      </w:r>
      <w:r>
        <w:rPr>
          <w:rFonts w:hint="eastAsia" w:cs="Times New Roman"/>
          <w:snapToGrid w:val="0"/>
          <w:color w:val="auto"/>
          <w:szCs w:val="24"/>
          <w:highlight w:val="none"/>
          <w:lang w:eastAsia="zh-CN"/>
        </w:rPr>
        <w:t>”。</w:t>
      </w:r>
    </w:p>
    <w:p w14:paraId="408061AA">
      <w:pPr>
        <w:spacing w:beforeLines="0" w:afterLines="0"/>
        <w:jc w:val="both"/>
        <w:rPr>
          <w:rFonts w:hint="default" w:cs="Times New Roman"/>
          <w:color w:val="auto"/>
          <w:sz w:val="24"/>
          <w:szCs w:val="24"/>
          <w:highlight w:val="none"/>
          <w:lang w:val="en-US" w:eastAsia="zh-CN"/>
        </w:rPr>
      </w:pPr>
      <w:r>
        <w:rPr>
          <w:rFonts w:hint="eastAsia" w:cs="Times New Roman"/>
          <w:snapToGrid w:val="0"/>
          <w:color w:val="auto"/>
          <w:szCs w:val="24"/>
          <w:highlight w:val="none"/>
          <w:lang w:eastAsia="zh-CN"/>
        </w:rPr>
        <w:t>本次在茹河工程段上游、侧游及下游各布设</w:t>
      </w:r>
      <w:r>
        <w:rPr>
          <w:rFonts w:hint="eastAsia" w:cs="Times New Roman"/>
          <w:snapToGrid w:val="0"/>
          <w:color w:val="auto"/>
          <w:szCs w:val="24"/>
          <w:highlight w:val="none"/>
          <w:lang w:val="en-US" w:eastAsia="zh-CN"/>
        </w:rPr>
        <w:t>1处监测点位。本次委托宁夏泽瑞隆环保技术有限公司于2025年12月5日对1</w:t>
      </w:r>
      <w:r>
        <w:rPr>
          <w:rFonts w:hint="eastAsia" w:cs="Times New Roman"/>
          <w:snapToGrid w:val="0"/>
          <w:color w:val="auto"/>
          <w:szCs w:val="24"/>
          <w:highlight w:val="none"/>
          <w:vertAlign w:val="superscript"/>
          <w:lang w:val="en-US" w:eastAsia="zh-CN"/>
        </w:rPr>
        <w:t>#</w:t>
      </w:r>
      <w:r>
        <w:rPr>
          <w:rFonts w:hint="eastAsia" w:cs="Times New Roman"/>
          <w:snapToGrid w:val="0"/>
          <w:color w:val="auto"/>
          <w:szCs w:val="24"/>
          <w:highlight w:val="none"/>
          <w:lang w:val="en-US" w:eastAsia="zh-CN"/>
        </w:rPr>
        <w:t>（上游）、2</w:t>
      </w:r>
      <w:r>
        <w:rPr>
          <w:rFonts w:hint="eastAsia" w:cs="Times New Roman"/>
          <w:snapToGrid w:val="0"/>
          <w:color w:val="auto"/>
          <w:szCs w:val="24"/>
          <w:highlight w:val="none"/>
          <w:vertAlign w:val="superscript"/>
          <w:lang w:val="en-US" w:eastAsia="zh-CN"/>
        </w:rPr>
        <w:t>#</w:t>
      </w:r>
      <w:r>
        <w:rPr>
          <w:rFonts w:hint="eastAsia" w:cs="Times New Roman"/>
          <w:snapToGrid w:val="0"/>
          <w:color w:val="auto"/>
          <w:szCs w:val="24"/>
          <w:highlight w:val="none"/>
          <w:lang w:val="en-US" w:eastAsia="zh-CN"/>
        </w:rPr>
        <w:t>（侧游）地下水水质进行检测。3</w:t>
      </w:r>
      <w:r>
        <w:rPr>
          <w:rFonts w:hint="eastAsia" w:cs="Times New Roman"/>
          <w:snapToGrid w:val="0"/>
          <w:color w:val="auto"/>
          <w:szCs w:val="24"/>
          <w:highlight w:val="none"/>
          <w:vertAlign w:val="superscript"/>
          <w:lang w:val="en-US" w:eastAsia="zh-CN"/>
        </w:rPr>
        <w:t>#</w:t>
      </w:r>
      <w:r>
        <w:rPr>
          <w:rFonts w:hint="eastAsia" w:cs="Times New Roman"/>
          <w:snapToGrid w:val="0"/>
          <w:color w:val="auto"/>
          <w:szCs w:val="24"/>
          <w:highlight w:val="none"/>
          <w:lang w:val="en-US" w:eastAsia="zh-CN"/>
        </w:rPr>
        <w:t>（下游）点位地下水水质</w:t>
      </w:r>
      <w:r>
        <w:rPr>
          <w:rFonts w:hint="eastAsia" w:ascii="Times New Roman" w:hAnsi="Times New Roman" w:eastAsia="宋体" w:cs="Times New Roman"/>
          <w:snapToGrid w:val="0"/>
          <w:color w:val="auto"/>
          <w:szCs w:val="24"/>
          <w:highlight w:val="none"/>
          <w:lang w:val="en-US" w:eastAsia="zh-CN"/>
        </w:rPr>
        <w:t>参考《</w:t>
      </w:r>
      <w:r>
        <w:rPr>
          <w:rFonts w:hint="eastAsia" w:ascii="Times New Roman" w:hAnsi="Times New Roman" w:eastAsia="宋体" w:cs="Times New Roman"/>
          <w:snapToGrid w:val="0"/>
          <w:color w:val="auto"/>
          <w:szCs w:val="24"/>
          <w:highlight w:val="none"/>
          <w:lang w:eastAsia="zh-CN"/>
        </w:rPr>
        <w:t>彭阳县工业园区污水处理站提升改造项目环境影响报告书</w:t>
      </w:r>
      <w:r>
        <w:rPr>
          <w:rFonts w:hint="eastAsia" w:ascii="Times New Roman" w:hAnsi="Times New Roman" w:eastAsia="宋体" w:cs="Times New Roman"/>
          <w:snapToGrid w:val="0"/>
          <w:color w:val="auto"/>
          <w:szCs w:val="24"/>
          <w:highlight w:val="none"/>
          <w:lang w:val="en-US" w:eastAsia="zh-CN"/>
        </w:rPr>
        <w:t>》中地下水1</w:t>
      </w:r>
      <w:r>
        <w:rPr>
          <w:rFonts w:hint="eastAsia" w:cs="Times New Roman"/>
          <w:snapToGrid w:val="0"/>
          <w:color w:val="auto"/>
          <w:szCs w:val="24"/>
          <w:highlight w:val="none"/>
          <w:vertAlign w:val="superscript"/>
          <w:lang w:val="en-US" w:eastAsia="zh-CN"/>
        </w:rPr>
        <w:t>#</w:t>
      </w:r>
      <w:r>
        <w:rPr>
          <w:rFonts w:hint="eastAsia" w:ascii="Times New Roman" w:hAnsi="Times New Roman" w:eastAsia="宋体" w:cs="Times New Roman"/>
          <w:snapToGrid w:val="0"/>
          <w:color w:val="auto"/>
          <w:szCs w:val="24"/>
          <w:highlight w:val="none"/>
          <w:lang w:val="en-US" w:eastAsia="zh-CN"/>
        </w:rPr>
        <w:t>点位监测数据。</w:t>
      </w:r>
      <w:r>
        <w:rPr>
          <w:rFonts w:hint="default" w:ascii="Times New Roman" w:hAnsi="Times New Roman" w:eastAsia="宋体" w:cs="Times New Roman"/>
          <w:color w:val="auto"/>
          <w:sz w:val="24"/>
          <w:szCs w:val="24"/>
          <w:highlight w:val="none"/>
        </w:rPr>
        <w:t>本次引用的监测点检测时间为</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21日</w:t>
      </w:r>
      <w:r>
        <w:rPr>
          <w:rFonts w:hint="eastAsia" w:cs="Times New Roman"/>
          <w:color w:val="auto"/>
          <w:highlight w:val="none"/>
          <w:lang w:val="en-US" w:eastAsia="zh-CN"/>
        </w:rPr>
        <w:t>，距项目石头崾岘水库3.3km。</w:t>
      </w:r>
    </w:p>
    <w:p w14:paraId="1F04B0BA">
      <w:pPr>
        <w:jc w:val="center"/>
        <w:rPr>
          <w:rFonts w:hint="eastAsia"/>
          <w:b/>
          <w:bCs/>
          <w:color w:val="auto"/>
          <w:highlight w:val="none"/>
          <w:lang w:val="en-US" w:eastAsia="zh-CN"/>
        </w:rPr>
      </w:pPr>
      <w:r>
        <w:rPr>
          <w:rFonts w:hint="eastAsia"/>
          <w:b/>
          <w:bCs/>
          <w:color w:val="auto"/>
          <w:highlight w:val="none"/>
          <w:lang w:val="en-US" w:eastAsia="zh-CN"/>
        </w:rPr>
        <w:t>表5.3.3-1 地下水环境现状监测点位设置情况</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319"/>
        <w:gridCol w:w="1311"/>
        <w:gridCol w:w="666"/>
        <w:gridCol w:w="813"/>
        <w:gridCol w:w="876"/>
        <w:gridCol w:w="613"/>
        <w:gridCol w:w="2030"/>
      </w:tblGrid>
      <w:tr w14:paraId="269F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34" w:type="pct"/>
            <w:vMerge w:val="restart"/>
            <w:tcBorders>
              <w:tl2br w:val="nil"/>
              <w:tr2bl w:val="nil"/>
            </w:tcBorders>
            <w:noWrap w:val="0"/>
            <w:vAlign w:val="center"/>
          </w:tcPr>
          <w:p w14:paraId="5007A40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监测点</w:t>
            </w:r>
          </w:p>
        </w:tc>
        <w:tc>
          <w:tcPr>
            <w:tcW w:w="1551" w:type="pct"/>
            <w:gridSpan w:val="2"/>
            <w:tcBorders>
              <w:tl2br w:val="nil"/>
              <w:tr2bl w:val="nil"/>
            </w:tcBorders>
            <w:noWrap w:val="0"/>
            <w:vAlign w:val="center"/>
          </w:tcPr>
          <w:p w14:paraId="556B342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坐标</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m</w:t>
            </w:r>
            <w:r>
              <w:rPr>
                <w:rFonts w:hint="eastAsia" w:cs="Times New Roman"/>
                <w:b/>
                <w:bCs/>
                <w:color w:val="auto"/>
                <w:sz w:val="21"/>
                <w:szCs w:val="21"/>
                <w:highlight w:val="none"/>
                <w:lang w:val="en-US" w:eastAsia="zh-CN"/>
              </w:rPr>
              <w:t>）</w:t>
            </w:r>
          </w:p>
        </w:tc>
        <w:tc>
          <w:tcPr>
            <w:tcW w:w="400" w:type="pct"/>
            <w:vMerge w:val="restart"/>
            <w:tcBorders>
              <w:tl2br w:val="nil"/>
              <w:tr2bl w:val="nil"/>
            </w:tcBorders>
            <w:noWrap w:val="0"/>
            <w:vAlign w:val="center"/>
          </w:tcPr>
          <w:p w14:paraId="016538F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监测类型</w:t>
            </w:r>
          </w:p>
        </w:tc>
        <w:tc>
          <w:tcPr>
            <w:tcW w:w="472" w:type="pct"/>
            <w:vMerge w:val="restart"/>
            <w:tcBorders>
              <w:tl2br w:val="nil"/>
              <w:tr2bl w:val="nil"/>
            </w:tcBorders>
            <w:noWrap w:val="0"/>
            <w:vAlign w:val="center"/>
          </w:tcPr>
          <w:p w14:paraId="37A3FC3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井深（m）</w:t>
            </w:r>
          </w:p>
        </w:tc>
        <w:tc>
          <w:tcPr>
            <w:tcW w:w="472" w:type="pct"/>
            <w:vMerge w:val="restart"/>
            <w:tcBorders>
              <w:tl2br w:val="nil"/>
              <w:tr2bl w:val="nil"/>
            </w:tcBorders>
            <w:noWrap w:val="0"/>
            <w:vAlign w:val="center"/>
          </w:tcPr>
          <w:p w14:paraId="78298D51">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相对项目距离</w:t>
            </w:r>
          </w:p>
          <w:p w14:paraId="6EF05DA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(m)</w:t>
            </w:r>
          </w:p>
        </w:tc>
        <w:tc>
          <w:tcPr>
            <w:tcW w:w="369" w:type="pct"/>
            <w:vMerge w:val="restart"/>
            <w:tcBorders>
              <w:tl2br w:val="nil"/>
              <w:tr2bl w:val="nil"/>
            </w:tcBorders>
            <w:noWrap w:val="0"/>
            <w:vAlign w:val="center"/>
          </w:tcPr>
          <w:p w14:paraId="67521E4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备注</w:t>
            </w:r>
          </w:p>
        </w:tc>
        <w:tc>
          <w:tcPr>
            <w:tcW w:w="1199" w:type="pct"/>
            <w:vMerge w:val="restart"/>
            <w:tcBorders>
              <w:tl2br w:val="nil"/>
              <w:tr2bl w:val="nil"/>
            </w:tcBorders>
            <w:noWrap w:val="0"/>
            <w:vAlign w:val="center"/>
          </w:tcPr>
          <w:p w14:paraId="09E58068">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数据来源</w:t>
            </w:r>
          </w:p>
        </w:tc>
      </w:tr>
      <w:tr w14:paraId="789C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pct"/>
            <w:vMerge w:val="continue"/>
            <w:tcBorders>
              <w:tl2br w:val="nil"/>
              <w:tr2bl w:val="nil"/>
            </w:tcBorders>
            <w:noWrap w:val="0"/>
            <w:vAlign w:val="center"/>
          </w:tcPr>
          <w:p w14:paraId="5719834C">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lang w:val="en-US" w:eastAsia="zh-CN"/>
              </w:rPr>
            </w:pPr>
          </w:p>
        </w:tc>
        <w:tc>
          <w:tcPr>
            <w:tcW w:w="773" w:type="pct"/>
            <w:tcBorders>
              <w:tl2br w:val="nil"/>
              <w:tr2bl w:val="nil"/>
            </w:tcBorders>
            <w:noWrap w:val="0"/>
            <w:vAlign w:val="center"/>
          </w:tcPr>
          <w:p w14:paraId="038E3F4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经度</w:t>
            </w:r>
          </w:p>
        </w:tc>
        <w:tc>
          <w:tcPr>
            <w:tcW w:w="777" w:type="pct"/>
            <w:tcBorders>
              <w:tl2br w:val="nil"/>
              <w:tr2bl w:val="nil"/>
            </w:tcBorders>
            <w:noWrap w:val="0"/>
            <w:vAlign w:val="center"/>
          </w:tcPr>
          <w:p w14:paraId="11F9ABD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纬度</w:t>
            </w:r>
          </w:p>
        </w:tc>
        <w:tc>
          <w:tcPr>
            <w:tcW w:w="400" w:type="pct"/>
            <w:vMerge w:val="continue"/>
            <w:tcBorders>
              <w:tl2br w:val="nil"/>
              <w:tr2bl w:val="nil"/>
            </w:tcBorders>
            <w:noWrap w:val="0"/>
            <w:vAlign w:val="center"/>
          </w:tcPr>
          <w:p w14:paraId="53B6DB3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lang w:val="en-US" w:eastAsia="zh-CN"/>
              </w:rPr>
            </w:pPr>
          </w:p>
        </w:tc>
        <w:tc>
          <w:tcPr>
            <w:tcW w:w="472" w:type="pct"/>
            <w:vMerge w:val="continue"/>
            <w:tcBorders>
              <w:tl2br w:val="nil"/>
              <w:tr2bl w:val="nil"/>
            </w:tcBorders>
            <w:noWrap w:val="0"/>
            <w:vAlign w:val="center"/>
          </w:tcPr>
          <w:p w14:paraId="4F9B96DC">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lang w:val="en-US" w:eastAsia="zh-CN"/>
              </w:rPr>
            </w:pPr>
          </w:p>
        </w:tc>
        <w:tc>
          <w:tcPr>
            <w:tcW w:w="472" w:type="pct"/>
            <w:vMerge w:val="continue"/>
            <w:tcBorders>
              <w:tl2br w:val="nil"/>
              <w:tr2bl w:val="nil"/>
            </w:tcBorders>
            <w:noWrap w:val="0"/>
            <w:vAlign w:val="center"/>
          </w:tcPr>
          <w:p w14:paraId="0C1D855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lang w:val="en-US" w:eastAsia="zh-CN"/>
              </w:rPr>
            </w:pPr>
          </w:p>
        </w:tc>
        <w:tc>
          <w:tcPr>
            <w:tcW w:w="369" w:type="pct"/>
            <w:vMerge w:val="continue"/>
            <w:tcBorders>
              <w:tl2br w:val="nil"/>
              <w:tr2bl w:val="nil"/>
            </w:tcBorders>
            <w:noWrap w:val="0"/>
            <w:vAlign w:val="center"/>
          </w:tcPr>
          <w:p w14:paraId="56FDC0A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lang w:val="en-US" w:eastAsia="zh-CN"/>
              </w:rPr>
            </w:pPr>
          </w:p>
        </w:tc>
        <w:tc>
          <w:tcPr>
            <w:tcW w:w="1199" w:type="pct"/>
            <w:vMerge w:val="continue"/>
            <w:tcBorders>
              <w:tl2br w:val="nil"/>
              <w:tr2bl w:val="nil"/>
            </w:tcBorders>
            <w:noWrap w:val="0"/>
            <w:vAlign w:val="center"/>
          </w:tcPr>
          <w:p w14:paraId="1435EFB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val="0"/>
                <w:bCs w:val="0"/>
                <w:color w:val="auto"/>
                <w:sz w:val="21"/>
                <w:szCs w:val="21"/>
                <w:highlight w:val="none"/>
                <w:lang w:val="en-US" w:eastAsia="zh-CN"/>
              </w:rPr>
            </w:pPr>
          </w:p>
        </w:tc>
      </w:tr>
      <w:tr w14:paraId="30A0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34" w:type="pct"/>
            <w:tcBorders>
              <w:tl2br w:val="nil"/>
              <w:tr2bl w:val="nil"/>
            </w:tcBorders>
            <w:noWrap w:val="0"/>
            <w:vAlign w:val="center"/>
          </w:tcPr>
          <w:p w14:paraId="0A63661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r>
              <w:rPr>
                <w:rFonts w:hint="eastAsia" w:cs="Times New Roman"/>
                <w:b w:val="0"/>
                <w:bCs w:val="0"/>
                <w:color w:val="auto"/>
                <w:sz w:val="21"/>
                <w:szCs w:val="21"/>
                <w:highlight w:val="none"/>
                <w:vertAlign w:val="superscript"/>
                <w:lang w:val="en-US" w:eastAsia="zh-CN"/>
              </w:rPr>
              <w:t>#</w:t>
            </w:r>
          </w:p>
        </w:tc>
        <w:tc>
          <w:tcPr>
            <w:tcW w:w="773" w:type="pct"/>
            <w:tcBorders>
              <w:tl2br w:val="nil"/>
              <w:tr2bl w:val="nil"/>
            </w:tcBorders>
            <w:noWrap w:val="0"/>
            <w:vAlign w:val="center"/>
          </w:tcPr>
          <w:p w14:paraId="4D107EB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106.452532</w:t>
            </w:r>
            <w:r>
              <w:rPr>
                <w:rFonts w:hint="eastAsia" w:ascii="Times New Roman" w:hAnsi="Times New Roman" w:eastAsia="宋体" w:cs="Times New Roman"/>
                <w:b w:val="0"/>
                <w:bCs w:val="0"/>
                <w:color w:val="auto"/>
                <w:sz w:val="21"/>
                <w:szCs w:val="21"/>
                <w:highlight w:val="none"/>
                <w:lang w:val="en-US" w:eastAsia="zh-CN"/>
              </w:rPr>
              <w:t>1</w:t>
            </w:r>
          </w:p>
        </w:tc>
        <w:tc>
          <w:tcPr>
            <w:tcW w:w="777" w:type="pct"/>
            <w:tcBorders>
              <w:tl2br w:val="nil"/>
              <w:tr2bl w:val="nil"/>
            </w:tcBorders>
            <w:noWrap w:val="0"/>
            <w:vAlign w:val="center"/>
          </w:tcPr>
          <w:p w14:paraId="6A3172E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35.908765</w:t>
            </w:r>
            <w:r>
              <w:rPr>
                <w:rFonts w:hint="eastAsia" w:ascii="Times New Roman" w:hAnsi="Times New Roman" w:eastAsia="宋体" w:cs="Times New Roman"/>
                <w:b w:val="0"/>
                <w:bCs w:val="0"/>
                <w:color w:val="auto"/>
                <w:sz w:val="21"/>
                <w:szCs w:val="21"/>
                <w:highlight w:val="none"/>
                <w:lang w:val="en-US" w:eastAsia="zh-CN"/>
              </w:rPr>
              <w:t>3</w:t>
            </w:r>
          </w:p>
        </w:tc>
        <w:tc>
          <w:tcPr>
            <w:tcW w:w="400" w:type="pct"/>
            <w:tcBorders>
              <w:tl2br w:val="nil"/>
              <w:tr2bl w:val="nil"/>
            </w:tcBorders>
            <w:noWrap w:val="0"/>
            <w:vAlign w:val="center"/>
          </w:tcPr>
          <w:p w14:paraId="61F8FDB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水质</w:t>
            </w:r>
          </w:p>
        </w:tc>
        <w:tc>
          <w:tcPr>
            <w:tcW w:w="472" w:type="pct"/>
            <w:tcBorders>
              <w:tl2br w:val="nil"/>
              <w:tr2bl w:val="nil"/>
            </w:tcBorders>
            <w:noWrap w:val="0"/>
            <w:vAlign w:val="center"/>
          </w:tcPr>
          <w:p w14:paraId="59889F5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25m</w:t>
            </w:r>
          </w:p>
        </w:tc>
        <w:tc>
          <w:tcPr>
            <w:tcW w:w="472" w:type="pct"/>
            <w:tcBorders>
              <w:tl2br w:val="nil"/>
              <w:tr2bl w:val="nil"/>
            </w:tcBorders>
            <w:noWrap w:val="0"/>
            <w:vAlign w:val="center"/>
          </w:tcPr>
          <w:p w14:paraId="7771EFEE">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W,20m</w:t>
            </w:r>
          </w:p>
        </w:tc>
        <w:tc>
          <w:tcPr>
            <w:tcW w:w="369" w:type="pct"/>
            <w:tcBorders>
              <w:tl2br w:val="nil"/>
              <w:tr2bl w:val="nil"/>
            </w:tcBorders>
            <w:noWrap w:val="0"/>
            <w:vAlign w:val="center"/>
          </w:tcPr>
          <w:p w14:paraId="48AAD81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上游</w:t>
            </w:r>
          </w:p>
        </w:tc>
        <w:tc>
          <w:tcPr>
            <w:tcW w:w="1199" w:type="pct"/>
            <w:vMerge w:val="restart"/>
            <w:tcBorders>
              <w:tl2br w:val="nil"/>
              <w:tr2bl w:val="nil"/>
            </w:tcBorders>
            <w:noWrap w:val="0"/>
            <w:vAlign w:val="center"/>
          </w:tcPr>
          <w:p w14:paraId="63E04B6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委托宁夏泽瑞隆环保技术有限公司</w:t>
            </w:r>
            <w:r>
              <w:rPr>
                <w:rFonts w:hint="eastAsia" w:ascii="Times New Roman" w:hAnsi="Times New Roman" w:eastAsia="宋体" w:cs="Times New Roman"/>
                <w:b w:val="0"/>
                <w:bCs w:val="0"/>
                <w:color w:val="auto"/>
                <w:sz w:val="21"/>
                <w:szCs w:val="21"/>
                <w:highlight w:val="none"/>
                <w:lang w:val="en-US" w:eastAsia="zh-CN"/>
              </w:rPr>
              <w:t>检测</w:t>
            </w:r>
          </w:p>
        </w:tc>
      </w:tr>
      <w:tr w14:paraId="55EB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34" w:type="pct"/>
            <w:tcBorders>
              <w:tl2br w:val="nil"/>
              <w:tr2bl w:val="nil"/>
            </w:tcBorders>
            <w:noWrap w:val="0"/>
            <w:vAlign w:val="center"/>
          </w:tcPr>
          <w:p w14:paraId="5183669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r>
              <w:rPr>
                <w:rFonts w:hint="eastAsia" w:cs="Times New Roman"/>
                <w:b w:val="0"/>
                <w:bCs w:val="0"/>
                <w:color w:val="auto"/>
                <w:sz w:val="21"/>
                <w:szCs w:val="21"/>
                <w:highlight w:val="none"/>
                <w:vertAlign w:val="superscript"/>
                <w:lang w:val="en-US" w:eastAsia="zh-CN"/>
              </w:rPr>
              <w:t>#</w:t>
            </w:r>
          </w:p>
        </w:tc>
        <w:tc>
          <w:tcPr>
            <w:tcW w:w="773" w:type="pct"/>
            <w:tcBorders>
              <w:tl2br w:val="nil"/>
              <w:tr2bl w:val="nil"/>
            </w:tcBorders>
            <w:noWrap w:val="0"/>
            <w:vAlign w:val="center"/>
          </w:tcPr>
          <w:p w14:paraId="617D1A5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106.4789909</w:t>
            </w:r>
          </w:p>
        </w:tc>
        <w:tc>
          <w:tcPr>
            <w:tcW w:w="777" w:type="pct"/>
            <w:tcBorders>
              <w:tl2br w:val="nil"/>
              <w:tr2bl w:val="nil"/>
            </w:tcBorders>
            <w:noWrap w:val="0"/>
            <w:vAlign w:val="center"/>
          </w:tcPr>
          <w:p w14:paraId="6A27A9C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35.913532</w:t>
            </w:r>
            <w:r>
              <w:rPr>
                <w:rFonts w:hint="eastAsia" w:ascii="Times New Roman" w:hAnsi="Times New Roman" w:eastAsia="宋体" w:cs="Times New Roman"/>
                <w:b w:val="0"/>
                <w:bCs w:val="0"/>
                <w:color w:val="auto"/>
                <w:sz w:val="21"/>
                <w:szCs w:val="21"/>
                <w:highlight w:val="none"/>
                <w:lang w:val="en-US" w:eastAsia="zh-CN"/>
              </w:rPr>
              <w:t>5</w:t>
            </w:r>
          </w:p>
        </w:tc>
        <w:tc>
          <w:tcPr>
            <w:tcW w:w="400" w:type="pct"/>
            <w:tcBorders>
              <w:tl2br w:val="nil"/>
              <w:tr2bl w:val="nil"/>
            </w:tcBorders>
            <w:noWrap w:val="0"/>
            <w:vAlign w:val="center"/>
          </w:tcPr>
          <w:p w14:paraId="053EB31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水质</w:t>
            </w:r>
          </w:p>
        </w:tc>
        <w:tc>
          <w:tcPr>
            <w:tcW w:w="472" w:type="pct"/>
            <w:tcBorders>
              <w:tl2br w:val="nil"/>
              <w:tr2bl w:val="nil"/>
            </w:tcBorders>
            <w:noWrap w:val="0"/>
            <w:vAlign w:val="center"/>
          </w:tcPr>
          <w:p w14:paraId="3F8CA7D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20m</w:t>
            </w:r>
          </w:p>
        </w:tc>
        <w:tc>
          <w:tcPr>
            <w:tcW w:w="472" w:type="pct"/>
            <w:tcBorders>
              <w:tl2br w:val="nil"/>
              <w:tr2bl w:val="nil"/>
            </w:tcBorders>
            <w:noWrap w:val="0"/>
            <w:vAlign w:val="center"/>
          </w:tcPr>
          <w:p w14:paraId="048DCEFE">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E,165m</w:t>
            </w:r>
          </w:p>
        </w:tc>
        <w:tc>
          <w:tcPr>
            <w:tcW w:w="369" w:type="pct"/>
            <w:tcBorders>
              <w:tl2br w:val="nil"/>
              <w:tr2bl w:val="nil"/>
            </w:tcBorders>
            <w:noWrap w:val="0"/>
            <w:vAlign w:val="center"/>
          </w:tcPr>
          <w:p w14:paraId="6DC7675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侧游</w:t>
            </w:r>
          </w:p>
        </w:tc>
        <w:tc>
          <w:tcPr>
            <w:tcW w:w="1199" w:type="pct"/>
            <w:vMerge w:val="continue"/>
            <w:tcBorders>
              <w:tl2br w:val="nil"/>
              <w:tr2bl w:val="nil"/>
            </w:tcBorders>
            <w:noWrap w:val="0"/>
            <w:vAlign w:val="center"/>
          </w:tcPr>
          <w:p w14:paraId="22A958D2">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val="0"/>
                <w:bCs w:val="0"/>
                <w:color w:val="auto"/>
                <w:sz w:val="21"/>
                <w:szCs w:val="21"/>
                <w:highlight w:val="none"/>
                <w:lang w:val="en-US" w:eastAsia="zh-CN"/>
              </w:rPr>
            </w:pPr>
          </w:p>
        </w:tc>
      </w:tr>
      <w:tr w14:paraId="3853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pct"/>
            <w:tcBorders>
              <w:tl2br w:val="nil"/>
              <w:tr2bl w:val="nil"/>
            </w:tcBorders>
            <w:noWrap w:val="0"/>
            <w:vAlign w:val="center"/>
          </w:tcPr>
          <w:p w14:paraId="72BAABC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r>
              <w:rPr>
                <w:rFonts w:hint="eastAsia" w:cs="Times New Roman"/>
                <w:b w:val="0"/>
                <w:bCs w:val="0"/>
                <w:color w:val="auto"/>
                <w:sz w:val="21"/>
                <w:szCs w:val="21"/>
                <w:highlight w:val="none"/>
                <w:vertAlign w:val="superscript"/>
                <w:lang w:val="en-US" w:eastAsia="zh-CN"/>
              </w:rPr>
              <w:t>#</w:t>
            </w:r>
          </w:p>
        </w:tc>
        <w:tc>
          <w:tcPr>
            <w:tcW w:w="773" w:type="pct"/>
            <w:tcBorders>
              <w:tl2br w:val="nil"/>
              <w:tr2bl w:val="nil"/>
            </w:tcBorders>
            <w:noWrap w:val="0"/>
            <w:vAlign w:val="center"/>
          </w:tcPr>
          <w:p w14:paraId="1776122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106.638539</w:t>
            </w:r>
          </w:p>
        </w:tc>
        <w:tc>
          <w:tcPr>
            <w:tcW w:w="777" w:type="pct"/>
            <w:tcBorders>
              <w:tl2br w:val="nil"/>
              <w:tr2bl w:val="nil"/>
            </w:tcBorders>
            <w:noWrap w:val="0"/>
            <w:vAlign w:val="center"/>
          </w:tcPr>
          <w:p w14:paraId="7C719AEB">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35.831139</w:t>
            </w:r>
          </w:p>
        </w:tc>
        <w:tc>
          <w:tcPr>
            <w:tcW w:w="400" w:type="pct"/>
            <w:tcBorders>
              <w:tl2br w:val="nil"/>
              <w:tr2bl w:val="nil"/>
            </w:tcBorders>
            <w:noWrap w:val="0"/>
            <w:vAlign w:val="center"/>
          </w:tcPr>
          <w:p w14:paraId="5C8CDDC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水质</w:t>
            </w:r>
          </w:p>
        </w:tc>
        <w:tc>
          <w:tcPr>
            <w:tcW w:w="472" w:type="pct"/>
            <w:tcBorders>
              <w:tl2br w:val="nil"/>
              <w:tr2bl w:val="nil"/>
            </w:tcBorders>
            <w:noWrap w:val="0"/>
            <w:vAlign w:val="center"/>
          </w:tcPr>
          <w:p w14:paraId="5A54043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2m</w:t>
            </w:r>
          </w:p>
        </w:tc>
        <w:tc>
          <w:tcPr>
            <w:tcW w:w="472" w:type="pct"/>
            <w:tcBorders>
              <w:tl2br w:val="nil"/>
              <w:tr2bl w:val="nil"/>
            </w:tcBorders>
            <w:noWrap w:val="0"/>
            <w:vAlign w:val="center"/>
          </w:tcPr>
          <w:p w14:paraId="7B1DE89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3200</w:t>
            </w:r>
          </w:p>
        </w:tc>
        <w:tc>
          <w:tcPr>
            <w:tcW w:w="369" w:type="pct"/>
            <w:tcBorders>
              <w:tl2br w:val="nil"/>
              <w:tr2bl w:val="nil"/>
            </w:tcBorders>
            <w:noWrap w:val="0"/>
            <w:vAlign w:val="center"/>
          </w:tcPr>
          <w:p w14:paraId="16A6124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下游</w:t>
            </w:r>
          </w:p>
        </w:tc>
        <w:tc>
          <w:tcPr>
            <w:tcW w:w="1199" w:type="pct"/>
            <w:tcBorders>
              <w:tl2br w:val="nil"/>
              <w:tr2bl w:val="nil"/>
            </w:tcBorders>
            <w:noWrap w:val="0"/>
            <w:vAlign w:val="center"/>
          </w:tcPr>
          <w:p w14:paraId="6959D7E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《彭阳县工业园区污水处理站提升改造项目环境影响报告书》</w:t>
            </w:r>
          </w:p>
        </w:tc>
      </w:tr>
    </w:tbl>
    <w:p w14:paraId="3039CFBF">
      <w:pPr>
        <w:pStyle w:val="2"/>
        <w:jc w:val="both"/>
        <w:outlineLvl w:val="9"/>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（2）监测因子</w:t>
      </w:r>
    </w:p>
    <w:p w14:paraId="3136CDA9">
      <w:pPr>
        <w:pStyle w:val="2"/>
        <w:jc w:val="both"/>
        <w:outlineLvl w:val="9"/>
        <w:rPr>
          <w:rFonts w:hint="default" w:ascii="Times New Roman" w:hAnsi="Times New Roman" w:cs="Times New Roman"/>
          <w:b w:val="0"/>
          <w:bCs w:val="0"/>
          <w:i w:val="0"/>
          <w:iCs w:val="0"/>
          <w:color w:val="auto"/>
          <w:sz w:val="24"/>
          <w:szCs w:val="24"/>
          <w:highlight w:val="none"/>
          <w:lang w:val="en-US" w:eastAsia="zh-CN"/>
        </w:rPr>
      </w:pPr>
      <w:r>
        <w:rPr>
          <w:rFonts w:hint="eastAsia" w:ascii="Times New Roman" w:hAnsi="Times New Roman" w:cs="Times New Roman"/>
          <w:b w:val="0"/>
          <w:bCs w:val="0"/>
          <w:i w:val="0"/>
          <w:iCs w:val="0"/>
          <w:color w:val="auto"/>
          <w:sz w:val="24"/>
          <w:szCs w:val="24"/>
          <w:highlight w:val="none"/>
          <w:lang w:val="en-US" w:eastAsia="zh-CN"/>
        </w:rPr>
        <w:t>①1</w:t>
      </w:r>
      <w:r>
        <w:rPr>
          <w:rFonts w:hint="eastAsia" w:cs="Times New Roman"/>
          <w:b w:val="0"/>
          <w:bCs w:val="0"/>
          <w:i w:val="0"/>
          <w:iCs w:val="0"/>
          <w:color w:val="auto"/>
          <w:sz w:val="24"/>
          <w:szCs w:val="24"/>
          <w:highlight w:val="none"/>
          <w:vertAlign w:val="superscript"/>
          <w:lang w:val="en-US" w:eastAsia="zh-CN"/>
        </w:rPr>
        <w:t>#</w:t>
      </w:r>
      <w:r>
        <w:rPr>
          <w:rFonts w:hint="eastAsia" w:ascii="Times New Roman" w:hAnsi="Times New Roman" w:cs="Times New Roman"/>
          <w:b w:val="0"/>
          <w:bCs w:val="0"/>
          <w:i w:val="0"/>
          <w:iCs w:val="0"/>
          <w:color w:val="auto"/>
          <w:sz w:val="24"/>
          <w:szCs w:val="24"/>
          <w:highlight w:val="none"/>
          <w:lang w:val="en-US" w:eastAsia="zh-CN"/>
        </w:rPr>
        <w:t>、2</w:t>
      </w:r>
      <w:r>
        <w:rPr>
          <w:rFonts w:hint="eastAsia" w:cs="Times New Roman"/>
          <w:b w:val="0"/>
          <w:bCs w:val="0"/>
          <w:i w:val="0"/>
          <w:iCs w:val="0"/>
          <w:color w:val="auto"/>
          <w:sz w:val="24"/>
          <w:szCs w:val="24"/>
          <w:highlight w:val="none"/>
          <w:vertAlign w:val="superscript"/>
          <w:lang w:val="en-US" w:eastAsia="zh-CN"/>
        </w:rPr>
        <w:t>#</w:t>
      </w:r>
      <w:r>
        <w:rPr>
          <w:rFonts w:hint="eastAsia" w:ascii="Times New Roman" w:hAnsi="Times New Roman" w:cs="Times New Roman"/>
          <w:b w:val="0"/>
          <w:bCs w:val="0"/>
          <w:i w:val="0"/>
          <w:iCs w:val="0"/>
          <w:color w:val="auto"/>
          <w:sz w:val="24"/>
          <w:szCs w:val="24"/>
          <w:highlight w:val="none"/>
          <w:lang w:val="en-US" w:eastAsia="zh-CN"/>
        </w:rPr>
        <w:t>点位监测因子：</w:t>
      </w:r>
      <w:r>
        <w:rPr>
          <w:rFonts w:hint="default" w:ascii="Times New Roman" w:hAnsi="Times New Roman" w:cs="Times New Roman"/>
          <w:b w:val="0"/>
          <w:bCs w:val="0"/>
          <w:i w:val="0"/>
          <w:iCs w:val="0"/>
          <w:color w:val="auto"/>
          <w:sz w:val="24"/>
          <w:szCs w:val="24"/>
          <w:highlight w:val="none"/>
          <w:lang w:val="en-US" w:eastAsia="zh-CN"/>
        </w:rPr>
        <w:t>pH、总硬度、溶解性总固体、硫酸盐、氯化物、铁、锰、铜、锌、挥发性酚类、硝酸盐、亚硝酸盐、氨氮、总大肠菌群、细菌总数、K</w:t>
      </w:r>
      <w:r>
        <w:rPr>
          <w:rFonts w:hint="default" w:ascii="Times New Roman" w:hAnsi="Times New Roman" w:cs="Times New Roman"/>
          <w:b w:val="0"/>
          <w:bCs w:val="0"/>
          <w:i w:val="0"/>
          <w:iCs w:val="0"/>
          <w:color w:val="auto"/>
          <w:sz w:val="24"/>
          <w:szCs w:val="24"/>
          <w:highlight w:val="none"/>
          <w:vertAlign w:val="superscript"/>
          <w:lang w:val="en-US" w:eastAsia="zh-CN"/>
        </w:rPr>
        <w:t>+</w:t>
      </w:r>
      <w:r>
        <w:rPr>
          <w:rFonts w:hint="default" w:ascii="Times New Roman" w:hAnsi="Times New Roman" w:cs="Times New Roman"/>
          <w:b w:val="0"/>
          <w:bCs w:val="0"/>
          <w:i w:val="0"/>
          <w:iCs w:val="0"/>
          <w:color w:val="auto"/>
          <w:sz w:val="24"/>
          <w:szCs w:val="24"/>
          <w:highlight w:val="none"/>
          <w:lang w:val="en-US" w:eastAsia="zh-CN"/>
        </w:rPr>
        <w:t>、Na</w:t>
      </w:r>
      <w:r>
        <w:rPr>
          <w:rFonts w:hint="default" w:ascii="Times New Roman" w:hAnsi="Times New Roman" w:cs="Times New Roman"/>
          <w:b w:val="0"/>
          <w:bCs w:val="0"/>
          <w:i w:val="0"/>
          <w:iCs w:val="0"/>
          <w:color w:val="auto"/>
          <w:sz w:val="24"/>
          <w:szCs w:val="24"/>
          <w:highlight w:val="none"/>
          <w:vertAlign w:val="superscript"/>
          <w:lang w:val="en-US" w:eastAsia="zh-CN"/>
        </w:rPr>
        <w:t>+</w:t>
      </w:r>
      <w:r>
        <w:rPr>
          <w:rFonts w:hint="default" w:ascii="Times New Roman" w:hAnsi="Times New Roman" w:cs="Times New Roman"/>
          <w:b w:val="0"/>
          <w:bCs w:val="0"/>
          <w:i w:val="0"/>
          <w:iCs w:val="0"/>
          <w:color w:val="auto"/>
          <w:sz w:val="24"/>
          <w:szCs w:val="24"/>
          <w:highlight w:val="none"/>
          <w:lang w:val="en-US" w:eastAsia="zh-CN"/>
        </w:rPr>
        <w:t>、Ca</w:t>
      </w:r>
      <w:r>
        <w:rPr>
          <w:rFonts w:hint="default" w:ascii="Times New Roman" w:hAnsi="Times New Roman" w:cs="Times New Roman"/>
          <w:b w:val="0"/>
          <w:bCs w:val="0"/>
          <w:i w:val="0"/>
          <w:iCs w:val="0"/>
          <w:color w:val="auto"/>
          <w:sz w:val="24"/>
          <w:szCs w:val="24"/>
          <w:highlight w:val="none"/>
          <w:vertAlign w:val="superscript"/>
          <w:lang w:val="en-US" w:eastAsia="zh-CN"/>
        </w:rPr>
        <w:t>2+</w:t>
      </w:r>
      <w:r>
        <w:rPr>
          <w:rFonts w:hint="default" w:ascii="Times New Roman" w:hAnsi="Times New Roman" w:cs="Times New Roman"/>
          <w:b w:val="0"/>
          <w:bCs w:val="0"/>
          <w:i w:val="0"/>
          <w:iCs w:val="0"/>
          <w:color w:val="auto"/>
          <w:sz w:val="24"/>
          <w:szCs w:val="24"/>
          <w:highlight w:val="none"/>
          <w:lang w:val="en-US" w:eastAsia="zh-CN"/>
        </w:rPr>
        <w:t>、Mg</w:t>
      </w:r>
      <w:r>
        <w:rPr>
          <w:rFonts w:hint="default" w:ascii="Times New Roman" w:hAnsi="Times New Roman" w:cs="Times New Roman"/>
          <w:b w:val="0"/>
          <w:bCs w:val="0"/>
          <w:i w:val="0"/>
          <w:iCs w:val="0"/>
          <w:color w:val="auto"/>
          <w:sz w:val="24"/>
          <w:szCs w:val="24"/>
          <w:highlight w:val="none"/>
          <w:vertAlign w:val="superscript"/>
          <w:lang w:val="en-US" w:eastAsia="zh-CN"/>
        </w:rPr>
        <w:t>2+</w:t>
      </w:r>
      <w:r>
        <w:rPr>
          <w:rFonts w:hint="default" w:ascii="Times New Roman" w:hAnsi="Times New Roman" w:cs="Times New Roman"/>
          <w:b w:val="0"/>
          <w:bCs w:val="0"/>
          <w:i w:val="0"/>
          <w:iCs w:val="0"/>
          <w:color w:val="auto"/>
          <w:sz w:val="24"/>
          <w:szCs w:val="24"/>
          <w:highlight w:val="none"/>
          <w:lang w:val="en-US" w:eastAsia="zh-CN"/>
        </w:rPr>
        <w:t>、HCO</w:t>
      </w:r>
      <w:r>
        <w:rPr>
          <w:rFonts w:hint="default" w:ascii="Times New Roman" w:hAnsi="Times New Roman" w:cs="Times New Roman"/>
          <w:b w:val="0"/>
          <w:bCs w:val="0"/>
          <w:i w:val="0"/>
          <w:iCs w:val="0"/>
          <w:color w:val="auto"/>
          <w:sz w:val="24"/>
          <w:szCs w:val="24"/>
          <w:highlight w:val="none"/>
          <w:vertAlign w:val="subscript"/>
          <w:lang w:val="en-US" w:eastAsia="zh-CN"/>
        </w:rPr>
        <w:t>3</w:t>
      </w:r>
      <w:r>
        <w:rPr>
          <w:rFonts w:hint="default" w:ascii="Times New Roman" w:hAnsi="Times New Roman" w:cs="Times New Roman"/>
          <w:b w:val="0"/>
          <w:bCs w:val="0"/>
          <w:i w:val="0"/>
          <w:iCs w:val="0"/>
          <w:color w:val="auto"/>
          <w:sz w:val="24"/>
          <w:szCs w:val="24"/>
          <w:highlight w:val="none"/>
          <w:vertAlign w:val="superscript"/>
          <w:lang w:val="en-US" w:eastAsia="zh-CN"/>
        </w:rPr>
        <w:t>-</w:t>
      </w:r>
      <w:r>
        <w:rPr>
          <w:rFonts w:hint="default" w:ascii="Times New Roman" w:hAnsi="Times New Roman" w:cs="Times New Roman"/>
          <w:b w:val="0"/>
          <w:bCs w:val="0"/>
          <w:i w:val="0"/>
          <w:iCs w:val="0"/>
          <w:color w:val="auto"/>
          <w:sz w:val="24"/>
          <w:szCs w:val="24"/>
          <w:highlight w:val="none"/>
          <w:lang w:val="en-US" w:eastAsia="zh-CN"/>
        </w:rPr>
        <w:t>、CO</w:t>
      </w:r>
      <w:r>
        <w:rPr>
          <w:rFonts w:hint="default" w:ascii="Times New Roman" w:hAnsi="Times New Roman" w:cs="Times New Roman"/>
          <w:b w:val="0"/>
          <w:bCs w:val="0"/>
          <w:i w:val="0"/>
          <w:iCs w:val="0"/>
          <w:color w:val="auto"/>
          <w:sz w:val="24"/>
          <w:szCs w:val="24"/>
          <w:highlight w:val="none"/>
          <w:vertAlign w:val="subscript"/>
          <w:lang w:val="en-US" w:eastAsia="zh-CN"/>
        </w:rPr>
        <w:t>3</w:t>
      </w:r>
      <w:r>
        <w:rPr>
          <w:rFonts w:hint="default" w:ascii="Times New Roman" w:hAnsi="Times New Roman" w:cs="Times New Roman"/>
          <w:b w:val="0"/>
          <w:bCs w:val="0"/>
          <w:i w:val="0"/>
          <w:iCs w:val="0"/>
          <w:color w:val="auto"/>
          <w:sz w:val="24"/>
          <w:szCs w:val="24"/>
          <w:highlight w:val="none"/>
          <w:vertAlign w:val="superscript"/>
          <w:lang w:val="en-US" w:eastAsia="zh-CN"/>
        </w:rPr>
        <w:t>2-</w:t>
      </w:r>
      <w:r>
        <w:rPr>
          <w:rFonts w:hint="default" w:ascii="Times New Roman" w:hAnsi="Times New Roman" w:cs="Times New Roman"/>
          <w:b w:val="0"/>
          <w:bCs w:val="0"/>
          <w:i w:val="0"/>
          <w:iCs w:val="0"/>
          <w:color w:val="auto"/>
          <w:sz w:val="24"/>
          <w:szCs w:val="24"/>
          <w:highlight w:val="none"/>
          <w:lang w:val="en-US" w:eastAsia="zh-CN"/>
        </w:rPr>
        <w:t>、氰化物、砷、汞、铬（六价）、铅、氟化物，共2</w:t>
      </w:r>
      <w:r>
        <w:rPr>
          <w:rFonts w:hint="eastAsia" w:ascii="Times New Roman" w:hAnsi="Times New Roman" w:cs="Times New Roman"/>
          <w:b w:val="0"/>
          <w:bCs w:val="0"/>
          <w:i w:val="0"/>
          <w:iCs w:val="0"/>
          <w:color w:val="auto"/>
          <w:sz w:val="24"/>
          <w:szCs w:val="24"/>
          <w:highlight w:val="none"/>
          <w:lang w:val="en-US" w:eastAsia="zh-CN"/>
        </w:rPr>
        <w:t>7</w:t>
      </w:r>
      <w:r>
        <w:rPr>
          <w:rFonts w:hint="default" w:ascii="Times New Roman" w:hAnsi="Times New Roman" w:cs="Times New Roman"/>
          <w:b w:val="0"/>
          <w:bCs w:val="0"/>
          <w:i w:val="0"/>
          <w:iCs w:val="0"/>
          <w:color w:val="auto"/>
          <w:sz w:val="24"/>
          <w:szCs w:val="24"/>
          <w:highlight w:val="none"/>
          <w:lang w:val="en-US" w:eastAsia="zh-CN"/>
        </w:rPr>
        <w:t>项。</w:t>
      </w:r>
    </w:p>
    <w:p w14:paraId="54458B7C">
      <w:pPr>
        <w:adjustRightInd w:val="0"/>
        <w:snapToGrid w:val="0"/>
        <w:spacing w:line="360" w:lineRule="auto"/>
        <w:ind w:firstLine="480" w:firstLineChars="200"/>
        <w:rPr>
          <w:rFonts w:hint="default" w:ascii="Times New Roman" w:hAnsi="Times New Roman" w:cs="Times New Roman"/>
          <w:color w:val="auto"/>
          <w:highlight w:val="none"/>
        </w:rPr>
      </w:pPr>
      <w:r>
        <w:rPr>
          <w:rFonts w:hint="eastAsia"/>
          <w:color w:val="auto"/>
          <w:highlight w:val="none"/>
          <w:lang w:val="en-US" w:eastAsia="zh-CN"/>
        </w:rPr>
        <w:t>②3</w:t>
      </w:r>
      <w:r>
        <w:rPr>
          <w:rFonts w:hint="eastAsia"/>
          <w:color w:val="auto"/>
          <w:highlight w:val="none"/>
          <w:vertAlign w:val="superscript"/>
          <w:lang w:val="en-US" w:eastAsia="zh-CN"/>
        </w:rPr>
        <w:t>#</w:t>
      </w:r>
      <w:r>
        <w:rPr>
          <w:rFonts w:hint="eastAsia"/>
          <w:color w:val="auto"/>
          <w:highlight w:val="none"/>
          <w:lang w:val="en-US" w:eastAsia="zh-CN"/>
        </w:rPr>
        <w:t>点位监测因子：</w:t>
      </w:r>
      <w:r>
        <w:rPr>
          <w:rFonts w:hint="default" w:ascii="Times New Roman" w:hAnsi="Times New Roman" w:cs="Times New Roman"/>
          <w:color w:val="auto"/>
          <w:sz w:val="24"/>
          <w:szCs w:val="24"/>
          <w:highlight w:val="none"/>
          <w:lang w:val="en-US" w:eastAsia="zh-CN"/>
        </w:rPr>
        <w:t>pH、氨氮、硝酸盐、亚硝酸盐、挥发性酚类、氰化物、砷、汞、铬（六价）、总硬度、铅、氟化物、镉、铁、锰、溶解性总固体、耗氧量（COD</w:t>
      </w:r>
      <w:r>
        <w:rPr>
          <w:rFonts w:hint="default" w:ascii="Times New Roman" w:hAnsi="Times New Roman" w:cs="Times New Roman"/>
          <w:color w:val="auto"/>
          <w:sz w:val="24"/>
          <w:szCs w:val="24"/>
          <w:highlight w:val="none"/>
          <w:vertAlign w:val="subscript"/>
          <w:lang w:val="en-US" w:eastAsia="zh-CN"/>
        </w:rPr>
        <w:t>Mn</w:t>
      </w:r>
      <w:r>
        <w:rPr>
          <w:rFonts w:hint="default" w:ascii="Times New Roman" w:hAnsi="Times New Roman" w:cs="Times New Roman"/>
          <w:color w:val="auto"/>
          <w:sz w:val="24"/>
          <w:szCs w:val="24"/>
          <w:highlight w:val="none"/>
          <w:lang w:val="en-US" w:eastAsia="zh-CN"/>
        </w:rPr>
        <w:t>法，以O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计）、硫酸盐、氯化物、总大肠菌群、菌落总数、K</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cs="Times New Roman"/>
          <w:color w:val="auto"/>
          <w:sz w:val="24"/>
          <w:szCs w:val="24"/>
          <w:highlight w:val="none"/>
          <w:lang w:val="en-US" w:eastAsia="zh-CN"/>
        </w:rPr>
        <w:t>、Na</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cs="Times New Roman"/>
          <w:color w:val="auto"/>
          <w:sz w:val="24"/>
          <w:szCs w:val="24"/>
          <w:highlight w:val="none"/>
          <w:lang w:val="en-US" w:eastAsia="zh-CN"/>
        </w:rPr>
        <w:t>、Ca</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、Mg</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cs="Times New Roman"/>
          <w:color w:val="auto"/>
          <w:sz w:val="24"/>
          <w:szCs w:val="24"/>
          <w:highlight w:val="none"/>
          <w:lang w:val="en-US" w:eastAsia="zh-CN"/>
        </w:rPr>
        <w:t>、Cl</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cs="Times New Roman"/>
          <w:color w:val="auto"/>
          <w:sz w:val="24"/>
          <w:szCs w:val="24"/>
          <w:highlight w:val="no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highlight w:val="none"/>
        </w:rPr>
        <w:t>共</w:t>
      </w:r>
      <w:r>
        <w:rPr>
          <w:rFonts w:hint="eastAsia" w:ascii="Times New Roman" w:hAnsi="Times New Roman" w:cs="Times New Roman"/>
          <w:color w:val="auto"/>
          <w:highlight w:val="none"/>
          <w:lang w:val="en-US" w:eastAsia="zh-CN"/>
        </w:rPr>
        <w:t>29</w:t>
      </w:r>
      <w:r>
        <w:rPr>
          <w:rFonts w:hint="default" w:ascii="Times New Roman" w:hAnsi="Times New Roman" w:cs="Times New Roman"/>
          <w:color w:val="auto"/>
          <w:highlight w:val="none"/>
        </w:rPr>
        <w:t>项。</w:t>
      </w:r>
    </w:p>
    <w:p w14:paraId="6E8B5DB0">
      <w:pPr>
        <w:pStyle w:val="2"/>
        <w:numPr>
          <w:ilvl w:val="0"/>
          <w:numId w:val="6"/>
        </w:numPr>
        <w:ind w:left="0" w:leftChars="0" w:firstLine="480" w:firstLineChars="200"/>
        <w:jc w:val="both"/>
        <w:outlineLvl w:val="9"/>
        <w:rPr>
          <w:rFonts w:hint="default" w:ascii="Times New Roman" w:hAnsi="Times New Roman" w:eastAsia="宋体" w:cs="Times New Roman"/>
          <w:b w:val="0"/>
          <w:bCs w:val="0"/>
          <w:color w:val="auto"/>
          <w:sz w:val="24"/>
          <w:szCs w:val="24"/>
          <w:highlight w:val="none"/>
          <w:lang w:val="en-US" w:eastAsia="zh-CN"/>
        </w:rPr>
        <w:sectPr>
          <w:headerReference r:id="rId15" w:type="default"/>
          <w:pgSz w:w="11910" w:h="16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r>
        <w:rPr>
          <w:rFonts w:hint="default" w:ascii="Times New Roman" w:hAnsi="Times New Roman" w:eastAsia="宋体" w:cs="Times New Roman"/>
          <w:b w:val="0"/>
          <w:bCs w:val="0"/>
          <w:color w:val="auto"/>
          <w:sz w:val="24"/>
          <w:szCs w:val="24"/>
          <w:highlight w:val="none"/>
          <w:lang w:val="en-US" w:eastAsia="zh-CN"/>
        </w:rPr>
        <w:t>检测方法及主要仪器设备</w:t>
      </w:r>
    </w:p>
    <w:p w14:paraId="1BC593D5">
      <w:pPr>
        <w:spacing w:line="480" w:lineRule="exact"/>
        <w:jc w:val="center"/>
        <w:outlineLvl w:val="9"/>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4"/>
          <w:szCs w:val="24"/>
          <w:highlight w:val="none"/>
          <w:lang w:val="en-US" w:eastAsia="zh-CN"/>
        </w:rPr>
        <w:t>表5.3-2检测方法及主要仪器设备一览表</w:t>
      </w:r>
    </w:p>
    <w:tbl>
      <w:tblPr>
        <w:tblStyle w:val="31"/>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64"/>
        <w:gridCol w:w="1839"/>
        <w:gridCol w:w="3259"/>
        <w:gridCol w:w="1970"/>
        <w:gridCol w:w="2610"/>
        <w:gridCol w:w="3223"/>
      </w:tblGrid>
      <w:tr w14:paraId="08EE49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blHeader/>
        </w:trPr>
        <w:tc>
          <w:tcPr>
            <w:tcW w:w="446" w:type="pct"/>
            <w:tcBorders>
              <w:tl2br w:val="nil"/>
              <w:tr2bl w:val="nil"/>
            </w:tcBorders>
            <w:noWrap w:val="0"/>
            <w:vAlign w:val="center"/>
          </w:tcPr>
          <w:p w14:paraId="00A28EBF">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61" w:name="_Toc20219"/>
            <w:bookmarkStart w:id="4062" w:name="_Toc23856"/>
            <w:r>
              <w:rPr>
                <w:rFonts w:hint="default" w:ascii="Times New Roman" w:hAnsi="Times New Roman" w:eastAsia="宋体" w:cs="Times New Roman"/>
                <w:b/>
                <w:bCs/>
                <w:color w:val="auto"/>
                <w:sz w:val="21"/>
                <w:szCs w:val="21"/>
                <w:highlight w:val="none"/>
              </w:rPr>
              <w:t>检测 类别</w:t>
            </w:r>
            <w:bookmarkEnd w:id="4061"/>
            <w:bookmarkEnd w:id="4062"/>
          </w:p>
        </w:tc>
        <w:tc>
          <w:tcPr>
            <w:tcW w:w="649" w:type="pct"/>
            <w:tcBorders>
              <w:tl2br w:val="nil"/>
              <w:tr2bl w:val="nil"/>
            </w:tcBorders>
            <w:noWrap w:val="0"/>
            <w:vAlign w:val="center"/>
          </w:tcPr>
          <w:p w14:paraId="72DAC0F2">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63" w:name="_Toc12696"/>
            <w:bookmarkStart w:id="4064" w:name="_Toc16433"/>
            <w:r>
              <w:rPr>
                <w:rFonts w:hint="default" w:ascii="Times New Roman" w:hAnsi="Times New Roman" w:eastAsia="宋体" w:cs="Times New Roman"/>
                <w:b/>
                <w:bCs/>
                <w:color w:val="auto"/>
                <w:sz w:val="21"/>
                <w:szCs w:val="21"/>
                <w:highlight w:val="none"/>
              </w:rPr>
              <w:t>检测</w:t>
            </w:r>
            <w:bookmarkEnd w:id="4063"/>
            <w:bookmarkEnd w:id="4064"/>
          </w:p>
          <w:p w14:paraId="5B747313">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65" w:name="_Toc16238"/>
            <w:bookmarkStart w:id="4066" w:name="_Toc7375"/>
            <w:r>
              <w:rPr>
                <w:rFonts w:hint="default" w:ascii="Times New Roman" w:hAnsi="Times New Roman" w:eastAsia="宋体" w:cs="Times New Roman"/>
                <w:b/>
                <w:bCs/>
                <w:color w:val="auto"/>
                <w:sz w:val="21"/>
                <w:szCs w:val="21"/>
                <w:highlight w:val="none"/>
              </w:rPr>
              <w:t>项目</w:t>
            </w:r>
            <w:bookmarkEnd w:id="4065"/>
            <w:bookmarkEnd w:id="4066"/>
          </w:p>
        </w:tc>
        <w:tc>
          <w:tcPr>
            <w:tcW w:w="1150" w:type="pct"/>
            <w:tcBorders>
              <w:tl2br w:val="nil"/>
              <w:tr2bl w:val="nil"/>
            </w:tcBorders>
            <w:noWrap w:val="0"/>
            <w:vAlign w:val="center"/>
          </w:tcPr>
          <w:p w14:paraId="5A0AF7FA">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67" w:name="_Toc4645"/>
            <w:bookmarkStart w:id="4068" w:name="_Toc4977"/>
            <w:r>
              <w:rPr>
                <w:rFonts w:hint="default" w:ascii="Times New Roman" w:hAnsi="Times New Roman" w:eastAsia="宋体" w:cs="Times New Roman"/>
                <w:b/>
                <w:bCs/>
                <w:color w:val="auto"/>
                <w:sz w:val="21"/>
                <w:szCs w:val="21"/>
                <w:highlight w:val="none"/>
              </w:rPr>
              <w:t>分析方法名称及依据</w:t>
            </w:r>
            <w:bookmarkEnd w:id="4067"/>
            <w:bookmarkEnd w:id="4068"/>
          </w:p>
        </w:tc>
        <w:tc>
          <w:tcPr>
            <w:tcW w:w="695" w:type="pct"/>
            <w:tcBorders>
              <w:tl2br w:val="nil"/>
              <w:tr2bl w:val="nil"/>
            </w:tcBorders>
            <w:noWrap w:val="0"/>
            <w:vAlign w:val="center"/>
          </w:tcPr>
          <w:p w14:paraId="4FBA090E">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69" w:name="_Toc29287"/>
            <w:bookmarkStart w:id="4070" w:name="_Toc3366"/>
            <w:r>
              <w:rPr>
                <w:rFonts w:hint="default" w:ascii="Times New Roman" w:hAnsi="Times New Roman" w:eastAsia="宋体" w:cs="Times New Roman"/>
                <w:b/>
                <w:bCs/>
                <w:color w:val="auto"/>
                <w:sz w:val="21"/>
                <w:szCs w:val="21"/>
                <w:highlight w:val="none"/>
              </w:rPr>
              <w:t>方法</w:t>
            </w:r>
            <w:bookmarkEnd w:id="4069"/>
            <w:bookmarkEnd w:id="4070"/>
          </w:p>
          <w:p w14:paraId="689AAB35">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71" w:name="_Toc21861"/>
            <w:bookmarkStart w:id="4072" w:name="_Toc2534"/>
            <w:r>
              <w:rPr>
                <w:rFonts w:hint="default" w:ascii="Times New Roman" w:hAnsi="Times New Roman" w:eastAsia="宋体" w:cs="Times New Roman"/>
                <w:b/>
                <w:bCs/>
                <w:color w:val="auto"/>
                <w:sz w:val="21"/>
                <w:szCs w:val="21"/>
                <w:highlight w:val="none"/>
              </w:rPr>
              <w:t>检出限</w:t>
            </w:r>
            <w:bookmarkEnd w:id="4071"/>
            <w:bookmarkEnd w:id="4072"/>
          </w:p>
        </w:tc>
        <w:tc>
          <w:tcPr>
            <w:tcW w:w="921" w:type="pct"/>
            <w:tcBorders>
              <w:tl2br w:val="nil"/>
              <w:tr2bl w:val="nil"/>
            </w:tcBorders>
            <w:noWrap w:val="0"/>
            <w:vAlign w:val="center"/>
          </w:tcPr>
          <w:p w14:paraId="3C3EDDE0">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73" w:name="_Toc28534"/>
            <w:bookmarkStart w:id="4074" w:name="_Toc22739"/>
            <w:r>
              <w:rPr>
                <w:rFonts w:hint="default" w:ascii="Times New Roman" w:hAnsi="Times New Roman" w:eastAsia="宋体" w:cs="Times New Roman"/>
                <w:b/>
                <w:bCs/>
                <w:color w:val="auto"/>
                <w:sz w:val="21"/>
                <w:szCs w:val="21"/>
                <w:highlight w:val="none"/>
              </w:rPr>
              <w:t>器名称</w:t>
            </w:r>
            <w:bookmarkEnd w:id="4073"/>
            <w:bookmarkEnd w:id="4074"/>
          </w:p>
          <w:p w14:paraId="766BC500">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75" w:name="_Toc7948"/>
            <w:bookmarkStart w:id="4076" w:name="_Toc25142"/>
            <w:r>
              <w:rPr>
                <w:rFonts w:hint="default" w:ascii="Times New Roman" w:hAnsi="Times New Roman" w:eastAsia="宋体" w:cs="Times New Roman"/>
                <w:b/>
                <w:bCs/>
                <w:color w:val="auto"/>
                <w:sz w:val="21"/>
                <w:szCs w:val="21"/>
                <w:highlight w:val="none"/>
              </w:rPr>
              <w:t>型号及编号</w:t>
            </w:r>
            <w:bookmarkEnd w:id="4075"/>
            <w:bookmarkEnd w:id="4076"/>
          </w:p>
        </w:tc>
        <w:tc>
          <w:tcPr>
            <w:tcW w:w="1137" w:type="pct"/>
            <w:tcBorders>
              <w:tl2br w:val="nil"/>
              <w:tr2bl w:val="nil"/>
            </w:tcBorders>
            <w:noWrap w:val="0"/>
            <w:vAlign w:val="center"/>
          </w:tcPr>
          <w:p w14:paraId="0FF9CAF4">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77" w:name="_Toc21115"/>
            <w:bookmarkStart w:id="4078" w:name="_Toc555"/>
            <w:r>
              <w:rPr>
                <w:rFonts w:hint="default" w:ascii="Times New Roman" w:hAnsi="Times New Roman" w:eastAsia="宋体" w:cs="Times New Roman"/>
                <w:b/>
                <w:bCs/>
                <w:color w:val="auto"/>
                <w:sz w:val="21"/>
                <w:szCs w:val="21"/>
                <w:highlight w:val="none"/>
              </w:rPr>
              <w:t>仪器检定校准</w:t>
            </w:r>
            <w:bookmarkEnd w:id="4077"/>
            <w:bookmarkEnd w:id="4078"/>
          </w:p>
          <w:p w14:paraId="5D9DF330">
            <w:pPr>
              <w:pStyle w:val="29"/>
              <w:suppressLineNumbers w:val="0"/>
              <w:bidi w:val="0"/>
              <w:spacing w:beforeAutospacing="0" w:afterAutospacing="0"/>
              <w:ind w:left="0" w:right="0"/>
              <w:jc w:val="center"/>
              <w:outlineLvl w:val="9"/>
              <w:rPr>
                <w:rFonts w:hint="default" w:ascii="Times New Roman" w:hAnsi="Times New Roman" w:eastAsia="宋体" w:cs="Times New Roman"/>
                <w:b/>
                <w:bCs/>
                <w:color w:val="auto"/>
                <w:sz w:val="21"/>
                <w:szCs w:val="21"/>
                <w:highlight w:val="none"/>
              </w:rPr>
            </w:pPr>
            <w:bookmarkStart w:id="4079" w:name="_Toc2843"/>
            <w:bookmarkStart w:id="4080" w:name="_Toc8472"/>
            <w:r>
              <w:rPr>
                <w:rFonts w:hint="default" w:ascii="Times New Roman" w:hAnsi="Times New Roman" w:eastAsia="宋体" w:cs="Times New Roman"/>
                <w:b/>
                <w:bCs/>
                <w:color w:val="auto"/>
                <w:sz w:val="21"/>
                <w:szCs w:val="21"/>
                <w:highlight w:val="none"/>
              </w:rPr>
              <w:t>有效日期</w:t>
            </w:r>
            <w:bookmarkEnd w:id="4079"/>
            <w:bookmarkEnd w:id="4080"/>
          </w:p>
        </w:tc>
      </w:tr>
      <w:tr w14:paraId="4A8015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restart"/>
            <w:tcBorders>
              <w:tl2br w:val="nil"/>
              <w:tr2bl w:val="nil"/>
            </w:tcBorders>
            <w:noWrap w:val="0"/>
            <w:vAlign w:val="center"/>
          </w:tcPr>
          <w:p w14:paraId="7854574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81" w:name="_Toc405"/>
            <w:bookmarkStart w:id="4082" w:name="_Toc9697"/>
            <w:r>
              <w:rPr>
                <w:rFonts w:hint="default" w:ascii="Times New Roman" w:hAnsi="Times New Roman" w:cs="Times New Roman"/>
                <w:color w:val="auto"/>
                <w:sz w:val="21"/>
                <w:szCs w:val="21"/>
                <w:highlight w:val="none"/>
              </w:rPr>
              <w:t>地</w:t>
            </w:r>
            <w:bookmarkEnd w:id="4081"/>
            <w:bookmarkEnd w:id="4082"/>
          </w:p>
          <w:p w14:paraId="02DB2FC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83" w:name="_Toc12725"/>
            <w:bookmarkStart w:id="4084" w:name="_Toc28747"/>
            <w:r>
              <w:rPr>
                <w:rFonts w:hint="default" w:ascii="Times New Roman" w:hAnsi="Times New Roman" w:cs="Times New Roman"/>
                <w:color w:val="auto"/>
                <w:sz w:val="21"/>
                <w:szCs w:val="21"/>
                <w:highlight w:val="none"/>
              </w:rPr>
              <w:t>下</w:t>
            </w:r>
            <w:bookmarkEnd w:id="4083"/>
            <w:bookmarkEnd w:id="4084"/>
          </w:p>
          <w:p w14:paraId="153C39D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85" w:name="_Toc30575"/>
            <w:bookmarkStart w:id="4086" w:name="_Toc20570"/>
            <w:r>
              <w:rPr>
                <w:rFonts w:hint="default" w:ascii="Times New Roman" w:hAnsi="Times New Roman" w:cs="Times New Roman"/>
                <w:color w:val="auto"/>
                <w:sz w:val="21"/>
                <w:szCs w:val="21"/>
                <w:highlight w:val="none"/>
              </w:rPr>
              <w:t>水</w:t>
            </w:r>
            <w:bookmarkEnd w:id="4085"/>
            <w:bookmarkEnd w:id="4086"/>
          </w:p>
        </w:tc>
        <w:tc>
          <w:tcPr>
            <w:tcW w:w="649" w:type="pct"/>
            <w:tcBorders>
              <w:tl2br w:val="nil"/>
              <w:tr2bl w:val="nil"/>
            </w:tcBorders>
            <w:noWrap w:val="0"/>
            <w:vAlign w:val="center"/>
          </w:tcPr>
          <w:p w14:paraId="7002FF1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87" w:name="_Toc7372"/>
            <w:bookmarkStart w:id="4088" w:name="_Toc27215"/>
            <w:r>
              <w:rPr>
                <w:rFonts w:hint="default" w:ascii="Times New Roman" w:hAnsi="Times New Roman" w:cs="Times New Roman"/>
                <w:color w:val="auto"/>
                <w:sz w:val="21"/>
                <w:szCs w:val="21"/>
                <w:highlight w:val="none"/>
              </w:rPr>
              <w:t>pH值</w:t>
            </w:r>
            <w:bookmarkEnd w:id="4087"/>
            <w:bookmarkEnd w:id="4088"/>
          </w:p>
        </w:tc>
        <w:tc>
          <w:tcPr>
            <w:tcW w:w="1150" w:type="pct"/>
            <w:tcBorders>
              <w:tl2br w:val="nil"/>
              <w:tr2bl w:val="nil"/>
            </w:tcBorders>
            <w:noWrap w:val="0"/>
            <w:vAlign w:val="center"/>
          </w:tcPr>
          <w:p w14:paraId="4C0CF47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89" w:name="_Toc24904"/>
            <w:bookmarkStart w:id="4090" w:name="_Toc29173"/>
            <w:r>
              <w:rPr>
                <w:rFonts w:hint="default" w:ascii="Times New Roman" w:hAnsi="Times New Roman" w:cs="Times New Roman"/>
                <w:color w:val="auto"/>
                <w:sz w:val="21"/>
                <w:szCs w:val="21"/>
                <w:highlight w:val="none"/>
              </w:rPr>
              <w:t>《水质pH值的测定电极法》HJ1147-2020</w:t>
            </w:r>
            <w:bookmarkEnd w:id="4089"/>
            <w:bookmarkEnd w:id="4090"/>
          </w:p>
        </w:tc>
        <w:tc>
          <w:tcPr>
            <w:tcW w:w="695" w:type="pct"/>
            <w:tcBorders>
              <w:tl2br w:val="nil"/>
              <w:tr2bl w:val="nil"/>
            </w:tcBorders>
            <w:noWrap w:val="0"/>
            <w:vAlign w:val="center"/>
          </w:tcPr>
          <w:p w14:paraId="2F6C542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91" w:name="_Toc29926"/>
            <w:bookmarkStart w:id="4092" w:name="_Toc28215"/>
            <w:r>
              <w:rPr>
                <w:rFonts w:hint="default" w:ascii="Times New Roman" w:hAnsi="Times New Roman" w:cs="Times New Roman"/>
                <w:color w:val="auto"/>
                <w:sz w:val="21"/>
                <w:szCs w:val="21"/>
                <w:highlight w:val="none"/>
              </w:rPr>
              <w:t>/</w:t>
            </w:r>
            <w:bookmarkEnd w:id="4091"/>
            <w:bookmarkEnd w:id="4092"/>
          </w:p>
        </w:tc>
        <w:tc>
          <w:tcPr>
            <w:tcW w:w="921" w:type="pct"/>
            <w:tcBorders>
              <w:tl2br w:val="nil"/>
              <w:tr2bl w:val="nil"/>
            </w:tcBorders>
            <w:noWrap w:val="0"/>
            <w:vAlign w:val="center"/>
          </w:tcPr>
          <w:p w14:paraId="764F79B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PHS-3C型PH计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ZRLHB-008</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3285747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4.14</w:t>
            </w:r>
          </w:p>
        </w:tc>
      </w:tr>
      <w:tr w14:paraId="4D38B4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21EADD6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28792FD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93" w:name="_Toc29677"/>
            <w:bookmarkStart w:id="4094" w:name="_Toc2524"/>
            <w:r>
              <w:rPr>
                <w:rFonts w:hint="default" w:ascii="Times New Roman" w:hAnsi="Times New Roman" w:cs="Times New Roman"/>
                <w:color w:val="auto"/>
                <w:sz w:val="21"/>
                <w:szCs w:val="21"/>
                <w:highlight w:val="none"/>
              </w:rPr>
              <w:t>总硬度</w:t>
            </w:r>
            <w:bookmarkEnd w:id="4093"/>
            <w:bookmarkEnd w:id="4094"/>
          </w:p>
        </w:tc>
        <w:tc>
          <w:tcPr>
            <w:tcW w:w="1150" w:type="pct"/>
            <w:tcBorders>
              <w:tl2br w:val="nil"/>
              <w:tr2bl w:val="nil"/>
            </w:tcBorders>
            <w:noWrap w:val="0"/>
            <w:vAlign w:val="center"/>
          </w:tcPr>
          <w:p w14:paraId="2961886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95" w:name="_Toc25497"/>
            <w:bookmarkStart w:id="4096" w:name="_Toc23223"/>
            <w:r>
              <w:rPr>
                <w:rFonts w:hint="default" w:ascii="Times New Roman" w:hAnsi="Times New Roman" w:cs="Times New Roman"/>
                <w:color w:val="auto"/>
                <w:sz w:val="21"/>
                <w:szCs w:val="21"/>
                <w:highlight w:val="none"/>
              </w:rPr>
              <w:t xml:space="preserve">《水质 钙和镁总量的测定EDTA </w:t>
            </w:r>
            <w:r>
              <w:rPr>
                <w:rFonts w:hint="eastAsia" w:cs="Times New Roman"/>
                <w:color w:val="auto"/>
                <w:sz w:val="21"/>
                <w:szCs w:val="21"/>
                <w:highlight w:val="none"/>
                <w:lang w:eastAsia="zh-CN"/>
              </w:rPr>
              <w:t>滴</w:t>
            </w:r>
            <w:r>
              <w:rPr>
                <w:rFonts w:hint="default" w:ascii="Times New Roman" w:hAnsi="Times New Roman" w:cs="Times New Roman"/>
                <w:color w:val="auto"/>
                <w:sz w:val="21"/>
                <w:szCs w:val="21"/>
                <w:highlight w:val="none"/>
              </w:rPr>
              <w:t>定法》</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GB7477-1987）</w:t>
            </w:r>
            <w:bookmarkEnd w:id="4095"/>
            <w:bookmarkEnd w:id="4096"/>
          </w:p>
        </w:tc>
        <w:tc>
          <w:tcPr>
            <w:tcW w:w="695" w:type="pct"/>
            <w:tcBorders>
              <w:tl2br w:val="nil"/>
              <w:tr2bl w:val="nil"/>
            </w:tcBorders>
            <w:noWrap w:val="0"/>
            <w:vAlign w:val="center"/>
          </w:tcPr>
          <w:p w14:paraId="22E7426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97" w:name="_Toc25999"/>
            <w:bookmarkStart w:id="4098" w:name="_Toc2305"/>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mg/L</w:t>
            </w:r>
            <w:bookmarkEnd w:id="4097"/>
            <w:bookmarkEnd w:id="4098"/>
          </w:p>
        </w:tc>
        <w:tc>
          <w:tcPr>
            <w:tcW w:w="921" w:type="pct"/>
            <w:tcBorders>
              <w:tl2br w:val="nil"/>
              <w:tr2bl w:val="nil"/>
            </w:tcBorders>
            <w:noWrap w:val="0"/>
            <w:vAlign w:val="center"/>
          </w:tcPr>
          <w:p w14:paraId="131DBD1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50mL 酸式滴定管</w:t>
            </w:r>
          </w:p>
        </w:tc>
        <w:tc>
          <w:tcPr>
            <w:tcW w:w="1137" w:type="pct"/>
            <w:tcBorders>
              <w:tl2br w:val="nil"/>
              <w:tr2bl w:val="nil"/>
            </w:tcBorders>
            <w:noWrap w:val="0"/>
            <w:vAlign w:val="center"/>
          </w:tcPr>
          <w:p w14:paraId="2D14CAB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eastAsia"/>
                <w:color w:val="auto"/>
                <w:highlight w:val="none"/>
              </w:rPr>
              <w:t>2028.5.31</w:t>
            </w:r>
          </w:p>
        </w:tc>
      </w:tr>
      <w:tr w14:paraId="7245E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2A09D3D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6A55FCD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099" w:name="_Toc27726"/>
            <w:bookmarkStart w:id="4100" w:name="_Toc17931"/>
            <w:r>
              <w:rPr>
                <w:rFonts w:hint="default" w:ascii="Times New Roman" w:hAnsi="Times New Roman" w:cs="Times New Roman"/>
                <w:color w:val="auto"/>
                <w:sz w:val="21"/>
                <w:szCs w:val="21"/>
                <w:highlight w:val="none"/>
              </w:rPr>
              <w:t>溶解性总固体</w:t>
            </w:r>
            <w:bookmarkEnd w:id="4099"/>
            <w:bookmarkEnd w:id="4100"/>
          </w:p>
        </w:tc>
        <w:tc>
          <w:tcPr>
            <w:tcW w:w="1150" w:type="pct"/>
            <w:tcBorders>
              <w:tl2br w:val="nil"/>
              <w:tr2bl w:val="nil"/>
            </w:tcBorders>
            <w:noWrap w:val="0"/>
            <w:vAlign w:val="center"/>
          </w:tcPr>
          <w:p w14:paraId="60178DE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《地下水质分析方法第9部分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溶解性总固体总量的测定重量法》DZT 0064.9-2021</w:t>
            </w:r>
          </w:p>
        </w:tc>
        <w:tc>
          <w:tcPr>
            <w:tcW w:w="695" w:type="pct"/>
            <w:tcBorders>
              <w:tl2br w:val="nil"/>
              <w:tr2bl w:val="nil"/>
            </w:tcBorders>
            <w:noWrap w:val="0"/>
            <w:vAlign w:val="center"/>
          </w:tcPr>
          <w:p w14:paraId="4CDE526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01" w:name="_Toc22681"/>
            <w:bookmarkStart w:id="4102" w:name="_Toc28373"/>
            <w:r>
              <w:rPr>
                <w:rFonts w:hint="default" w:ascii="Times New Roman" w:hAnsi="Times New Roman" w:cs="Times New Roman"/>
                <w:color w:val="auto"/>
                <w:sz w:val="21"/>
                <w:szCs w:val="21"/>
                <w:highlight w:val="none"/>
              </w:rPr>
              <w:t>/</w:t>
            </w:r>
            <w:bookmarkEnd w:id="4101"/>
            <w:bookmarkEnd w:id="4102"/>
          </w:p>
        </w:tc>
        <w:tc>
          <w:tcPr>
            <w:tcW w:w="921" w:type="pct"/>
            <w:tcBorders>
              <w:tl2br w:val="nil"/>
              <w:tr2bl w:val="nil"/>
            </w:tcBorders>
            <w:noWrap w:val="0"/>
            <w:vAlign w:val="center"/>
          </w:tcPr>
          <w:p w14:paraId="2E6ED12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FA1204B 型电子天平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ZRLHB-010</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5ECD541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124A1C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09507C6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1105963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03" w:name="_Toc1107"/>
            <w:bookmarkStart w:id="4104" w:name="_Toc32529"/>
            <w:r>
              <w:rPr>
                <w:rFonts w:hint="default" w:ascii="Times New Roman" w:hAnsi="Times New Roman" w:cs="Times New Roman"/>
                <w:color w:val="auto"/>
                <w:sz w:val="21"/>
                <w:szCs w:val="21"/>
                <w:highlight w:val="none"/>
              </w:rPr>
              <w:t>硫酸盐</w:t>
            </w:r>
            <w:bookmarkEnd w:id="4103"/>
            <w:bookmarkEnd w:id="4104"/>
          </w:p>
        </w:tc>
        <w:tc>
          <w:tcPr>
            <w:tcW w:w="1150" w:type="pct"/>
            <w:tcBorders>
              <w:tl2br w:val="nil"/>
              <w:tr2bl w:val="nil"/>
            </w:tcBorders>
            <w:noWrap w:val="0"/>
            <w:vAlign w:val="center"/>
          </w:tcPr>
          <w:p w14:paraId="440E62E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 硫酸盐的测定 铬酸钡分光光度法</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试行</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HJ/</w:t>
            </w:r>
            <w:r>
              <w:rPr>
                <w:rFonts w:hint="default" w:ascii="Times New Roman" w:hAnsi="Times New Roman" w:cs="Times New Roman"/>
                <w:color w:val="auto"/>
                <w:sz w:val="21"/>
                <w:szCs w:val="21"/>
                <w:highlight w:val="none"/>
              </w:rPr>
              <w:t>T 342-2007</w:t>
            </w:r>
          </w:p>
        </w:tc>
        <w:tc>
          <w:tcPr>
            <w:tcW w:w="695" w:type="pct"/>
            <w:tcBorders>
              <w:tl2br w:val="nil"/>
              <w:tr2bl w:val="nil"/>
            </w:tcBorders>
            <w:noWrap w:val="0"/>
            <w:vAlign w:val="center"/>
          </w:tcPr>
          <w:p w14:paraId="46E5B09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05" w:name="_Toc4295"/>
            <w:bookmarkStart w:id="4106" w:name="_Toc9645"/>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mg/L</w:t>
            </w:r>
            <w:bookmarkEnd w:id="4105"/>
            <w:bookmarkEnd w:id="4106"/>
          </w:p>
        </w:tc>
        <w:tc>
          <w:tcPr>
            <w:tcW w:w="921" w:type="pct"/>
            <w:tcBorders>
              <w:tl2br w:val="nil"/>
              <w:tr2bl w:val="nil"/>
            </w:tcBorders>
            <w:noWrap w:val="0"/>
            <w:vAlign w:val="center"/>
          </w:tcPr>
          <w:p w14:paraId="68C3D39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07" w:name="_Toc11361"/>
            <w:bookmarkStart w:id="4108" w:name="_Toc1236"/>
            <w:r>
              <w:rPr>
                <w:rFonts w:hint="default" w:ascii="Times New Roman" w:hAnsi="Times New Roman" w:cs="Times New Roman"/>
                <w:color w:val="auto"/>
                <w:sz w:val="21"/>
                <w:szCs w:val="21"/>
                <w:highlight w:val="none"/>
              </w:rPr>
              <w:t>可</w:t>
            </w:r>
            <w:bookmarkEnd w:id="4107"/>
            <w:bookmarkEnd w:id="4108"/>
            <w:r>
              <w:rPr>
                <w:rFonts w:hint="default" w:ascii="Times New Roman" w:hAnsi="Times New Roman" w:cs="Times New Roman"/>
                <w:color w:val="auto"/>
                <w:sz w:val="21"/>
                <w:szCs w:val="21"/>
                <w:highlight w:val="none"/>
              </w:rPr>
              <w:t>TU-1900 型双光束紫外可见分光光度计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ZRLHB-002</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645F076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1255E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3B88B0C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6429D59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09" w:name="_Toc12613"/>
            <w:bookmarkStart w:id="4110" w:name="_Toc16799"/>
            <w:r>
              <w:rPr>
                <w:rFonts w:hint="default" w:ascii="Times New Roman" w:hAnsi="Times New Roman" w:cs="Times New Roman"/>
                <w:color w:val="auto"/>
                <w:sz w:val="21"/>
                <w:szCs w:val="21"/>
                <w:highlight w:val="none"/>
              </w:rPr>
              <w:t>氯化物</w:t>
            </w:r>
            <w:bookmarkEnd w:id="4109"/>
            <w:bookmarkEnd w:id="4110"/>
          </w:p>
        </w:tc>
        <w:tc>
          <w:tcPr>
            <w:tcW w:w="1150" w:type="pct"/>
            <w:tcBorders>
              <w:tl2br w:val="nil"/>
              <w:tr2bl w:val="nil"/>
            </w:tcBorders>
            <w:noWrap w:val="0"/>
            <w:vAlign w:val="center"/>
          </w:tcPr>
          <w:p w14:paraId="39284CA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11" w:name="_Toc23091"/>
            <w:bookmarkStart w:id="4112" w:name="_Toc30527"/>
            <w:r>
              <w:rPr>
                <w:rFonts w:hint="default" w:ascii="Times New Roman" w:hAnsi="Times New Roman" w:cs="Times New Roman"/>
                <w:color w:val="auto"/>
                <w:sz w:val="21"/>
                <w:szCs w:val="21"/>
                <w:highlight w:val="none"/>
              </w:rPr>
              <w:t>《水质氯化物的测定硝酸银滴定法》GB11896-89</w:t>
            </w:r>
            <w:bookmarkEnd w:id="4111"/>
            <w:bookmarkEnd w:id="4112"/>
          </w:p>
        </w:tc>
        <w:tc>
          <w:tcPr>
            <w:tcW w:w="695" w:type="pct"/>
            <w:tcBorders>
              <w:tl2br w:val="nil"/>
              <w:tr2bl w:val="nil"/>
            </w:tcBorders>
            <w:noWrap w:val="0"/>
            <w:vAlign w:val="center"/>
          </w:tcPr>
          <w:p w14:paraId="2FE25CD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13" w:name="_Toc21402"/>
            <w:bookmarkStart w:id="4114" w:name="_Toc14186"/>
            <w:r>
              <w:rPr>
                <w:rFonts w:hint="default" w:ascii="Times New Roman" w:hAnsi="Times New Roman" w:cs="Times New Roman"/>
                <w:color w:val="auto"/>
                <w:sz w:val="21"/>
                <w:szCs w:val="21"/>
                <w:highlight w:val="none"/>
              </w:rPr>
              <w:t>10mg/L</w:t>
            </w:r>
            <w:bookmarkEnd w:id="4113"/>
            <w:bookmarkEnd w:id="4114"/>
          </w:p>
        </w:tc>
        <w:tc>
          <w:tcPr>
            <w:tcW w:w="921" w:type="pct"/>
            <w:tcBorders>
              <w:tl2br w:val="nil"/>
              <w:tr2bl w:val="nil"/>
            </w:tcBorders>
            <w:noWrap w:val="0"/>
            <w:vAlign w:val="center"/>
          </w:tcPr>
          <w:p w14:paraId="575677A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15" w:name="_Toc1709"/>
            <w:bookmarkStart w:id="4116" w:name="_Toc25859"/>
            <w:r>
              <w:rPr>
                <w:rFonts w:hint="default" w:ascii="Times New Roman" w:hAnsi="Times New Roman" w:cs="Times New Roman"/>
                <w:color w:val="auto"/>
                <w:sz w:val="21"/>
                <w:szCs w:val="21"/>
                <w:highlight w:val="none"/>
              </w:rPr>
              <w:t>玻璃量器</w:t>
            </w:r>
            <w:bookmarkEnd w:id="4115"/>
            <w:bookmarkEnd w:id="4116"/>
          </w:p>
        </w:tc>
        <w:tc>
          <w:tcPr>
            <w:tcW w:w="1137" w:type="pct"/>
            <w:tcBorders>
              <w:tl2br w:val="nil"/>
              <w:tr2bl w:val="nil"/>
            </w:tcBorders>
            <w:noWrap w:val="0"/>
            <w:vAlign w:val="center"/>
          </w:tcPr>
          <w:p w14:paraId="1E76A9D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2028.5.31</w:t>
            </w:r>
          </w:p>
        </w:tc>
      </w:tr>
      <w:tr w14:paraId="02A29D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1D6A4E8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2043DDB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17" w:name="_Toc28637"/>
            <w:bookmarkStart w:id="4118" w:name="_Toc5766"/>
            <w:r>
              <w:rPr>
                <w:rFonts w:hint="default" w:ascii="Times New Roman" w:hAnsi="Times New Roman" w:cs="Times New Roman"/>
                <w:color w:val="auto"/>
                <w:sz w:val="21"/>
                <w:szCs w:val="21"/>
                <w:highlight w:val="none"/>
              </w:rPr>
              <w:t>铁</w:t>
            </w:r>
            <w:bookmarkEnd w:id="4117"/>
            <w:bookmarkEnd w:id="4118"/>
          </w:p>
        </w:tc>
        <w:tc>
          <w:tcPr>
            <w:tcW w:w="1150" w:type="pct"/>
            <w:vMerge w:val="restart"/>
            <w:tcBorders>
              <w:tl2br w:val="nil"/>
              <w:tr2bl w:val="nil"/>
            </w:tcBorders>
            <w:noWrap w:val="0"/>
            <w:vAlign w:val="center"/>
          </w:tcPr>
          <w:p w14:paraId="5F1999E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 32种元素的测定电感耦合等离子体发射光谱法</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XHJ 776-2015</w:t>
            </w:r>
          </w:p>
        </w:tc>
        <w:tc>
          <w:tcPr>
            <w:tcW w:w="695" w:type="pct"/>
            <w:tcBorders>
              <w:tl2br w:val="nil"/>
              <w:tr2bl w:val="nil"/>
            </w:tcBorders>
            <w:noWrap w:val="0"/>
            <w:vAlign w:val="center"/>
          </w:tcPr>
          <w:p w14:paraId="33461E6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19" w:name="_Toc11867"/>
            <w:bookmarkStart w:id="4120" w:name="_Toc19855"/>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mg/L</w:t>
            </w:r>
            <w:bookmarkEnd w:id="4119"/>
            <w:bookmarkEnd w:id="4120"/>
          </w:p>
        </w:tc>
        <w:tc>
          <w:tcPr>
            <w:tcW w:w="921" w:type="pct"/>
            <w:vMerge w:val="restart"/>
            <w:tcBorders>
              <w:tl2br w:val="nil"/>
              <w:tr2bl w:val="nil"/>
            </w:tcBorders>
            <w:noWrap w:val="0"/>
            <w:vAlign w:val="center"/>
          </w:tcPr>
          <w:p w14:paraId="3EFB283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AA-6880 原子吸收分光光度计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ZRLHB-279</w:t>
            </w:r>
            <w:r>
              <w:rPr>
                <w:rFonts w:hint="eastAsia" w:cs="Times New Roman"/>
                <w:color w:val="auto"/>
                <w:sz w:val="21"/>
                <w:szCs w:val="21"/>
                <w:highlight w:val="none"/>
                <w:lang w:eastAsia="zh-CN"/>
              </w:rPr>
              <w:t>）</w:t>
            </w:r>
          </w:p>
        </w:tc>
        <w:tc>
          <w:tcPr>
            <w:tcW w:w="1137" w:type="pct"/>
            <w:vMerge w:val="restart"/>
            <w:tcBorders>
              <w:tl2br w:val="nil"/>
              <w:tr2bl w:val="nil"/>
            </w:tcBorders>
            <w:noWrap w:val="0"/>
            <w:vAlign w:val="center"/>
          </w:tcPr>
          <w:p w14:paraId="3CB64A7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2027</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1.5</w:t>
            </w:r>
          </w:p>
        </w:tc>
      </w:tr>
      <w:tr w14:paraId="411C74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6EC0C6A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5E71527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21" w:name="_Toc897"/>
            <w:bookmarkStart w:id="4122" w:name="_Toc3003"/>
            <w:r>
              <w:rPr>
                <w:rFonts w:hint="default" w:ascii="Times New Roman" w:hAnsi="Times New Roman" w:cs="Times New Roman"/>
                <w:color w:val="auto"/>
                <w:sz w:val="21"/>
                <w:szCs w:val="21"/>
                <w:highlight w:val="none"/>
              </w:rPr>
              <w:t>锰</w:t>
            </w:r>
            <w:bookmarkEnd w:id="4121"/>
            <w:bookmarkEnd w:id="4122"/>
          </w:p>
        </w:tc>
        <w:tc>
          <w:tcPr>
            <w:tcW w:w="1150" w:type="pct"/>
            <w:vMerge w:val="continue"/>
            <w:tcBorders>
              <w:tl2br w:val="nil"/>
              <w:tr2bl w:val="nil"/>
            </w:tcBorders>
            <w:noWrap w:val="0"/>
            <w:vAlign w:val="center"/>
          </w:tcPr>
          <w:p w14:paraId="63779C8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95" w:type="pct"/>
            <w:tcBorders>
              <w:tl2br w:val="nil"/>
              <w:tr2bl w:val="nil"/>
            </w:tcBorders>
            <w:noWrap w:val="0"/>
            <w:vAlign w:val="center"/>
          </w:tcPr>
          <w:p w14:paraId="174FDB4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23" w:name="_Toc3156"/>
            <w:bookmarkStart w:id="4124" w:name="_Toc3640"/>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04</w:t>
            </w:r>
            <w:r>
              <w:rPr>
                <w:rFonts w:hint="default" w:ascii="Times New Roman" w:hAnsi="Times New Roman" w:cs="Times New Roman"/>
                <w:color w:val="auto"/>
                <w:sz w:val="21"/>
                <w:szCs w:val="21"/>
                <w:highlight w:val="none"/>
              </w:rPr>
              <w:t>mg/L</w:t>
            </w:r>
            <w:bookmarkEnd w:id="4123"/>
            <w:bookmarkEnd w:id="4124"/>
          </w:p>
        </w:tc>
        <w:tc>
          <w:tcPr>
            <w:tcW w:w="921" w:type="pct"/>
            <w:vMerge w:val="continue"/>
            <w:tcBorders>
              <w:tl2br w:val="nil"/>
              <w:tr2bl w:val="nil"/>
            </w:tcBorders>
            <w:noWrap w:val="0"/>
            <w:vAlign w:val="center"/>
          </w:tcPr>
          <w:p w14:paraId="5A122C8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325792E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378CFD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70BDD9F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6730AC1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25" w:name="_Toc14012"/>
            <w:bookmarkStart w:id="4126" w:name="_Toc2014"/>
            <w:r>
              <w:rPr>
                <w:rFonts w:hint="default" w:ascii="Times New Roman" w:hAnsi="Times New Roman" w:cs="Times New Roman"/>
                <w:color w:val="auto"/>
                <w:sz w:val="21"/>
                <w:szCs w:val="21"/>
                <w:highlight w:val="none"/>
              </w:rPr>
              <w:t>铜</w:t>
            </w:r>
            <w:bookmarkEnd w:id="4125"/>
            <w:bookmarkEnd w:id="4126"/>
          </w:p>
        </w:tc>
        <w:tc>
          <w:tcPr>
            <w:tcW w:w="1150" w:type="pct"/>
            <w:vMerge w:val="continue"/>
            <w:tcBorders>
              <w:tl2br w:val="nil"/>
              <w:tr2bl w:val="nil"/>
            </w:tcBorders>
            <w:noWrap w:val="0"/>
            <w:vAlign w:val="center"/>
          </w:tcPr>
          <w:p w14:paraId="7B588D7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95" w:type="pct"/>
            <w:tcBorders>
              <w:tl2br w:val="nil"/>
              <w:tr2bl w:val="nil"/>
            </w:tcBorders>
            <w:noWrap w:val="0"/>
            <w:vAlign w:val="center"/>
          </w:tcPr>
          <w:p w14:paraId="694AD9F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27" w:name="_Toc6500"/>
            <w:bookmarkStart w:id="4128" w:name="_Toc13109"/>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06</w:t>
            </w:r>
            <w:r>
              <w:rPr>
                <w:rFonts w:hint="default" w:ascii="Times New Roman" w:hAnsi="Times New Roman" w:cs="Times New Roman"/>
                <w:color w:val="auto"/>
                <w:sz w:val="21"/>
                <w:szCs w:val="21"/>
                <w:highlight w:val="none"/>
              </w:rPr>
              <w:t>mg/L</w:t>
            </w:r>
            <w:bookmarkEnd w:id="4127"/>
            <w:bookmarkEnd w:id="4128"/>
          </w:p>
        </w:tc>
        <w:tc>
          <w:tcPr>
            <w:tcW w:w="921" w:type="pct"/>
            <w:vMerge w:val="continue"/>
            <w:tcBorders>
              <w:tl2br w:val="nil"/>
              <w:tr2bl w:val="nil"/>
            </w:tcBorders>
            <w:noWrap w:val="0"/>
            <w:vAlign w:val="center"/>
          </w:tcPr>
          <w:p w14:paraId="304BF82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0BF0453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1CC16B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6FD49A0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5D23BFF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29" w:name="_Toc25203"/>
            <w:bookmarkStart w:id="4130" w:name="_Toc6022"/>
            <w:r>
              <w:rPr>
                <w:rFonts w:hint="default" w:ascii="Times New Roman" w:hAnsi="Times New Roman" w:cs="Times New Roman"/>
                <w:color w:val="auto"/>
                <w:sz w:val="21"/>
                <w:szCs w:val="21"/>
                <w:highlight w:val="none"/>
              </w:rPr>
              <w:t>锌</w:t>
            </w:r>
            <w:bookmarkEnd w:id="4129"/>
            <w:bookmarkEnd w:id="4130"/>
          </w:p>
        </w:tc>
        <w:tc>
          <w:tcPr>
            <w:tcW w:w="1150" w:type="pct"/>
            <w:vMerge w:val="continue"/>
            <w:tcBorders>
              <w:tl2br w:val="nil"/>
              <w:tr2bl w:val="nil"/>
            </w:tcBorders>
            <w:noWrap w:val="0"/>
            <w:vAlign w:val="center"/>
          </w:tcPr>
          <w:p w14:paraId="132D668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95" w:type="pct"/>
            <w:tcBorders>
              <w:tl2br w:val="nil"/>
              <w:tr2bl w:val="nil"/>
            </w:tcBorders>
            <w:noWrap w:val="0"/>
            <w:vAlign w:val="center"/>
          </w:tcPr>
          <w:p w14:paraId="5E8B56C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31" w:name="_Toc31808"/>
            <w:bookmarkStart w:id="4132" w:name="_Toc27088"/>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04</w:t>
            </w:r>
            <w:r>
              <w:rPr>
                <w:rFonts w:hint="default" w:ascii="Times New Roman" w:hAnsi="Times New Roman" w:cs="Times New Roman"/>
                <w:color w:val="auto"/>
                <w:sz w:val="21"/>
                <w:szCs w:val="21"/>
                <w:highlight w:val="none"/>
              </w:rPr>
              <w:t>mg/L</w:t>
            </w:r>
            <w:bookmarkEnd w:id="4131"/>
            <w:bookmarkEnd w:id="4132"/>
          </w:p>
        </w:tc>
        <w:tc>
          <w:tcPr>
            <w:tcW w:w="921" w:type="pct"/>
            <w:vMerge w:val="continue"/>
            <w:tcBorders>
              <w:tl2br w:val="nil"/>
              <w:tr2bl w:val="nil"/>
            </w:tcBorders>
            <w:noWrap w:val="0"/>
            <w:vAlign w:val="center"/>
          </w:tcPr>
          <w:p w14:paraId="17561F4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33AF2A9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296294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1F0F0A2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47720D7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33" w:name="_Toc10241"/>
            <w:bookmarkStart w:id="4134" w:name="_Toc20683"/>
            <w:r>
              <w:rPr>
                <w:rFonts w:hint="default" w:ascii="Times New Roman" w:hAnsi="Times New Roman" w:cs="Times New Roman"/>
                <w:color w:val="auto"/>
                <w:sz w:val="21"/>
                <w:szCs w:val="21"/>
                <w:highlight w:val="none"/>
              </w:rPr>
              <w:t>挥发性酚类</w:t>
            </w:r>
            <w:bookmarkEnd w:id="4133"/>
            <w:bookmarkEnd w:id="4134"/>
          </w:p>
        </w:tc>
        <w:tc>
          <w:tcPr>
            <w:tcW w:w="1150" w:type="pct"/>
            <w:tcBorders>
              <w:tl2br w:val="nil"/>
              <w:tr2bl w:val="nil"/>
            </w:tcBorders>
            <w:noWrap w:val="0"/>
            <w:vAlign w:val="center"/>
          </w:tcPr>
          <w:p w14:paraId="3C15EB5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35" w:name="_Toc25774"/>
            <w:bookmarkStart w:id="4136" w:name="_Toc31476"/>
            <w:r>
              <w:rPr>
                <w:rFonts w:hint="default" w:ascii="Times New Roman" w:hAnsi="Times New Roman" w:cs="Times New Roman"/>
                <w:color w:val="auto"/>
                <w:sz w:val="21"/>
                <w:szCs w:val="21"/>
                <w:highlight w:val="none"/>
              </w:rPr>
              <w:t>《水质挥发性酚类的测定4-氨基安替比林分光光度法》HJ503-2009</w:t>
            </w:r>
            <w:bookmarkEnd w:id="4135"/>
            <w:bookmarkEnd w:id="4136"/>
          </w:p>
        </w:tc>
        <w:tc>
          <w:tcPr>
            <w:tcW w:w="695" w:type="pct"/>
            <w:tcBorders>
              <w:tl2br w:val="nil"/>
              <w:tr2bl w:val="nil"/>
            </w:tcBorders>
            <w:noWrap w:val="0"/>
            <w:vAlign w:val="center"/>
          </w:tcPr>
          <w:p w14:paraId="5E3A615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37" w:name="_Toc22187"/>
            <w:bookmarkStart w:id="4138" w:name="_Toc10928"/>
            <w:r>
              <w:rPr>
                <w:rFonts w:hint="default" w:ascii="Times New Roman" w:hAnsi="Times New Roman" w:cs="Times New Roman"/>
                <w:color w:val="auto"/>
                <w:sz w:val="21"/>
                <w:szCs w:val="21"/>
                <w:highlight w:val="none"/>
              </w:rPr>
              <w:t>0.0003mg/L</w:t>
            </w:r>
            <w:bookmarkEnd w:id="4137"/>
            <w:bookmarkEnd w:id="4138"/>
          </w:p>
        </w:tc>
        <w:tc>
          <w:tcPr>
            <w:tcW w:w="921" w:type="pct"/>
            <w:tcBorders>
              <w:tl2br w:val="nil"/>
              <w:tr2bl w:val="nil"/>
            </w:tcBorders>
            <w:noWrap w:val="0"/>
            <w:vAlign w:val="center"/>
          </w:tcPr>
          <w:p w14:paraId="7F76FFC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722N 型可见分光光度计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ZRLHB-038</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2DBAF99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139094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29230D8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2DD5B14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39" w:name="_Toc23228"/>
            <w:bookmarkStart w:id="4140" w:name="_Toc11015"/>
            <w:r>
              <w:rPr>
                <w:rFonts w:hint="default" w:ascii="Times New Roman" w:hAnsi="Times New Roman" w:cs="Times New Roman"/>
                <w:color w:val="auto"/>
                <w:sz w:val="21"/>
                <w:szCs w:val="21"/>
                <w:highlight w:val="none"/>
              </w:rPr>
              <w:t>硝酸盐</w:t>
            </w:r>
            <w:bookmarkEnd w:id="4139"/>
            <w:bookmarkEnd w:id="4140"/>
          </w:p>
        </w:tc>
        <w:tc>
          <w:tcPr>
            <w:tcW w:w="1150" w:type="pct"/>
            <w:tcBorders>
              <w:tl2br w:val="nil"/>
              <w:tr2bl w:val="nil"/>
            </w:tcBorders>
            <w:noWrap w:val="0"/>
            <w:vAlign w:val="center"/>
          </w:tcPr>
          <w:p w14:paraId="09B1045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 硝酸盐氮的测定 紫外分光光度法</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试行</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HJT 346-2007</w:t>
            </w:r>
          </w:p>
        </w:tc>
        <w:tc>
          <w:tcPr>
            <w:tcW w:w="695" w:type="pct"/>
            <w:tcBorders>
              <w:tl2br w:val="nil"/>
              <w:tr2bl w:val="nil"/>
            </w:tcBorders>
            <w:noWrap w:val="0"/>
            <w:vAlign w:val="center"/>
          </w:tcPr>
          <w:p w14:paraId="371F555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41" w:name="_Toc10340"/>
            <w:bookmarkStart w:id="4142" w:name="_Toc10249"/>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mg/L</w:t>
            </w:r>
            <w:bookmarkEnd w:id="4141"/>
            <w:bookmarkEnd w:id="4142"/>
          </w:p>
        </w:tc>
        <w:tc>
          <w:tcPr>
            <w:tcW w:w="921" w:type="pct"/>
            <w:tcBorders>
              <w:tl2br w:val="nil"/>
              <w:tr2bl w:val="nil"/>
            </w:tcBorders>
            <w:noWrap w:val="0"/>
            <w:vAlign w:val="center"/>
          </w:tcPr>
          <w:p w14:paraId="5E7CC99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TU-1900 型紫外可见分光光度计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ZRLHB-002</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5973C67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68BF36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1D6F15F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491127A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43" w:name="_Toc11906"/>
            <w:bookmarkStart w:id="4144" w:name="_Toc10855"/>
            <w:r>
              <w:rPr>
                <w:rFonts w:hint="default" w:ascii="Times New Roman" w:hAnsi="Times New Roman" w:cs="Times New Roman"/>
                <w:color w:val="auto"/>
                <w:sz w:val="21"/>
                <w:szCs w:val="21"/>
                <w:highlight w:val="none"/>
              </w:rPr>
              <w:t>亚硝酸盐</w:t>
            </w:r>
            <w:bookmarkEnd w:id="4143"/>
            <w:bookmarkEnd w:id="4144"/>
          </w:p>
        </w:tc>
        <w:tc>
          <w:tcPr>
            <w:tcW w:w="1150" w:type="pct"/>
            <w:tcBorders>
              <w:tl2br w:val="nil"/>
              <w:tr2bl w:val="nil"/>
            </w:tcBorders>
            <w:noWrap w:val="0"/>
            <w:vAlign w:val="center"/>
          </w:tcPr>
          <w:p w14:paraId="404A8DC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 氨氮的测定 水杨酸分光光度法》HI536-2009</w:t>
            </w:r>
          </w:p>
        </w:tc>
        <w:tc>
          <w:tcPr>
            <w:tcW w:w="695" w:type="pct"/>
            <w:tcBorders>
              <w:tl2br w:val="nil"/>
              <w:tr2bl w:val="nil"/>
            </w:tcBorders>
            <w:noWrap w:val="0"/>
            <w:vAlign w:val="center"/>
          </w:tcPr>
          <w:p w14:paraId="39538D9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45" w:name="_Toc26588"/>
            <w:bookmarkStart w:id="4146" w:name="_Toc12845"/>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03</w:t>
            </w:r>
            <w:r>
              <w:rPr>
                <w:rFonts w:hint="default" w:ascii="Times New Roman" w:hAnsi="Times New Roman" w:cs="Times New Roman"/>
                <w:color w:val="auto"/>
                <w:sz w:val="21"/>
                <w:szCs w:val="21"/>
                <w:highlight w:val="none"/>
              </w:rPr>
              <w:t>mg/L</w:t>
            </w:r>
            <w:bookmarkEnd w:id="4145"/>
            <w:bookmarkEnd w:id="4146"/>
          </w:p>
        </w:tc>
        <w:tc>
          <w:tcPr>
            <w:tcW w:w="921" w:type="pct"/>
            <w:tcBorders>
              <w:tl2br w:val="nil"/>
              <w:tr2bl w:val="nil"/>
            </w:tcBorders>
            <w:noWrap w:val="0"/>
            <w:vAlign w:val="center"/>
          </w:tcPr>
          <w:p w14:paraId="3CDDE71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TU-1900 型紫外可见分光光度计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ZRLHB-002</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40B3979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565A1D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11275E6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2C8B1C1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47" w:name="_Toc16864"/>
            <w:bookmarkStart w:id="4148" w:name="_Toc30272"/>
            <w:r>
              <w:rPr>
                <w:rFonts w:hint="default" w:ascii="Times New Roman" w:hAnsi="Times New Roman" w:cs="Times New Roman"/>
                <w:color w:val="auto"/>
                <w:sz w:val="21"/>
                <w:szCs w:val="21"/>
                <w:highlight w:val="none"/>
              </w:rPr>
              <w:t>氨氮</w:t>
            </w:r>
            <w:bookmarkEnd w:id="4147"/>
            <w:bookmarkEnd w:id="4148"/>
          </w:p>
        </w:tc>
        <w:tc>
          <w:tcPr>
            <w:tcW w:w="1150" w:type="pct"/>
            <w:tcBorders>
              <w:tl2br w:val="nil"/>
              <w:tr2bl w:val="nil"/>
            </w:tcBorders>
            <w:noWrap w:val="0"/>
            <w:vAlign w:val="center"/>
          </w:tcPr>
          <w:p w14:paraId="390B302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49" w:name="_Toc27427"/>
            <w:bookmarkStart w:id="4150" w:name="_Toc22225"/>
            <w:r>
              <w:rPr>
                <w:rFonts w:hint="default" w:ascii="Times New Roman" w:hAnsi="Times New Roman" w:cs="Times New Roman"/>
                <w:color w:val="auto"/>
                <w:sz w:val="21"/>
                <w:szCs w:val="21"/>
                <w:highlight w:val="none"/>
              </w:rPr>
              <w:t>《水质氨氮的测定纳氏试剂分光光度法》HJ535-2009</w:t>
            </w:r>
            <w:bookmarkEnd w:id="4149"/>
            <w:bookmarkEnd w:id="4150"/>
          </w:p>
        </w:tc>
        <w:tc>
          <w:tcPr>
            <w:tcW w:w="695" w:type="pct"/>
            <w:tcBorders>
              <w:tl2br w:val="nil"/>
              <w:tr2bl w:val="nil"/>
            </w:tcBorders>
            <w:noWrap w:val="0"/>
            <w:vAlign w:val="center"/>
          </w:tcPr>
          <w:p w14:paraId="6A97143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51" w:name="_Toc30600"/>
            <w:bookmarkStart w:id="4152" w:name="_Toc27932"/>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mg/L</w:t>
            </w:r>
            <w:bookmarkEnd w:id="4151"/>
            <w:bookmarkEnd w:id="4152"/>
          </w:p>
        </w:tc>
        <w:tc>
          <w:tcPr>
            <w:tcW w:w="921" w:type="pct"/>
            <w:tcBorders>
              <w:tl2br w:val="nil"/>
              <w:tr2bl w:val="nil"/>
            </w:tcBorders>
            <w:noWrap w:val="0"/>
            <w:vAlign w:val="center"/>
          </w:tcPr>
          <w:p w14:paraId="6209CBF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TU-1810型紫外可</w:t>
            </w:r>
          </w:p>
          <w:p w14:paraId="50906A49">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见分光光度计</w:t>
            </w:r>
          </w:p>
        </w:tc>
        <w:tc>
          <w:tcPr>
            <w:tcW w:w="1137" w:type="pct"/>
            <w:tcBorders>
              <w:tl2br w:val="nil"/>
              <w:tr2bl w:val="nil"/>
            </w:tcBorders>
            <w:noWrap w:val="0"/>
            <w:vAlign w:val="center"/>
          </w:tcPr>
          <w:p w14:paraId="06EE94B5">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0339B2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187F0B9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11ECB9D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53" w:name="_Toc17387"/>
            <w:bookmarkStart w:id="4154" w:name="_Toc26914"/>
            <w:r>
              <w:rPr>
                <w:rFonts w:hint="default" w:ascii="Times New Roman" w:hAnsi="Times New Roman" w:cs="Times New Roman"/>
                <w:color w:val="auto"/>
                <w:sz w:val="21"/>
                <w:szCs w:val="21"/>
                <w:highlight w:val="none"/>
              </w:rPr>
              <w:t>总大肠菌群</w:t>
            </w:r>
            <w:bookmarkEnd w:id="4153"/>
            <w:bookmarkEnd w:id="4154"/>
          </w:p>
        </w:tc>
        <w:tc>
          <w:tcPr>
            <w:tcW w:w="1150" w:type="pct"/>
            <w:tcBorders>
              <w:tl2br w:val="nil"/>
              <w:tr2bl w:val="nil"/>
            </w:tcBorders>
            <w:noWrap w:val="0"/>
            <w:vAlign w:val="center"/>
          </w:tcPr>
          <w:p w14:paraId="702A9FC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 总大肠菌群、粪大肠菌群和大肠埃希氏菌的测定 底物法》HJ 1001-2018</w:t>
            </w:r>
          </w:p>
        </w:tc>
        <w:tc>
          <w:tcPr>
            <w:tcW w:w="695" w:type="pct"/>
            <w:tcBorders>
              <w:tl2br w:val="nil"/>
              <w:tr2bl w:val="nil"/>
            </w:tcBorders>
            <w:noWrap w:val="0"/>
            <w:vAlign w:val="center"/>
          </w:tcPr>
          <w:p w14:paraId="7ED5806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55" w:name="_Toc3273"/>
            <w:bookmarkStart w:id="4156" w:name="_Toc23100"/>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MPN/L</w:t>
            </w:r>
            <w:bookmarkEnd w:id="4155"/>
            <w:bookmarkEnd w:id="4156"/>
          </w:p>
        </w:tc>
        <w:tc>
          <w:tcPr>
            <w:tcW w:w="921" w:type="pct"/>
            <w:vMerge w:val="restart"/>
            <w:tcBorders>
              <w:tl2br w:val="nil"/>
              <w:tr2bl w:val="nil"/>
            </w:tcBorders>
            <w:noWrap w:val="0"/>
            <w:vAlign w:val="center"/>
          </w:tcPr>
          <w:p w14:paraId="52144A8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eastAsia"/>
                <w:color w:val="auto"/>
                <w:highlight w:val="none"/>
              </w:rPr>
              <w:t>HSP-150B 型恒况恒湿培养箱</w:t>
            </w:r>
            <w:r>
              <w:rPr>
                <w:rFonts w:hint="eastAsia"/>
                <w:color w:val="auto"/>
                <w:highlight w:val="none"/>
                <w:lang w:eastAsia="zh-CN"/>
              </w:rPr>
              <w:t>（</w:t>
            </w:r>
            <w:r>
              <w:rPr>
                <w:rFonts w:hint="eastAsia"/>
                <w:color w:val="auto"/>
                <w:highlight w:val="none"/>
              </w:rPr>
              <w:t>ZRLHB-056</w:t>
            </w:r>
            <w:r>
              <w:rPr>
                <w:rFonts w:hint="eastAsia"/>
                <w:color w:val="auto"/>
                <w:highlight w:val="none"/>
                <w:lang w:eastAsia="zh-CN"/>
              </w:rPr>
              <w:t>）</w:t>
            </w:r>
            <w:r>
              <w:rPr>
                <w:rFonts w:hint="eastAsia"/>
                <w:color w:val="auto"/>
                <w:highlight w:val="none"/>
              </w:rPr>
              <w:t>YXQ-LS-50SH 立式压力蒸汽灭菌器</w:t>
            </w:r>
            <w:r>
              <w:rPr>
                <w:rFonts w:hint="eastAsia"/>
                <w:color w:val="auto"/>
                <w:highlight w:val="none"/>
                <w:lang w:eastAsia="zh-CN"/>
              </w:rPr>
              <w:t>（</w:t>
            </w:r>
            <w:r>
              <w:rPr>
                <w:rFonts w:hint="eastAsia"/>
                <w:color w:val="auto"/>
                <w:highlight w:val="none"/>
              </w:rPr>
              <w:t>ZRLHB-205</w:t>
            </w:r>
            <w:r>
              <w:rPr>
                <w:rFonts w:hint="eastAsia"/>
                <w:color w:val="auto"/>
                <w:highlight w:val="none"/>
                <w:lang w:eastAsia="zh-CN"/>
              </w:rPr>
              <w:t>）</w:t>
            </w:r>
          </w:p>
        </w:tc>
        <w:tc>
          <w:tcPr>
            <w:tcW w:w="1137" w:type="pct"/>
            <w:vMerge w:val="restart"/>
            <w:tcBorders>
              <w:tl2br w:val="nil"/>
              <w:tr2bl w:val="nil"/>
            </w:tcBorders>
            <w:noWrap w:val="0"/>
            <w:vAlign w:val="center"/>
          </w:tcPr>
          <w:p w14:paraId="1298684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2D60F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3437EF4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5D6C688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57" w:name="_Toc595"/>
            <w:bookmarkStart w:id="4158" w:name="_Toc12262"/>
            <w:r>
              <w:rPr>
                <w:rFonts w:hint="default" w:ascii="Times New Roman" w:hAnsi="Times New Roman" w:cs="Times New Roman"/>
                <w:color w:val="auto"/>
                <w:sz w:val="21"/>
                <w:szCs w:val="21"/>
                <w:highlight w:val="none"/>
              </w:rPr>
              <w:t>细菌总数</w:t>
            </w:r>
            <w:bookmarkEnd w:id="4157"/>
            <w:bookmarkEnd w:id="4158"/>
          </w:p>
        </w:tc>
        <w:tc>
          <w:tcPr>
            <w:tcW w:w="1150" w:type="pct"/>
            <w:tcBorders>
              <w:tl2br w:val="nil"/>
              <w:tr2bl w:val="nil"/>
            </w:tcBorders>
            <w:noWrap w:val="0"/>
            <w:vAlign w:val="center"/>
          </w:tcPr>
          <w:p w14:paraId="7C9F01D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59" w:name="_Toc18023"/>
            <w:bookmarkStart w:id="4160" w:name="_Toc16103"/>
            <w:r>
              <w:rPr>
                <w:rFonts w:hint="default" w:ascii="Times New Roman" w:hAnsi="Times New Roman" w:cs="Times New Roman"/>
                <w:color w:val="auto"/>
                <w:sz w:val="21"/>
                <w:szCs w:val="21"/>
                <w:highlight w:val="none"/>
              </w:rPr>
              <w:t>《水质细菌总数的测定平皿计数法》HJ1000-2018</w:t>
            </w:r>
            <w:bookmarkEnd w:id="4159"/>
            <w:bookmarkEnd w:id="4160"/>
          </w:p>
        </w:tc>
        <w:tc>
          <w:tcPr>
            <w:tcW w:w="695" w:type="pct"/>
            <w:tcBorders>
              <w:tl2br w:val="nil"/>
              <w:tr2bl w:val="nil"/>
            </w:tcBorders>
            <w:noWrap w:val="0"/>
            <w:vAlign w:val="center"/>
          </w:tcPr>
          <w:p w14:paraId="14A4996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61" w:name="_Toc8538"/>
            <w:bookmarkStart w:id="4162" w:name="_Toc1493"/>
            <w:r>
              <w:rPr>
                <w:rFonts w:hint="default" w:ascii="Times New Roman" w:hAnsi="Times New Roman" w:cs="Times New Roman"/>
                <w:color w:val="auto"/>
                <w:sz w:val="21"/>
                <w:szCs w:val="21"/>
                <w:highlight w:val="none"/>
              </w:rPr>
              <w:t>/</w:t>
            </w:r>
            <w:bookmarkEnd w:id="4161"/>
            <w:bookmarkEnd w:id="4162"/>
          </w:p>
        </w:tc>
        <w:tc>
          <w:tcPr>
            <w:tcW w:w="921" w:type="pct"/>
            <w:vMerge w:val="continue"/>
            <w:tcBorders>
              <w:tl2br w:val="nil"/>
              <w:tr2bl w:val="nil"/>
            </w:tcBorders>
            <w:noWrap w:val="0"/>
            <w:vAlign w:val="center"/>
          </w:tcPr>
          <w:p w14:paraId="6301E8F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2DD5E24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747DE3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550036F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56C906C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63" w:name="_Toc13873"/>
            <w:bookmarkStart w:id="4164" w:name="_Toc2068"/>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vertAlign w:val="superscript"/>
              </w:rPr>
              <w:t>+</w:t>
            </w:r>
            <w:bookmarkEnd w:id="4163"/>
            <w:bookmarkEnd w:id="4164"/>
          </w:p>
        </w:tc>
        <w:tc>
          <w:tcPr>
            <w:tcW w:w="1150" w:type="pct"/>
            <w:vMerge w:val="restart"/>
            <w:tcBorders>
              <w:tl2br w:val="nil"/>
              <w:tr2bl w:val="nil"/>
            </w:tcBorders>
            <w:noWrap w:val="0"/>
            <w:vAlign w:val="center"/>
          </w:tcPr>
          <w:p w14:paraId="62898A3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65" w:name="_Toc20468"/>
            <w:bookmarkStart w:id="4166" w:name="_Toc7856"/>
            <w:r>
              <w:rPr>
                <w:rFonts w:hint="default" w:ascii="Times New Roman" w:hAnsi="Times New Roman" w:cs="Times New Roman"/>
                <w:color w:val="auto"/>
                <w:sz w:val="21"/>
                <w:szCs w:val="21"/>
                <w:highlight w:val="none"/>
              </w:rPr>
              <w:t>水质可溶性阳离子</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Li</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、NH</w:t>
            </w:r>
            <w:r>
              <w:rPr>
                <w:rFonts w:hint="eastAsia"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、Ca</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、4Mg</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）离子色谱法HJ812-2016</w:t>
            </w:r>
            <w:bookmarkEnd w:id="4165"/>
            <w:bookmarkEnd w:id="4166"/>
          </w:p>
        </w:tc>
        <w:tc>
          <w:tcPr>
            <w:tcW w:w="695" w:type="pct"/>
            <w:tcBorders>
              <w:tl2br w:val="nil"/>
              <w:tr2bl w:val="nil"/>
            </w:tcBorders>
            <w:noWrap w:val="0"/>
            <w:vAlign w:val="center"/>
          </w:tcPr>
          <w:p w14:paraId="6C17F75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67" w:name="_Toc685"/>
            <w:bookmarkStart w:id="4168" w:name="_Toc32704"/>
            <w:r>
              <w:rPr>
                <w:rFonts w:hint="default" w:ascii="Times New Roman" w:hAnsi="Times New Roman" w:cs="Times New Roman"/>
                <w:color w:val="auto"/>
                <w:sz w:val="21"/>
                <w:szCs w:val="21"/>
                <w:highlight w:val="none"/>
              </w:rPr>
              <w:t>0.02mg/L</w:t>
            </w:r>
            <w:bookmarkEnd w:id="4167"/>
            <w:bookmarkEnd w:id="4168"/>
          </w:p>
        </w:tc>
        <w:tc>
          <w:tcPr>
            <w:tcW w:w="921" w:type="pct"/>
            <w:vMerge w:val="restart"/>
            <w:tcBorders>
              <w:tl2br w:val="nil"/>
              <w:tr2bl w:val="nil"/>
            </w:tcBorders>
            <w:noWrap w:val="0"/>
            <w:vAlign w:val="center"/>
          </w:tcPr>
          <w:p w14:paraId="3330588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IC6000一体式离子色谱仪</w:t>
            </w:r>
          </w:p>
          <w:p w14:paraId="68E57F6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2026.11.18</w:t>
            </w:r>
          </w:p>
          <w:p w14:paraId="5D5E86F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(ZRLHB-281)</w:t>
            </w:r>
          </w:p>
        </w:tc>
        <w:tc>
          <w:tcPr>
            <w:tcW w:w="1137" w:type="pct"/>
            <w:vMerge w:val="restart"/>
            <w:tcBorders>
              <w:tl2br w:val="nil"/>
              <w:tr2bl w:val="nil"/>
            </w:tcBorders>
            <w:noWrap w:val="0"/>
            <w:vAlign w:val="center"/>
          </w:tcPr>
          <w:p w14:paraId="6BF7B5CD">
            <w:pPr>
              <w:pStyle w:val="29"/>
              <w:suppressLineNumbers w:val="0"/>
              <w:bidi w:val="0"/>
              <w:spacing w:beforeAutospacing="0" w:afterAutospacing="0"/>
              <w:ind w:left="0" w:right="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2026.11.18</w:t>
            </w:r>
          </w:p>
        </w:tc>
      </w:tr>
      <w:tr w14:paraId="141E46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3E44588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28C2F4D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69" w:name="_Toc29589"/>
            <w:bookmarkStart w:id="4170" w:name="_Toc21946"/>
            <w:r>
              <w:rPr>
                <w:rFonts w:hint="default" w:ascii="Times New Roman" w:hAnsi="Times New Roman" w:cs="Times New Roman"/>
                <w:color w:val="auto"/>
                <w:sz w:val="21"/>
                <w:szCs w:val="21"/>
                <w:highlight w:val="none"/>
              </w:rPr>
              <w:t>Na</w:t>
            </w:r>
            <w:r>
              <w:rPr>
                <w:rFonts w:hint="default" w:ascii="Times New Roman" w:hAnsi="Times New Roman" w:cs="Times New Roman"/>
                <w:color w:val="auto"/>
                <w:sz w:val="21"/>
                <w:szCs w:val="21"/>
                <w:highlight w:val="none"/>
                <w:vertAlign w:val="superscript"/>
              </w:rPr>
              <w:t>+</w:t>
            </w:r>
            <w:bookmarkEnd w:id="4169"/>
            <w:bookmarkEnd w:id="4170"/>
          </w:p>
        </w:tc>
        <w:tc>
          <w:tcPr>
            <w:tcW w:w="1150" w:type="pct"/>
            <w:vMerge w:val="continue"/>
            <w:tcBorders>
              <w:tl2br w:val="nil"/>
              <w:tr2bl w:val="nil"/>
            </w:tcBorders>
            <w:noWrap w:val="0"/>
            <w:vAlign w:val="center"/>
          </w:tcPr>
          <w:p w14:paraId="4B5C136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95" w:type="pct"/>
            <w:tcBorders>
              <w:tl2br w:val="nil"/>
              <w:tr2bl w:val="nil"/>
            </w:tcBorders>
            <w:noWrap w:val="0"/>
            <w:vAlign w:val="center"/>
          </w:tcPr>
          <w:p w14:paraId="11939FC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71" w:name="_Toc10617"/>
            <w:bookmarkStart w:id="4172" w:name="_Toc13947"/>
            <w:r>
              <w:rPr>
                <w:rFonts w:hint="default" w:ascii="Times New Roman" w:hAnsi="Times New Roman" w:cs="Times New Roman"/>
                <w:color w:val="auto"/>
                <w:sz w:val="21"/>
                <w:szCs w:val="21"/>
                <w:highlight w:val="none"/>
              </w:rPr>
              <w:t>0.02</w:t>
            </w:r>
            <w:bookmarkEnd w:id="4171"/>
            <w:bookmarkEnd w:id="4172"/>
          </w:p>
          <w:p w14:paraId="69C8A22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73" w:name="_Toc13762"/>
            <w:bookmarkStart w:id="4174" w:name="_Toc13160"/>
            <w:r>
              <w:rPr>
                <w:rFonts w:hint="default" w:ascii="Times New Roman" w:hAnsi="Times New Roman" w:cs="Times New Roman"/>
                <w:color w:val="auto"/>
                <w:sz w:val="21"/>
                <w:szCs w:val="21"/>
                <w:highlight w:val="none"/>
              </w:rPr>
              <w:t>mg/L</w:t>
            </w:r>
            <w:bookmarkEnd w:id="4173"/>
            <w:bookmarkEnd w:id="4174"/>
          </w:p>
        </w:tc>
        <w:tc>
          <w:tcPr>
            <w:tcW w:w="921" w:type="pct"/>
            <w:vMerge w:val="continue"/>
            <w:tcBorders>
              <w:tl2br w:val="nil"/>
              <w:tr2bl w:val="nil"/>
            </w:tcBorders>
            <w:noWrap w:val="0"/>
            <w:vAlign w:val="center"/>
          </w:tcPr>
          <w:p w14:paraId="3A210F9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586162C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63D6C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03D18CE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0F9883E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75" w:name="_Toc3274"/>
            <w:bookmarkStart w:id="4176" w:name="_Toc22034"/>
            <w:r>
              <w:rPr>
                <w:rFonts w:hint="default" w:ascii="Times New Roman" w:hAnsi="Times New Roman" w:cs="Times New Roman"/>
                <w:color w:val="auto"/>
                <w:sz w:val="21"/>
                <w:szCs w:val="21"/>
                <w:highlight w:val="none"/>
              </w:rPr>
              <w:t>Ca</w:t>
            </w:r>
            <w:r>
              <w:rPr>
                <w:rFonts w:hint="default" w:ascii="Times New Roman" w:hAnsi="Times New Roman" w:cs="Times New Roman"/>
                <w:color w:val="auto"/>
                <w:sz w:val="21"/>
                <w:szCs w:val="21"/>
                <w:highlight w:val="none"/>
                <w:vertAlign w:val="superscript"/>
              </w:rPr>
              <w:t>2+</w:t>
            </w:r>
            <w:bookmarkEnd w:id="4175"/>
            <w:bookmarkEnd w:id="4176"/>
          </w:p>
        </w:tc>
        <w:tc>
          <w:tcPr>
            <w:tcW w:w="1150" w:type="pct"/>
            <w:vMerge w:val="continue"/>
            <w:tcBorders>
              <w:tl2br w:val="nil"/>
              <w:tr2bl w:val="nil"/>
            </w:tcBorders>
            <w:noWrap w:val="0"/>
            <w:vAlign w:val="center"/>
          </w:tcPr>
          <w:p w14:paraId="1E5D38C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95" w:type="pct"/>
            <w:tcBorders>
              <w:tl2br w:val="nil"/>
              <w:tr2bl w:val="nil"/>
            </w:tcBorders>
            <w:noWrap w:val="0"/>
            <w:vAlign w:val="center"/>
          </w:tcPr>
          <w:p w14:paraId="1AF908E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77" w:name="_Toc3962"/>
            <w:bookmarkStart w:id="4178" w:name="_Toc15142"/>
            <w:r>
              <w:rPr>
                <w:rFonts w:hint="default" w:ascii="Times New Roman" w:hAnsi="Times New Roman" w:cs="Times New Roman"/>
                <w:color w:val="auto"/>
                <w:sz w:val="21"/>
                <w:szCs w:val="21"/>
                <w:highlight w:val="none"/>
              </w:rPr>
              <w:t>0.03</w:t>
            </w:r>
            <w:bookmarkEnd w:id="4177"/>
            <w:bookmarkEnd w:id="4178"/>
          </w:p>
          <w:p w14:paraId="788AA17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79" w:name="_Toc5362"/>
            <w:bookmarkStart w:id="4180" w:name="_Toc12741"/>
            <w:r>
              <w:rPr>
                <w:rFonts w:hint="default" w:ascii="Times New Roman" w:hAnsi="Times New Roman" w:cs="Times New Roman"/>
                <w:color w:val="auto"/>
                <w:sz w:val="21"/>
                <w:szCs w:val="21"/>
                <w:highlight w:val="none"/>
              </w:rPr>
              <w:t>mg/L</w:t>
            </w:r>
            <w:bookmarkEnd w:id="4179"/>
            <w:bookmarkEnd w:id="4180"/>
          </w:p>
        </w:tc>
        <w:tc>
          <w:tcPr>
            <w:tcW w:w="921" w:type="pct"/>
            <w:vMerge w:val="continue"/>
            <w:tcBorders>
              <w:tl2br w:val="nil"/>
              <w:tr2bl w:val="nil"/>
            </w:tcBorders>
            <w:noWrap w:val="0"/>
            <w:vAlign w:val="center"/>
          </w:tcPr>
          <w:p w14:paraId="27D1574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7FA0615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6A12DF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20F2007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3102187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81" w:name="_Toc4453"/>
            <w:bookmarkStart w:id="4182" w:name="_Toc22195"/>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bookmarkEnd w:id="4181"/>
            <w:bookmarkEnd w:id="4182"/>
          </w:p>
        </w:tc>
        <w:tc>
          <w:tcPr>
            <w:tcW w:w="1150" w:type="pct"/>
            <w:vMerge w:val="continue"/>
            <w:tcBorders>
              <w:tl2br w:val="nil"/>
              <w:tr2bl w:val="nil"/>
            </w:tcBorders>
            <w:noWrap w:val="0"/>
            <w:vAlign w:val="center"/>
          </w:tcPr>
          <w:p w14:paraId="06977D4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95" w:type="pct"/>
            <w:tcBorders>
              <w:tl2br w:val="nil"/>
              <w:tr2bl w:val="nil"/>
            </w:tcBorders>
            <w:noWrap w:val="0"/>
            <w:vAlign w:val="center"/>
          </w:tcPr>
          <w:p w14:paraId="0AB2FB7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83" w:name="_Toc3191"/>
            <w:bookmarkStart w:id="4184" w:name="_Toc31625"/>
            <w:r>
              <w:rPr>
                <w:rFonts w:hint="default" w:ascii="Times New Roman" w:hAnsi="Times New Roman" w:cs="Times New Roman"/>
                <w:color w:val="auto"/>
                <w:sz w:val="21"/>
                <w:szCs w:val="21"/>
                <w:highlight w:val="none"/>
              </w:rPr>
              <w:t>0.02</w:t>
            </w:r>
            <w:bookmarkEnd w:id="4183"/>
            <w:bookmarkEnd w:id="4184"/>
          </w:p>
          <w:p w14:paraId="0A66166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85" w:name="_Toc15423"/>
            <w:bookmarkStart w:id="4186" w:name="_Toc8844"/>
            <w:r>
              <w:rPr>
                <w:rFonts w:hint="default" w:ascii="Times New Roman" w:hAnsi="Times New Roman" w:cs="Times New Roman"/>
                <w:color w:val="auto"/>
                <w:sz w:val="21"/>
                <w:szCs w:val="21"/>
                <w:highlight w:val="none"/>
              </w:rPr>
              <w:t>mg/L</w:t>
            </w:r>
            <w:bookmarkEnd w:id="4185"/>
            <w:bookmarkEnd w:id="4186"/>
          </w:p>
        </w:tc>
        <w:tc>
          <w:tcPr>
            <w:tcW w:w="921" w:type="pct"/>
            <w:vMerge w:val="continue"/>
            <w:tcBorders>
              <w:tl2br w:val="nil"/>
              <w:tr2bl w:val="nil"/>
            </w:tcBorders>
            <w:noWrap w:val="0"/>
            <w:vAlign w:val="center"/>
          </w:tcPr>
          <w:p w14:paraId="658B03D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06F6F47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698581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515489B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10C1215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87" w:name="_Toc94"/>
            <w:bookmarkStart w:id="4188" w:name="_Toc12280"/>
            <w:r>
              <w:rPr>
                <w:rFonts w:hint="default" w:ascii="Times New Roman" w:hAnsi="Times New Roman" w:cs="Times New Roman"/>
                <w:color w:val="auto"/>
                <w:sz w:val="21"/>
                <w:szCs w:val="21"/>
                <w:highlight w:val="none"/>
              </w:rPr>
              <w:t>HCO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w:t>
            </w:r>
            <w:bookmarkEnd w:id="4187"/>
            <w:bookmarkEnd w:id="4188"/>
          </w:p>
        </w:tc>
        <w:tc>
          <w:tcPr>
            <w:tcW w:w="1150" w:type="pct"/>
            <w:vMerge w:val="restart"/>
            <w:tcBorders>
              <w:tl2br w:val="nil"/>
              <w:tr2bl w:val="nil"/>
            </w:tcBorders>
            <w:noWrap w:val="0"/>
            <w:vAlign w:val="center"/>
          </w:tcPr>
          <w:p w14:paraId="03C1480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《地下水质分析方法 第 49 部分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碳酸根、重碳酸根和氢氧根</w:t>
            </w:r>
          </w:p>
          <w:p w14:paraId="381942D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离子的测定 演定法》DZT 0064.49-2021</w:t>
            </w:r>
          </w:p>
        </w:tc>
        <w:tc>
          <w:tcPr>
            <w:tcW w:w="695" w:type="pct"/>
            <w:vMerge w:val="restart"/>
            <w:tcBorders>
              <w:tl2br w:val="nil"/>
              <w:tr2bl w:val="nil"/>
            </w:tcBorders>
            <w:noWrap w:val="0"/>
            <w:vAlign w:val="center"/>
          </w:tcPr>
          <w:p w14:paraId="4444212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mg/L</w:t>
            </w:r>
          </w:p>
        </w:tc>
        <w:tc>
          <w:tcPr>
            <w:tcW w:w="921" w:type="pct"/>
            <w:vMerge w:val="restart"/>
            <w:tcBorders>
              <w:tl2br w:val="nil"/>
              <w:tr2bl w:val="nil"/>
            </w:tcBorders>
            <w:noWrap w:val="0"/>
            <w:vAlign w:val="center"/>
          </w:tcPr>
          <w:p w14:paraId="63AD25E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50mL 酸式滴定管</w:t>
            </w:r>
          </w:p>
        </w:tc>
        <w:tc>
          <w:tcPr>
            <w:tcW w:w="1137" w:type="pct"/>
            <w:vMerge w:val="restart"/>
            <w:tcBorders>
              <w:tl2br w:val="nil"/>
              <w:tr2bl w:val="nil"/>
            </w:tcBorders>
            <w:noWrap w:val="0"/>
            <w:vAlign w:val="center"/>
          </w:tcPr>
          <w:p w14:paraId="01588BB8">
            <w:pPr>
              <w:pStyle w:val="29"/>
              <w:suppressLineNumbers w:val="0"/>
              <w:bidi w:val="0"/>
              <w:spacing w:beforeAutospacing="0" w:afterAutospacing="0"/>
              <w:ind w:left="0" w:right="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2028.5.31</w:t>
            </w:r>
          </w:p>
        </w:tc>
      </w:tr>
      <w:tr w14:paraId="3C6ED1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09F5DD8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1AF1357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89" w:name="_Toc15806"/>
            <w:bookmarkStart w:id="4190" w:name="_Toc20245"/>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2-</w:t>
            </w:r>
            <w:bookmarkEnd w:id="4189"/>
            <w:bookmarkEnd w:id="4190"/>
          </w:p>
        </w:tc>
        <w:tc>
          <w:tcPr>
            <w:tcW w:w="1150" w:type="pct"/>
            <w:vMerge w:val="continue"/>
            <w:tcBorders>
              <w:tl2br w:val="nil"/>
              <w:tr2bl w:val="nil"/>
            </w:tcBorders>
            <w:noWrap w:val="0"/>
            <w:vAlign w:val="center"/>
          </w:tcPr>
          <w:p w14:paraId="2510170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95" w:type="pct"/>
            <w:vMerge w:val="continue"/>
            <w:tcBorders>
              <w:tl2br w:val="nil"/>
              <w:tr2bl w:val="nil"/>
            </w:tcBorders>
            <w:noWrap w:val="0"/>
            <w:vAlign w:val="center"/>
          </w:tcPr>
          <w:p w14:paraId="4F63C7F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921" w:type="pct"/>
            <w:vMerge w:val="continue"/>
            <w:tcBorders>
              <w:tl2br w:val="nil"/>
              <w:tr2bl w:val="nil"/>
            </w:tcBorders>
            <w:noWrap w:val="0"/>
            <w:vAlign w:val="center"/>
          </w:tcPr>
          <w:p w14:paraId="60B880C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137" w:type="pct"/>
            <w:vMerge w:val="continue"/>
            <w:tcBorders>
              <w:tl2br w:val="nil"/>
              <w:tr2bl w:val="nil"/>
            </w:tcBorders>
            <w:noWrap w:val="0"/>
            <w:vAlign w:val="center"/>
          </w:tcPr>
          <w:p w14:paraId="525B537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5D2ECB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77D0597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58A5516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91" w:name="_Toc1497"/>
            <w:bookmarkStart w:id="4192" w:name="_Toc8381"/>
            <w:r>
              <w:rPr>
                <w:rFonts w:hint="default" w:ascii="Times New Roman" w:hAnsi="Times New Roman" w:cs="Times New Roman"/>
                <w:color w:val="auto"/>
                <w:sz w:val="21"/>
                <w:szCs w:val="21"/>
                <w:highlight w:val="none"/>
              </w:rPr>
              <w:t>氰化物</w:t>
            </w:r>
            <w:bookmarkEnd w:id="4191"/>
            <w:bookmarkEnd w:id="4192"/>
          </w:p>
        </w:tc>
        <w:tc>
          <w:tcPr>
            <w:tcW w:w="1150" w:type="pct"/>
            <w:tcBorders>
              <w:tl2br w:val="nil"/>
              <w:tr2bl w:val="nil"/>
            </w:tcBorders>
            <w:noWrap w:val="0"/>
            <w:vAlign w:val="center"/>
          </w:tcPr>
          <w:p w14:paraId="65E4640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《地下水质分析方法第52部分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氰化物的测定 吡啶-吡唑啉酮分光光度法》DZ/T0064.52-2021</w:t>
            </w:r>
          </w:p>
        </w:tc>
        <w:tc>
          <w:tcPr>
            <w:tcW w:w="695" w:type="pct"/>
            <w:tcBorders>
              <w:tl2br w:val="nil"/>
              <w:tr2bl w:val="nil"/>
            </w:tcBorders>
            <w:noWrap w:val="0"/>
            <w:vAlign w:val="center"/>
          </w:tcPr>
          <w:p w14:paraId="10B43CC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93" w:name="_Toc4927"/>
            <w:bookmarkStart w:id="4194" w:name="_Toc17965"/>
            <w:r>
              <w:rPr>
                <w:rFonts w:hint="default" w:ascii="Times New Roman" w:hAnsi="Times New Roman" w:cs="Times New Roman"/>
                <w:color w:val="auto"/>
                <w:sz w:val="21"/>
                <w:szCs w:val="21"/>
                <w:highlight w:val="none"/>
              </w:rPr>
              <w:t>0.002</w:t>
            </w:r>
            <w:bookmarkEnd w:id="4193"/>
            <w:bookmarkEnd w:id="4194"/>
          </w:p>
          <w:p w14:paraId="7A5FCA8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95" w:name="_Toc23428"/>
            <w:bookmarkStart w:id="4196" w:name="_Toc1136"/>
            <w:r>
              <w:rPr>
                <w:rFonts w:hint="default" w:ascii="Times New Roman" w:hAnsi="Times New Roman" w:cs="Times New Roman"/>
                <w:color w:val="auto"/>
                <w:sz w:val="21"/>
                <w:szCs w:val="21"/>
                <w:highlight w:val="none"/>
              </w:rPr>
              <w:t>mg/L</w:t>
            </w:r>
            <w:bookmarkEnd w:id="4195"/>
            <w:bookmarkEnd w:id="4196"/>
          </w:p>
        </w:tc>
        <w:tc>
          <w:tcPr>
            <w:tcW w:w="921" w:type="pct"/>
            <w:tcBorders>
              <w:tl2br w:val="nil"/>
              <w:tr2bl w:val="nil"/>
            </w:tcBorders>
            <w:noWrap w:val="0"/>
            <w:vAlign w:val="center"/>
          </w:tcPr>
          <w:p w14:paraId="720B563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TU-1810 型紫外可见分光光度计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ZRLHB-102</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0506547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239A9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68A869E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67C2E67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97" w:name="_Toc638"/>
            <w:bookmarkStart w:id="4198" w:name="_Toc19966"/>
            <w:r>
              <w:rPr>
                <w:rFonts w:hint="default" w:ascii="Times New Roman" w:hAnsi="Times New Roman" w:cs="Times New Roman"/>
                <w:color w:val="auto"/>
                <w:sz w:val="21"/>
                <w:szCs w:val="21"/>
                <w:highlight w:val="none"/>
              </w:rPr>
              <w:t>砷</w:t>
            </w:r>
            <w:bookmarkEnd w:id="4197"/>
            <w:bookmarkEnd w:id="4198"/>
          </w:p>
        </w:tc>
        <w:tc>
          <w:tcPr>
            <w:tcW w:w="1150" w:type="pct"/>
            <w:tcBorders>
              <w:tl2br w:val="nil"/>
              <w:tr2bl w:val="nil"/>
            </w:tcBorders>
            <w:noWrap w:val="0"/>
            <w:vAlign w:val="center"/>
          </w:tcPr>
          <w:p w14:paraId="1A73BA6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199" w:name="_Toc70"/>
            <w:bookmarkStart w:id="4200" w:name="_Toc21000"/>
            <w:r>
              <w:rPr>
                <w:rFonts w:hint="default" w:ascii="Times New Roman" w:hAnsi="Times New Roman" w:cs="Times New Roman"/>
                <w:color w:val="auto"/>
                <w:sz w:val="21"/>
                <w:szCs w:val="21"/>
                <w:highlight w:val="none"/>
              </w:rPr>
              <w:t>《水质汞、砷、硒、铋和锑的测定原子荧光法》HJ694-2014</w:t>
            </w:r>
            <w:bookmarkEnd w:id="4199"/>
            <w:bookmarkEnd w:id="4200"/>
          </w:p>
        </w:tc>
        <w:tc>
          <w:tcPr>
            <w:tcW w:w="695" w:type="pct"/>
            <w:tcBorders>
              <w:tl2br w:val="nil"/>
              <w:tr2bl w:val="nil"/>
            </w:tcBorders>
            <w:noWrap w:val="0"/>
            <w:vAlign w:val="center"/>
          </w:tcPr>
          <w:p w14:paraId="18C762F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01" w:name="_Toc17881"/>
            <w:bookmarkStart w:id="4202" w:name="_Toc14322"/>
            <w:r>
              <w:rPr>
                <w:rFonts w:hint="default" w:ascii="Times New Roman" w:hAnsi="Times New Roman" w:cs="Times New Roman"/>
                <w:color w:val="auto"/>
                <w:sz w:val="21"/>
                <w:szCs w:val="21"/>
                <w:highlight w:val="none"/>
              </w:rPr>
              <w:t>0.0003mg/L</w:t>
            </w:r>
            <w:bookmarkEnd w:id="4201"/>
            <w:bookmarkEnd w:id="4202"/>
          </w:p>
        </w:tc>
        <w:tc>
          <w:tcPr>
            <w:tcW w:w="921" w:type="pct"/>
            <w:tcBorders>
              <w:tl2br w:val="nil"/>
              <w:tr2bl w:val="nil"/>
            </w:tcBorders>
            <w:noWrap w:val="0"/>
            <w:vAlign w:val="center"/>
          </w:tcPr>
          <w:p w14:paraId="0C2B880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AFS-933 原子荧光光度计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ZRLHB-051</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232DCBD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03026B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3458875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3F8C7CA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03" w:name="_Toc31591"/>
            <w:bookmarkStart w:id="4204" w:name="_Toc21327"/>
            <w:r>
              <w:rPr>
                <w:rFonts w:hint="default" w:ascii="Times New Roman" w:hAnsi="Times New Roman" w:cs="Times New Roman"/>
                <w:color w:val="auto"/>
                <w:sz w:val="21"/>
                <w:szCs w:val="21"/>
                <w:highlight w:val="none"/>
              </w:rPr>
              <w:t>汞</w:t>
            </w:r>
            <w:bookmarkEnd w:id="4203"/>
            <w:bookmarkEnd w:id="4204"/>
          </w:p>
        </w:tc>
        <w:tc>
          <w:tcPr>
            <w:tcW w:w="1150" w:type="pct"/>
            <w:tcBorders>
              <w:tl2br w:val="nil"/>
              <w:tr2bl w:val="nil"/>
            </w:tcBorders>
            <w:noWrap w:val="0"/>
            <w:vAlign w:val="center"/>
          </w:tcPr>
          <w:p w14:paraId="511D6B4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05" w:name="_Toc4792"/>
            <w:bookmarkStart w:id="4206" w:name="_Toc22990"/>
            <w:r>
              <w:rPr>
                <w:rFonts w:hint="default" w:ascii="Times New Roman" w:hAnsi="Times New Roman" w:cs="Times New Roman"/>
                <w:color w:val="auto"/>
                <w:sz w:val="21"/>
                <w:szCs w:val="21"/>
                <w:highlight w:val="none"/>
              </w:rPr>
              <w:t>《水质汞、砷、硒、铋和锑的测定原子荧光法》HJ694-2014</w:t>
            </w:r>
            <w:bookmarkEnd w:id="4205"/>
            <w:bookmarkEnd w:id="4206"/>
          </w:p>
        </w:tc>
        <w:tc>
          <w:tcPr>
            <w:tcW w:w="695" w:type="pct"/>
            <w:tcBorders>
              <w:tl2br w:val="nil"/>
              <w:tr2bl w:val="nil"/>
            </w:tcBorders>
            <w:noWrap w:val="0"/>
            <w:vAlign w:val="center"/>
          </w:tcPr>
          <w:p w14:paraId="763B748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07" w:name="_Toc29685"/>
            <w:bookmarkStart w:id="4208" w:name="_Toc15393"/>
            <w:r>
              <w:rPr>
                <w:rFonts w:hint="default" w:ascii="Times New Roman" w:hAnsi="Times New Roman" w:cs="Times New Roman"/>
                <w:color w:val="auto"/>
                <w:sz w:val="21"/>
                <w:szCs w:val="21"/>
                <w:highlight w:val="none"/>
              </w:rPr>
              <w:t>0.00004</w:t>
            </w:r>
            <w:bookmarkEnd w:id="4207"/>
            <w:bookmarkEnd w:id="4208"/>
          </w:p>
          <w:p w14:paraId="2F14838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09" w:name="_Toc22925"/>
            <w:bookmarkStart w:id="4210" w:name="_Toc22042"/>
            <w:r>
              <w:rPr>
                <w:rFonts w:hint="default" w:ascii="Times New Roman" w:hAnsi="Times New Roman" w:cs="Times New Roman"/>
                <w:color w:val="auto"/>
                <w:sz w:val="21"/>
                <w:szCs w:val="21"/>
                <w:highlight w:val="none"/>
              </w:rPr>
              <w:t>mg/L</w:t>
            </w:r>
            <w:bookmarkEnd w:id="4209"/>
            <w:bookmarkEnd w:id="4210"/>
          </w:p>
        </w:tc>
        <w:tc>
          <w:tcPr>
            <w:tcW w:w="921" w:type="pct"/>
            <w:tcBorders>
              <w:tl2br w:val="nil"/>
              <w:tr2bl w:val="nil"/>
            </w:tcBorders>
            <w:noWrap w:val="0"/>
            <w:vAlign w:val="center"/>
          </w:tcPr>
          <w:p w14:paraId="092A6C2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AFS-JIB 原子荧光光度计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ZRLHB-277</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47D58349">
            <w:pPr>
              <w:pStyle w:val="29"/>
              <w:suppressLineNumbers w:val="0"/>
              <w:bidi w:val="0"/>
              <w:spacing w:beforeAutospacing="0" w:afterAutospacing="0"/>
              <w:ind w:left="0" w:right="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2026.11.13</w:t>
            </w:r>
          </w:p>
        </w:tc>
      </w:tr>
      <w:tr w14:paraId="2488C9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02B415E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0EED731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11" w:name="_Toc13474"/>
            <w:bookmarkStart w:id="4212" w:name="_Toc608"/>
            <w:r>
              <w:rPr>
                <w:rFonts w:hint="default" w:ascii="Times New Roman" w:hAnsi="Times New Roman" w:cs="Times New Roman"/>
                <w:color w:val="auto"/>
                <w:sz w:val="21"/>
                <w:szCs w:val="21"/>
                <w:highlight w:val="none"/>
              </w:rPr>
              <w:t>铬（六价）</w:t>
            </w:r>
            <w:bookmarkEnd w:id="4211"/>
            <w:bookmarkEnd w:id="4212"/>
          </w:p>
        </w:tc>
        <w:tc>
          <w:tcPr>
            <w:tcW w:w="1150" w:type="pct"/>
            <w:tcBorders>
              <w:tl2br w:val="nil"/>
              <w:tr2bl w:val="nil"/>
            </w:tcBorders>
            <w:noWrap w:val="0"/>
            <w:vAlign w:val="center"/>
          </w:tcPr>
          <w:p w14:paraId="4F8B7BD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13" w:name="_Toc9191"/>
            <w:bookmarkStart w:id="4214" w:name="_Toc24702"/>
            <w:r>
              <w:rPr>
                <w:rFonts w:hint="default" w:ascii="Times New Roman" w:hAnsi="Times New Roman" w:cs="Times New Roman"/>
                <w:color w:val="auto"/>
                <w:sz w:val="21"/>
                <w:szCs w:val="21"/>
                <w:highlight w:val="none"/>
              </w:rPr>
              <w:t>《地下水质分析方法第17部分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总铬和六价铬量的测定苯碳酰二肼分光光度法》</w:t>
            </w:r>
            <w:bookmarkEnd w:id="4213"/>
            <w:bookmarkEnd w:id="4214"/>
            <w:r>
              <w:rPr>
                <w:rFonts w:hint="default" w:ascii="Times New Roman" w:hAnsi="Times New Roman" w:cs="Times New Roman"/>
                <w:color w:val="auto"/>
                <w:sz w:val="21"/>
                <w:szCs w:val="21"/>
                <w:highlight w:val="none"/>
              </w:rPr>
              <w:t>DZT 0064.17-2021</w:t>
            </w:r>
          </w:p>
        </w:tc>
        <w:tc>
          <w:tcPr>
            <w:tcW w:w="695" w:type="pct"/>
            <w:tcBorders>
              <w:tl2br w:val="nil"/>
              <w:tr2bl w:val="nil"/>
            </w:tcBorders>
            <w:noWrap w:val="0"/>
            <w:vAlign w:val="center"/>
          </w:tcPr>
          <w:p w14:paraId="3A545C9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15" w:name="_Toc28659"/>
            <w:bookmarkStart w:id="4216" w:name="_Toc24313"/>
            <w:r>
              <w:rPr>
                <w:rFonts w:hint="default" w:ascii="Times New Roman" w:hAnsi="Times New Roman" w:cs="Times New Roman"/>
                <w:color w:val="auto"/>
                <w:sz w:val="21"/>
                <w:szCs w:val="21"/>
                <w:highlight w:val="none"/>
              </w:rPr>
              <w:t>0.004</w:t>
            </w:r>
            <w:bookmarkEnd w:id="4215"/>
            <w:bookmarkEnd w:id="4216"/>
          </w:p>
          <w:p w14:paraId="05F68AA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17" w:name="_Toc2390"/>
            <w:bookmarkStart w:id="4218" w:name="_Toc30993"/>
            <w:r>
              <w:rPr>
                <w:rFonts w:hint="default" w:ascii="Times New Roman" w:hAnsi="Times New Roman" w:cs="Times New Roman"/>
                <w:color w:val="auto"/>
                <w:sz w:val="21"/>
                <w:szCs w:val="21"/>
                <w:highlight w:val="none"/>
              </w:rPr>
              <w:t>mg/L</w:t>
            </w:r>
            <w:bookmarkEnd w:id="4217"/>
            <w:bookmarkEnd w:id="4218"/>
          </w:p>
        </w:tc>
        <w:tc>
          <w:tcPr>
            <w:tcW w:w="921" w:type="pct"/>
            <w:tcBorders>
              <w:tl2br w:val="nil"/>
              <w:tr2bl w:val="nil"/>
            </w:tcBorders>
            <w:noWrap w:val="0"/>
            <w:vAlign w:val="center"/>
          </w:tcPr>
          <w:p w14:paraId="1D7B4A8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TU-1810型紫外可见分光光度计</w:t>
            </w:r>
          </w:p>
          <w:p w14:paraId="7011CC5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(ZRLHB-102)</w:t>
            </w:r>
          </w:p>
        </w:tc>
        <w:tc>
          <w:tcPr>
            <w:tcW w:w="1137" w:type="pct"/>
            <w:tcBorders>
              <w:tl2br w:val="nil"/>
              <w:tr2bl w:val="nil"/>
            </w:tcBorders>
            <w:noWrap w:val="0"/>
            <w:vAlign w:val="center"/>
          </w:tcPr>
          <w:p w14:paraId="578A992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r w14:paraId="48EF0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1E4FEFC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414B9E0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19" w:name="_Toc26757"/>
            <w:bookmarkStart w:id="4220" w:name="_Toc31757"/>
            <w:r>
              <w:rPr>
                <w:rFonts w:hint="default" w:ascii="Times New Roman" w:hAnsi="Times New Roman" w:cs="Times New Roman"/>
                <w:color w:val="auto"/>
                <w:sz w:val="21"/>
                <w:szCs w:val="21"/>
                <w:highlight w:val="none"/>
              </w:rPr>
              <w:t>铅</w:t>
            </w:r>
            <w:bookmarkEnd w:id="4219"/>
            <w:bookmarkEnd w:id="4220"/>
          </w:p>
        </w:tc>
        <w:tc>
          <w:tcPr>
            <w:tcW w:w="1150" w:type="pct"/>
            <w:tcBorders>
              <w:tl2br w:val="nil"/>
              <w:tr2bl w:val="nil"/>
            </w:tcBorders>
            <w:noWrap w:val="0"/>
            <w:vAlign w:val="center"/>
          </w:tcPr>
          <w:p w14:paraId="26FEB80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21" w:name="_Toc24115"/>
            <w:bookmarkStart w:id="4222" w:name="_Toc11090"/>
            <w:r>
              <w:rPr>
                <w:rFonts w:hint="default" w:ascii="Times New Roman" w:hAnsi="Times New Roman" w:cs="Times New Roman"/>
                <w:color w:val="auto"/>
                <w:sz w:val="21"/>
                <w:szCs w:val="21"/>
                <w:highlight w:val="none"/>
              </w:rPr>
              <w:t>《地下水质分析方法第21部分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铜、铅、锌、镉、镍、铬、钼和银量的测定 无火焰原子吸收分光光度法》</w:t>
            </w:r>
            <w:bookmarkEnd w:id="4221"/>
            <w:bookmarkEnd w:id="4222"/>
            <w:r>
              <w:rPr>
                <w:rFonts w:hint="default" w:ascii="Times New Roman" w:hAnsi="Times New Roman" w:cs="Times New Roman"/>
                <w:color w:val="auto"/>
                <w:sz w:val="21"/>
                <w:szCs w:val="21"/>
                <w:highlight w:val="none"/>
              </w:rPr>
              <w:t>DZT 0064.21-2021</w:t>
            </w:r>
          </w:p>
        </w:tc>
        <w:tc>
          <w:tcPr>
            <w:tcW w:w="695" w:type="pct"/>
            <w:tcBorders>
              <w:tl2br w:val="nil"/>
              <w:tr2bl w:val="nil"/>
            </w:tcBorders>
            <w:noWrap w:val="0"/>
            <w:vAlign w:val="center"/>
          </w:tcPr>
          <w:p w14:paraId="614CDE6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23" w:name="_Toc10127"/>
            <w:bookmarkStart w:id="4224" w:name="_Toc29937"/>
            <w:r>
              <w:rPr>
                <w:rFonts w:hint="eastAsia" w:cs="Times New Roman"/>
                <w:color w:val="auto"/>
                <w:sz w:val="21"/>
                <w:szCs w:val="21"/>
                <w:highlight w:val="none"/>
                <w:lang w:val="en-US" w:eastAsia="zh-CN"/>
              </w:rPr>
              <w:t>1.24u</w:t>
            </w:r>
            <w:r>
              <w:rPr>
                <w:rFonts w:hint="default" w:ascii="Times New Roman" w:hAnsi="Times New Roman" w:cs="Times New Roman"/>
                <w:color w:val="auto"/>
                <w:sz w:val="21"/>
                <w:szCs w:val="21"/>
                <w:highlight w:val="none"/>
              </w:rPr>
              <w:t>g/L</w:t>
            </w:r>
            <w:bookmarkEnd w:id="4223"/>
            <w:bookmarkEnd w:id="4224"/>
          </w:p>
        </w:tc>
        <w:tc>
          <w:tcPr>
            <w:tcW w:w="921" w:type="pct"/>
            <w:tcBorders>
              <w:tl2br w:val="nil"/>
              <w:tr2bl w:val="nil"/>
            </w:tcBorders>
            <w:noWrap w:val="0"/>
            <w:vAlign w:val="center"/>
          </w:tcPr>
          <w:p w14:paraId="287014E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AA-6880 原子吸收分光光度计</w:t>
            </w:r>
          </w:p>
          <w:p w14:paraId="32A066C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(ZRLHB-052)</w:t>
            </w:r>
          </w:p>
        </w:tc>
        <w:tc>
          <w:tcPr>
            <w:tcW w:w="1137" w:type="pct"/>
            <w:tcBorders>
              <w:tl2br w:val="nil"/>
              <w:tr2bl w:val="nil"/>
            </w:tcBorders>
            <w:noWrap w:val="0"/>
            <w:vAlign w:val="center"/>
          </w:tcPr>
          <w:p w14:paraId="4F2E1C05">
            <w:pPr>
              <w:pStyle w:val="29"/>
              <w:suppressLineNumbers w:val="0"/>
              <w:bidi w:val="0"/>
              <w:spacing w:beforeAutospacing="0" w:afterAutospacing="0"/>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2026.4.</w:t>
            </w:r>
            <w:r>
              <w:rPr>
                <w:rFonts w:hint="eastAsia" w:cs="Times New Roman"/>
                <w:color w:val="auto"/>
                <w:sz w:val="21"/>
                <w:szCs w:val="21"/>
                <w:highlight w:val="none"/>
                <w:lang w:val="en-US" w:eastAsia="zh-CN"/>
              </w:rPr>
              <w:t>22</w:t>
            </w:r>
          </w:p>
        </w:tc>
      </w:tr>
      <w:tr w14:paraId="49B117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446" w:type="pct"/>
            <w:vMerge w:val="continue"/>
            <w:tcBorders>
              <w:tl2br w:val="nil"/>
              <w:tr2bl w:val="nil"/>
            </w:tcBorders>
            <w:noWrap w:val="0"/>
            <w:vAlign w:val="center"/>
          </w:tcPr>
          <w:p w14:paraId="69A032B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649" w:type="pct"/>
            <w:tcBorders>
              <w:tl2br w:val="nil"/>
              <w:tr2bl w:val="nil"/>
            </w:tcBorders>
            <w:noWrap w:val="0"/>
            <w:vAlign w:val="center"/>
          </w:tcPr>
          <w:p w14:paraId="31BFB0C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25" w:name="_Toc32067"/>
            <w:bookmarkStart w:id="4226" w:name="_Toc25737"/>
            <w:r>
              <w:rPr>
                <w:rFonts w:hint="default" w:ascii="Times New Roman" w:hAnsi="Times New Roman" w:cs="Times New Roman"/>
                <w:color w:val="auto"/>
                <w:sz w:val="21"/>
                <w:szCs w:val="21"/>
                <w:highlight w:val="none"/>
              </w:rPr>
              <w:t>氟化物</w:t>
            </w:r>
            <w:bookmarkEnd w:id="4225"/>
            <w:bookmarkEnd w:id="4226"/>
          </w:p>
        </w:tc>
        <w:tc>
          <w:tcPr>
            <w:tcW w:w="1150" w:type="pct"/>
            <w:tcBorders>
              <w:tl2br w:val="nil"/>
              <w:tr2bl w:val="nil"/>
            </w:tcBorders>
            <w:noWrap w:val="0"/>
            <w:vAlign w:val="center"/>
          </w:tcPr>
          <w:p w14:paraId="6801A84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 氟化物的测定 离子选择电极法》GB7484-1987</w:t>
            </w:r>
          </w:p>
        </w:tc>
        <w:tc>
          <w:tcPr>
            <w:tcW w:w="695" w:type="pct"/>
            <w:tcBorders>
              <w:tl2br w:val="nil"/>
              <w:tr2bl w:val="nil"/>
            </w:tcBorders>
            <w:noWrap w:val="0"/>
            <w:vAlign w:val="center"/>
          </w:tcPr>
          <w:p w14:paraId="286CD5A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27" w:name="_Toc4191"/>
            <w:bookmarkStart w:id="4228" w:name="_Toc2490"/>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mg/L</w:t>
            </w:r>
            <w:bookmarkEnd w:id="4227"/>
            <w:bookmarkEnd w:id="4228"/>
          </w:p>
        </w:tc>
        <w:tc>
          <w:tcPr>
            <w:tcW w:w="921" w:type="pct"/>
            <w:tcBorders>
              <w:tl2br w:val="nil"/>
              <w:tr2bl w:val="nil"/>
            </w:tcBorders>
            <w:noWrap w:val="0"/>
            <w:vAlign w:val="center"/>
          </w:tcPr>
          <w:p w14:paraId="48272EF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PX8-270 型离子计</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ZRLHB-033</w:t>
            </w:r>
            <w:r>
              <w:rPr>
                <w:rFonts w:hint="eastAsia" w:cs="Times New Roman"/>
                <w:color w:val="auto"/>
                <w:sz w:val="21"/>
                <w:szCs w:val="21"/>
                <w:highlight w:val="none"/>
                <w:lang w:eastAsia="zh-CN"/>
              </w:rPr>
              <w:t>）</w:t>
            </w:r>
          </w:p>
        </w:tc>
        <w:tc>
          <w:tcPr>
            <w:tcW w:w="1137" w:type="pct"/>
            <w:tcBorders>
              <w:tl2br w:val="nil"/>
              <w:tr2bl w:val="nil"/>
            </w:tcBorders>
            <w:noWrap w:val="0"/>
            <w:vAlign w:val="center"/>
          </w:tcPr>
          <w:p w14:paraId="496C9B4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2026.4.14</w:t>
            </w:r>
          </w:p>
        </w:tc>
      </w:tr>
    </w:tbl>
    <w:p w14:paraId="75F3D6C0">
      <w:pPr>
        <w:rPr>
          <w:rFonts w:hint="default" w:ascii="Times New Roman" w:hAnsi="Times New Roman" w:cs="Times New Roman"/>
          <w:color w:val="auto"/>
          <w:highlight w:val="none"/>
          <w:lang w:val="en-US" w:eastAsia="zh-CN"/>
        </w:rPr>
        <w:sectPr>
          <w:pgSz w:w="16840" w:h="11910" w:orient="landscape"/>
          <w:pgMar w:top="1800" w:right="1440" w:bottom="1800" w:left="144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14:paraId="6476B303">
      <w:pPr>
        <w:pStyle w:val="2"/>
        <w:numPr>
          <w:ilvl w:val="0"/>
          <w:numId w:val="6"/>
        </w:numPr>
        <w:ind w:left="0" w:leftChars="0" w:firstLine="480" w:firstLineChars="200"/>
        <w:jc w:val="both"/>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检测结果</w:t>
      </w:r>
    </w:p>
    <w:p w14:paraId="4B3E082D">
      <w:pPr>
        <w:spacing w:line="480" w:lineRule="exact"/>
        <w:jc w:val="center"/>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表5.3-3地下水检测结果 单位：mg/L（注明除外）</w:t>
      </w:r>
    </w:p>
    <w:tbl>
      <w:tblPr>
        <w:tblStyle w:val="31"/>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193"/>
        <w:gridCol w:w="2610"/>
        <w:gridCol w:w="2278"/>
        <w:gridCol w:w="2658"/>
        <w:gridCol w:w="3426"/>
      </w:tblGrid>
      <w:tr w14:paraId="1CF24B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exact"/>
          <w:tblHeader/>
        </w:trPr>
        <w:tc>
          <w:tcPr>
            <w:tcW w:w="1127" w:type="pct"/>
            <w:vMerge w:val="restart"/>
            <w:tcBorders>
              <w:tl2br w:val="nil"/>
              <w:tr2bl w:val="nil"/>
            </w:tcBorders>
            <w:noWrap w:val="0"/>
            <w:vAlign w:val="center"/>
          </w:tcPr>
          <w:p w14:paraId="511182BF">
            <w:pPr>
              <w:pStyle w:val="11"/>
              <w:keepNext w:val="0"/>
              <w:keepLines w:val="0"/>
              <w:suppressLineNumbers w:val="0"/>
              <w:kinsoku w:val="0"/>
              <w:overflowPunct w:val="0"/>
              <w:spacing w:before="0" w:beforeLines="0" w:beforeAutospacing="0" w:afterLines="0" w:afterAutospacing="0" w:line="258" w:lineRule="exact"/>
              <w:ind w:left="0" w:leftChars="0" w:right="0" w:firstLine="0" w:firstLineChars="0"/>
              <w:jc w:val="center"/>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检测项目</w:t>
            </w:r>
          </w:p>
        </w:tc>
        <w:tc>
          <w:tcPr>
            <w:tcW w:w="2663" w:type="pct"/>
            <w:gridSpan w:val="3"/>
            <w:tcBorders>
              <w:right w:val="single" w:color="auto" w:sz="4" w:space="0"/>
              <w:tl2br w:val="nil"/>
              <w:tr2bl w:val="nil"/>
            </w:tcBorders>
            <w:noWrap w:val="0"/>
            <w:vAlign w:val="center"/>
          </w:tcPr>
          <w:p w14:paraId="2ABE43E2">
            <w:pPr>
              <w:pStyle w:val="29"/>
              <w:suppressLineNumbers w:val="0"/>
              <w:bidi w:val="0"/>
              <w:spacing w:beforeAutospacing="0" w:afterAutospacing="0"/>
              <w:ind w:left="0" w:right="0"/>
              <w:jc w:val="center"/>
              <w:outlineLvl w:val="9"/>
              <w:rPr>
                <w:rFonts w:hint="default" w:ascii="Times New Roman" w:hAnsi="Times New Roman" w:cs="Times New Roman"/>
                <w:b/>
                <w:bCs/>
                <w:color w:val="auto"/>
                <w:sz w:val="21"/>
                <w:szCs w:val="21"/>
                <w:highlight w:val="none"/>
              </w:rPr>
            </w:pPr>
            <w:bookmarkStart w:id="4229" w:name="_Toc25848"/>
            <w:bookmarkStart w:id="4230" w:name="_Toc5563"/>
            <w:bookmarkStart w:id="4231" w:name="_Toc8525"/>
            <w:r>
              <w:rPr>
                <w:rFonts w:hint="default" w:ascii="Times New Roman" w:hAnsi="Times New Roman" w:cs="Times New Roman"/>
                <w:b/>
                <w:bCs/>
                <w:color w:val="auto"/>
                <w:sz w:val="21"/>
                <w:szCs w:val="21"/>
                <w:highlight w:val="none"/>
              </w:rPr>
              <w:t>检测结果</w:t>
            </w:r>
            <w:bookmarkEnd w:id="4229"/>
            <w:bookmarkEnd w:id="4230"/>
            <w:bookmarkStart w:id="4232" w:name="_Toc22698"/>
          </w:p>
        </w:tc>
        <w:tc>
          <w:tcPr>
            <w:tcW w:w="1209" w:type="pct"/>
            <w:vMerge w:val="restart"/>
            <w:tcBorders>
              <w:tl2br w:val="nil"/>
              <w:tr2bl w:val="nil"/>
            </w:tcBorders>
            <w:noWrap w:val="0"/>
            <w:vAlign w:val="center"/>
          </w:tcPr>
          <w:p w14:paraId="3A00BA26">
            <w:pPr>
              <w:pStyle w:val="29"/>
              <w:suppressLineNumbers w:val="0"/>
              <w:bidi w:val="0"/>
              <w:spacing w:beforeAutospacing="0" w:afterAutospacing="0"/>
              <w:ind w:left="0" w:right="0"/>
              <w:jc w:val="center"/>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标准限值</w:t>
            </w:r>
            <w:bookmarkEnd w:id="4231"/>
            <w:bookmarkEnd w:id="4232"/>
          </w:p>
        </w:tc>
      </w:tr>
      <w:tr w14:paraId="3FB22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6" w:hRule="exact"/>
          <w:tblHeader/>
        </w:trPr>
        <w:tc>
          <w:tcPr>
            <w:tcW w:w="1127" w:type="pct"/>
            <w:vMerge w:val="continue"/>
            <w:tcBorders>
              <w:tl2br w:val="nil"/>
              <w:tr2bl w:val="nil"/>
            </w:tcBorders>
            <w:noWrap w:val="0"/>
            <w:vAlign w:val="center"/>
          </w:tcPr>
          <w:p w14:paraId="2C626C3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725" w:type="pct"/>
            <w:gridSpan w:val="2"/>
            <w:tcBorders>
              <w:right w:val="single" w:color="auto" w:sz="4" w:space="0"/>
              <w:tl2br w:val="nil"/>
              <w:tr2bl w:val="nil"/>
            </w:tcBorders>
            <w:noWrap w:val="0"/>
            <w:vAlign w:val="center"/>
          </w:tcPr>
          <w:p w14:paraId="50FE5983">
            <w:pPr>
              <w:pStyle w:val="29"/>
              <w:suppressLineNumbers w:val="0"/>
              <w:bidi w:val="0"/>
              <w:spacing w:beforeAutospacing="0" w:afterAutospacing="0"/>
              <w:ind w:left="0" w:right="0"/>
              <w:jc w:val="center"/>
              <w:outlineLvl w:val="9"/>
              <w:rPr>
                <w:rFonts w:hint="default" w:ascii="Times New Roman" w:hAnsi="Times New Roman" w:eastAsia="宋体" w:cs="Times New Roman"/>
                <w:b/>
                <w:color w:val="auto"/>
                <w:sz w:val="21"/>
                <w:szCs w:val="24"/>
                <w:highlight w:val="none"/>
                <w:lang w:val="en-US" w:eastAsia="zh-CN"/>
              </w:rPr>
            </w:pPr>
            <w:r>
              <w:rPr>
                <w:rFonts w:hint="eastAsia" w:ascii="Times New Roman" w:hAnsi="Times New Roman" w:eastAsia="宋体" w:cs="Times New Roman"/>
                <w:b/>
                <w:color w:val="auto"/>
                <w:sz w:val="21"/>
                <w:szCs w:val="24"/>
                <w:highlight w:val="none"/>
                <w:lang w:val="en-US" w:eastAsia="zh-CN"/>
              </w:rPr>
              <w:t>2025.12.5</w:t>
            </w:r>
          </w:p>
        </w:tc>
        <w:tc>
          <w:tcPr>
            <w:tcW w:w="938" w:type="pct"/>
            <w:tcBorders>
              <w:left w:val="single" w:color="auto" w:sz="4" w:space="0"/>
              <w:right w:val="single" w:color="auto" w:sz="4" w:space="0"/>
              <w:tl2br w:val="nil"/>
              <w:tr2bl w:val="nil"/>
            </w:tcBorders>
            <w:noWrap w:val="0"/>
            <w:vAlign w:val="center"/>
          </w:tcPr>
          <w:p w14:paraId="0B847F92">
            <w:pPr>
              <w:pStyle w:val="29"/>
              <w:suppressLineNumbers w:val="0"/>
              <w:bidi w:val="0"/>
              <w:spacing w:beforeAutospacing="0" w:afterAutospacing="0"/>
              <w:ind w:left="0" w:right="0"/>
              <w:jc w:val="center"/>
              <w:outlineLvl w:val="9"/>
              <w:rPr>
                <w:rFonts w:hint="default" w:ascii="Times New Roman" w:hAnsi="Times New Roman" w:eastAsia="宋体" w:cs="Times New Roman"/>
                <w:b/>
                <w:color w:val="auto"/>
                <w:sz w:val="21"/>
                <w:szCs w:val="24"/>
                <w:highlight w:val="none"/>
                <w:lang w:val="en-US" w:eastAsia="zh-CN"/>
              </w:rPr>
            </w:pPr>
            <w:r>
              <w:rPr>
                <w:rFonts w:hint="eastAsia" w:ascii="Times New Roman" w:hAnsi="Times New Roman" w:eastAsia="宋体" w:cs="Times New Roman"/>
                <w:b/>
                <w:color w:val="auto"/>
                <w:sz w:val="21"/>
                <w:szCs w:val="24"/>
                <w:highlight w:val="none"/>
                <w:lang w:val="en-US" w:eastAsia="zh-CN"/>
              </w:rPr>
              <w:t>2024.5.21</w:t>
            </w:r>
          </w:p>
        </w:tc>
        <w:tc>
          <w:tcPr>
            <w:tcW w:w="1209" w:type="pct"/>
            <w:vMerge w:val="continue"/>
            <w:tcBorders>
              <w:tl2br w:val="nil"/>
              <w:tr2bl w:val="nil"/>
            </w:tcBorders>
            <w:noWrap w:val="0"/>
            <w:vAlign w:val="center"/>
          </w:tcPr>
          <w:p w14:paraId="791E97F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07D455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blHeader/>
        </w:trPr>
        <w:tc>
          <w:tcPr>
            <w:tcW w:w="1127" w:type="pct"/>
            <w:vMerge w:val="continue"/>
            <w:tcBorders>
              <w:tl2br w:val="nil"/>
              <w:tr2bl w:val="nil"/>
            </w:tcBorders>
            <w:noWrap w:val="0"/>
            <w:vAlign w:val="center"/>
          </w:tcPr>
          <w:p w14:paraId="6AFB730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921" w:type="pct"/>
            <w:tcBorders>
              <w:tl2br w:val="nil"/>
              <w:tr2bl w:val="nil"/>
            </w:tcBorders>
            <w:noWrap w:val="0"/>
            <w:vAlign w:val="center"/>
          </w:tcPr>
          <w:p w14:paraId="2178FFFE">
            <w:pPr>
              <w:pStyle w:val="29"/>
              <w:suppressLineNumbers w:val="0"/>
              <w:bidi w:val="0"/>
              <w:spacing w:beforeAutospacing="0" w:afterAutospacing="0"/>
              <w:ind w:left="0" w:right="0"/>
              <w:jc w:val="center"/>
              <w:outlineLvl w:val="9"/>
              <w:rPr>
                <w:rFonts w:hint="default" w:ascii="Times New Roman" w:hAnsi="Times New Roman" w:cs="Times New Roman"/>
                <w:b/>
                <w:bCs/>
                <w:color w:val="auto"/>
                <w:sz w:val="21"/>
                <w:szCs w:val="21"/>
                <w:highlight w:val="none"/>
              </w:rPr>
            </w:pPr>
            <w:bookmarkStart w:id="4233" w:name="_Toc7564"/>
            <w:bookmarkStart w:id="4234" w:name="_Toc26232"/>
            <w:r>
              <w:rPr>
                <w:rFonts w:hint="default" w:ascii="Times New Roman" w:hAnsi="Times New Roman" w:cs="Times New Roman"/>
                <w:b/>
                <w:bCs/>
                <w:color w:val="auto"/>
                <w:sz w:val="21"/>
                <w:szCs w:val="21"/>
                <w:highlight w:val="none"/>
              </w:rPr>
              <w:t>1</w:t>
            </w:r>
            <w:r>
              <w:rPr>
                <w:rFonts w:hint="eastAsia" w:cs="Times New Roman"/>
                <w:b/>
                <w:bCs/>
                <w:color w:val="auto"/>
                <w:sz w:val="21"/>
                <w:szCs w:val="21"/>
                <w:highlight w:val="none"/>
                <w:vertAlign w:val="superscript"/>
                <w:lang w:eastAsia="zh-CN"/>
              </w:rPr>
              <w:t>#</w:t>
            </w:r>
            <w:r>
              <w:rPr>
                <w:rFonts w:hint="default" w:ascii="Times New Roman" w:hAnsi="Times New Roman" w:cs="Times New Roman"/>
                <w:b/>
                <w:bCs/>
                <w:color w:val="auto"/>
                <w:sz w:val="21"/>
                <w:szCs w:val="21"/>
                <w:highlight w:val="none"/>
              </w:rPr>
              <w:t>点位</w:t>
            </w:r>
            <w:bookmarkEnd w:id="4233"/>
            <w:bookmarkEnd w:id="4234"/>
          </w:p>
        </w:tc>
        <w:tc>
          <w:tcPr>
            <w:tcW w:w="804" w:type="pct"/>
            <w:tcBorders>
              <w:tl2br w:val="nil"/>
              <w:tr2bl w:val="nil"/>
            </w:tcBorders>
            <w:noWrap w:val="0"/>
            <w:vAlign w:val="center"/>
          </w:tcPr>
          <w:p w14:paraId="0EB05F4A">
            <w:pPr>
              <w:pStyle w:val="29"/>
              <w:suppressLineNumbers w:val="0"/>
              <w:bidi w:val="0"/>
              <w:spacing w:beforeAutospacing="0" w:afterAutospacing="0"/>
              <w:ind w:left="0" w:right="0"/>
              <w:jc w:val="center"/>
              <w:outlineLvl w:val="9"/>
              <w:rPr>
                <w:rFonts w:hint="default" w:ascii="Times New Roman" w:hAnsi="Times New Roman" w:cs="Times New Roman"/>
                <w:b/>
                <w:bCs/>
                <w:color w:val="auto"/>
                <w:sz w:val="21"/>
                <w:szCs w:val="21"/>
                <w:highlight w:val="none"/>
              </w:rPr>
            </w:pPr>
            <w:bookmarkStart w:id="4235" w:name="_Toc13639"/>
            <w:bookmarkStart w:id="4236" w:name="_Toc4942"/>
            <w:r>
              <w:rPr>
                <w:rFonts w:hint="default" w:ascii="Times New Roman" w:hAnsi="Times New Roman" w:cs="Times New Roman"/>
                <w:b/>
                <w:bCs/>
                <w:color w:val="auto"/>
                <w:sz w:val="21"/>
                <w:szCs w:val="21"/>
                <w:highlight w:val="none"/>
              </w:rPr>
              <w:t>2</w:t>
            </w:r>
            <w:r>
              <w:rPr>
                <w:rFonts w:hint="eastAsia" w:cs="Times New Roman"/>
                <w:b/>
                <w:bCs/>
                <w:color w:val="auto"/>
                <w:sz w:val="21"/>
                <w:szCs w:val="21"/>
                <w:highlight w:val="none"/>
                <w:vertAlign w:val="superscript"/>
                <w:lang w:eastAsia="zh-CN"/>
              </w:rPr>
              <w:t>#</w:t>
            </w:r>
            <w:r>
              <w:rPr>
                <w:rFonts w:hint="default" w:ascii="Times New Roman" w:hAnsi="Times New Roman" w:cs="Times New Roman"/>
                <w:b/>
                <w:bCs/>
                <w:color w:val="auto"/>
                <w:sz w:val="21"/>
                <w:szCs w:val="21"/>
                <w:highlight w:val="none"/>
              </w:rPr>
              <w:t>点位</w:t>
            </w:r>
            <w:bookmarkEnd w:id="4235"/>
            <w:bookmarkEnd w:id="4236"/>
          </w:p>
        </w:tc>
        <w:tc>
          <w:tcPr>
            <w:tcW w:w="938" w:type="pct"/>
            <w:tcBorders>
              <w:top w:val="single" w:color="auto" w:sz="4" w:space="0"/>
              <w:tl2br w:val="nil"/>
              <w:tr2bl w:val="nil"/>
            </w:tcBorders>
            <w:noWrap w:val="0"/>
            <w:vAlign w:val="center"/>
          </w:tcPr>
          <w:p w14:paraId="363E6A9E">
            <w:pPr>
              <w:pStyle w:val="29"/>
              <w:suppressLineNumbers w:val="0"/>
              <w:bidi w:val="0"/>
              <w:spacing w:beforeAutospacing="0" w:afterAutospacing="0"/>
              <w:ind w:left="0" w:right="0"/>
              <w:jc w:val="center"/>
              <w:outlineLvl w:val="9"/>
              <w:rPr>
                <w:rFonts w:hint="default" w:ascii="Times New Roman" w:hAnsi="Times New Roman" w:cs="Times New Roman"/>
                <w:b/>
                <w:bCs/>
                <w:color w:val="auto"/>
                <w:sz w:val="21"/>
                <w:szCs w:val="21"/>
                <w:highlight w:val="none"/>
              </w:rPr>
            </w:pPr>
            <w:bookmarkStart w:id="4237" w:name="_Toc12539"/>
            <w:bookmarkStart w:id="4238" w:name="_Toc18078"/>
            <w:r>
              <w:rPr>
                <w:rFonts w:hint="default" w:ascii="Times New Roman" w:hAnsi="Times New Roman" w:cs="Times New Roman"/>
                <w:b/>
                <w:bCs/>
                <w:color w:val="auto"/>
                <w:sz w:val="21"/>
                <w:szCs w:val="21"/>
                <w:highlight w:val="none"/>
              </w:rPr>
              <w:t>3</w:t>
            </w:r>
            <w:r>
              <w:rPr>
                <w:rFonts w:hint="eastAsia" w:cs="Times New Roman"/>
                <w:b/>
                <w:bCs/>
                <w:color w:val="auto"/>
                <w:sz w:val="21"/>
                <w:szCs w:val="21"/>
                <w:highlight w:val="none"/>
                <w:vertAlign w:val="superscript"/>
                <w:lang w:eastAsia="zh-CN"/>
              </w:rPr>
              <w:t>#</w:t>
            </w:r>
            <w:r>
              <w:rPr>
                <w:rFonts w:hint="default" w:ascii="Times New Roman" w:hAnsi="Times New Roman" w:cs="Times New Roman"/>
                <w:b/>
                <w:bCs/>
                <w:color w:val="auto"/>
                <w:sz w:val="21"/>
                <w:szCs w:val="21"/>
                <w:highlight w:val="none"/>
              </w:rPr>
              <w:t>点位</w:t>
            </w:r>
            <w:bookmarkEnd w:id="4237"/>
            <w:bookmarkEnd w:id="4238"/>
          </w:p>
        </w:tc>
        <w:tc>
          <w:tcPr>
            <w:tcW w:w="1209" w:type="pct"/>
            <w:vMerge w:val="continue"/>
            <w:tcBorders>
              <w:tl2br w:val="nil"/>
              <w:tr2bl w:val="nil"/>
            </w:tcBorders>
            <w:noWrap w:val="0"/>
            <w:vAlign w:val="center"/>
          </w:tcPr>
          <w:p w14:paraId="7AB19FC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r w14:paraId="76C2DA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3ADB541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39" w:name="_Toc6578"/>
            <w:bookmarkStart w:id="4240" w:name="_Toc4310"/>
            <w:r>
              <w:rPr>
                <w:rFonts w:hint="default" w:ascii="Times New Roman" w:hAnsi="Times New Roman" w:cs="Times New Roman"/>
                <w:color w:val="auto"/>
                <w:sz w:val="21"/>
                <w:szCs w:val="21"/>
                <w:highlight w:val="none"/>
              </w:rPr>
              <w:t>总硬度</w:t>
            </w:r>
            <w:bookmarkEnd w:id="4239"/>
            <w:bookmarkEnd w:id="4240"/>
          </w:p>
        </w:tc>
        <w:tc>
          <w:tcPr>
            <w:tcW w:w="921" w:type="pct"/>
            <w:tcBorders>
              <w:tl2br w:val="nil"/>
              <w:tr2bl w:val="nil"/>
            </w:tcBorders>
            <w:noWrap w:val="0"/>
            <w:vAlign w:val="center"/>
          </w:tcPr>
          <w:p w14:paraId="4460DA3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591</w:t>
            </w:r>
          </w:p>
        </w:tc>
        <w:tc>
          <w:tcPr>
            <w:tcW w:w="804" w:type="pct"/>
            <w:tcBorders>
              <w:tl2br w:val="nil"/>
              <w:tr2bl w:val="nil"/>
            </w:tcBorders>
            <w:noWrap w:val="0"/>
            <w:vAlign w:val="center"/>
          </w:tcPr>
          <w:p w14:paraId="5EFCFFB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414</w:t>
            </w:r>
          </w:p>
        </w:tc>
        <w:tc>
          <w:tcPr>
            <w:tcW w:w="938" w:type="pct"/>
            <w:tcBorders>
              <w:tl2br w:val="nil"/>
              <w:tr2bl w:val="nil"/>
            </w:tcBorders>
            <w:noWrap w:val="0"/>
            <w:vAlign w:val="center"/>
          </w:tcPr>
          <w:p w14:paraId="2228720F">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bidi="ar-SA"/>
              </w:rPr>
              <w:t>238</w:t>
            </w:r>
          </w:p>
        </w:tc>
        <w:tc>
          <w:tcPr>
            <w:tcW w:w="1209" w:type="pct"/>
            <w:tcBorders>
              <w:tl2br w:val="nil"/>
              <w:tr2bl w:val="nil"/>
            </w:tcBorders>
            <w:noWrap w:val="0"/>
            <w:vAlign w:val="center"/>
          </w:tcPr>
          <w:p w14:paraId="292B970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41" w:name="_Toc12698"/>
            <w:bookmarkStart w:id="4242" w:name="_Toc6616"/>
            <w:r>
              <w:rPr>
                <w:rFonts w:hint="default" w:ascii="Times New Roman" w:hAnsi="Times New Roman" w:cs="Times New Roman"/>
                <w:color w:val="auto"/>
                <w:sz w:val="21"/>
                <w:szCs w:val="21"/>
                <w:highlight w:val="none"/>
              </w:rPr>
              <w:t>≤450</w:t>
            </w:r>
            <w:bookmarkEnd w:id="4241"/>
            <w:bookmarkEnd w:id="4242"/>
          </w:p>
        </w:tc>
      </w:tr>
      <w:tr w14:paraId="3D2E4F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75131E5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43" w:name="_Toc3574"/>
            <w:bookmarkStart w:id="4244" w:name="_Toc27179"/>
            <w:r>
              <w:rPr>
                <w:rFonts w:hint="default" w:ascii="Times New Roman" w:hAnsi="Times New Roman" w:cs="Times New Roman"/>
                <w:color w:val="auto"/>
                <w:sz w:val="21"/>
                <w:szCs w:val="21"/>
                <w:highlight w:val="none"/>
              </w:rPr>
              <w:t>pH值</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无量纲</w:t>
            </w:r>
            <w:r>
              <w:rPr>
                <w:rFonts w:hint="eastAsia" w:cs="Times New Roman"/>
                <w:color w:val="auto"/>
                <w:sz w:val="21"/>
                <w:szCs w:val="21"/>
                <w:highlight w:val="none"/>
                <w:lang w:eastAsia="zh-CN"/>
              </w:rPr>
              <w:t>）</w:t>
            </w:r>
            <w:bookmarkEnd w:id="4243"/>
            <w:bookmarkEnd w:id="4244"/>
          </w:p>
        </w:tc>
        <w:tc>
          <w:tcPr>
            <w:tcW w:w="921" w:type="pct"/>
            <w:tcBorders>
              <w:tl2br w:val="nil"/>
              <w:tr2bl w:val="nil"/>
            </w:tcBorders>
            <w:noWrap w:val="0"/>
            <w:vAlign w:val="center"/>
          </w:tcPr>
          <w:p w14:paraId="4582B98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7.4</w:t>
            </w:r>
          </w:p>
        </w:tc>
        <w:tc>
          <w:tcPr>
            <w:tcW w:w="804" w:type="pct"/>
            <w:tcBorders>
              <w:tl2br w:val="nil"/>
              <w:tr2bl w:val="nil"/>
            </w:tcBorders>
            <w:noWrap w:val="0"/>
            <w:vAlign w:val="center"/>
          </w:tcPr>
          <w:p w14:paraId="1761D1B0">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7.6</w:t>
            </w:r>
          </w:p>
        </w:tc>
        <w:tc>
          <w:tcPr>
            <w:tcW w:w="938" w:type="pct"/>
            <w:tcBorders>
              <w:tl2br w:val="nil"/>
              <w:tr2bl w:val="nil"/>
            </w:tcBorders>
            <w:noWrap w:val="0"/>
            <w:vAlign w:val="center"/>
          </w:tcPr>
          <w:p w14:paraId="23CFEE80">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7.45</w:t>
            </w:r>
          </w:p>
        </w:tc>
        <w:tc>
          <w:tcPr>
            <w:tcW w:w="1209" w:type="pct"/>
            <w:tcBorders>
              <w:tl2br w:val="nil"/>
              <w:tr2bl w:val="nil"/>
            </w:tcBorders>
            <w:noWrap w:val="0"/>
            <w:vAlign w:val="center"/>
          </w:tcPr>
          <w:p w14:paraId="2342479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45" w:name="_Toc13934"/>
            <w:bookmarkStart w:id="4246" w:name="_Toc5124"/>
            <w:r>
              <w:rPr>
                <w:rFonts w:hint="default" w:ascii="Times New Roman" w:hAnsi="Times New Roman" w:cs="Times New Roman"/>
                <w:color w:val="auto"/>
                <w:sz w:val="21"/>
                <w:szCs w:val="21"/>
                <w:highlight w:val="none"/>
              </w:rPr>
              <w:t>6.5~8.5</w:t>
            </w:r>
            <w:bookmarkEnd w:id="4245"/>
            <w:bookmarkEnd w:id="4246"/>
          </w:p>
        </w:tc>
      </w:tr>
      <w:tr w14:paraId="2510F0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4E94936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47" w:name="_Toc3277"/>
            <w:bookmarkStart w:id="4248" w:name="_Toc2040"/>
            <w:r>
              <w:rPr>
                <w:rFonts w:hint="default" w:ascii="Times New Roman" w:hAnsi="Times New Roman" w:cs="Times New Roman"/>
                <w:color w:val="auto"/>
                <w:sz w:val="21"/>
                <w:szCs w:val="21"/>
                <w:highlight w:val="none"/>
              </w:rPr>
              <w:t>溶解性总固体</w:t>
            </w:r>
            <w:bookmarkEnd w:id="4247"/>
            <w:bookmarkEnd w:id="4248"/>
          </w:p>
        </w:tc>
        <w:tc>
          <w:tcPr>
            <w:tcW w:w="921" w:type="pct"/>
            <w:tcBorders>
              <w:tl2br w:val="nil"/>
              <w:tr2bl w:val="nil"/>
            </w:tcBorders>
            <w:noWrap w:val="0"/>
            <w:vAlign w:val="center"/>
          </w:tcPr>
          <w:p w14:paraId="38D8EEF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987</w:t>
            </w:r>
          </w:p>
        </w:tc>
        <w:tc>
          <w:tcPr>
            <w:tcW w:w="804" w:type="pct"/>
            <w:tcBorders>
              <w:tl2br w:val="nil"/>
              <w:tr2bl w:val="nil"/>
            </w:tcBorders>
            <w:noWrap w:val="0"/>
            <w:vAlign w:val="center"/>
          </w:tcPr>
          <w:p w14:paraId="1A64C084">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730</w:t>
            </w:r>
          </w:p>
        </w:tc>
        <w:tc>
          <w:tcPr>
            <w:tcW w:w="938" w:type="pct"/>
            <w:tcBorders>
              <w:tl2br w:val="nil"/>
              <w:tr2bl w:val="nil"/>
            </w:tcBorders>
            <w:shd w:val="clear" w:color="auto" w:fill="auto"/>
            <w:noWrap w:val="0"/>
            <w:vAlign w:val="center"/>
          </w:tcPr>
          <w:p w14:paraId="33135FE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756</w:t>
            </w:r>
          </w:p>
        </w:tc>
        <w:tc>
          <w:tcPr>
            <w:tcW w:w="1209" w:type="pct"/>
            <w:tcBorders>
              <w:tl2br w:val="nil"/>
              <w:tr2bl w:val="nil"/>
            </w:tcBorders>
            <w:noWrap w:val="0"/>
            <w:vAlign w:val="center"/>
          </w:tcPr>
          <w:p w14:paraId="2DBE182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49" w:name="_Toc19283"/>
            <w:bookmarkStart w:id="4250" w:name="_Toc30054"/>
            <w:r>
              <w:rPr>
                <w:rFonts w:hint="default" w:ascii="Times New Roman" w:hAnsi="Times New Roman" w:cs="Times New Roman"/>
                <w:color w:val="auto"/>
                <w:sz w:val="21"/>
                <w:szCs w:val="21"/>
                <w:highlight w:val="none"/>
              </w:rPr>
              <w:t>≤1000</w:t>
            </w:r>
            <w:bookmarkEnd w:id="4249"/>
            <w:bookmarkEnd w:id="4250"/>
          </w:p>
        </w:tc>
      </w:tr>
      <w:tr w14:paraId="7C7C6C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0A0C97A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51" w:name="_Toc20424"/>
            <w:bookmarkStart w:id="4252" w:name="_Toc1865"/>
            <w:r>
              <w:rPr>
                <w:rFonts w:hint="default" w:ascii="Times New Roman" w:hAnsi="Times New Roman" w:cs="Times New Roman"/>
                <w:color w:val="auto"/>
                <w:sz w:val="21"/>
                <w:szCs w:val="21"/>
                <w:highlight w:val="none"/>
              </w:rPr>
              <w:t>硫酸盐</w:t>
            </w:r>
            <w:bookmarkEnd w:id="4251"/>
            <w:bookmarkEnd w:id="4252"/>
          </w:p>
        </w:tc>
        <w:tc>
          <w:tcPr>
            <w:tcW w:w="921" w:type="pct"/>
            <w:tcBorders>
              <w:tl2br w:val="nil"/>
              <w:tr2bl w:val="nil"/>
            </w:tcBorders>
            <w:noWrap w:val="0"/>
            <w:vAlign w:val="center"/>
          </w:tcPr>
          <w:p w14:paraId="58A81394">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301</w:t>
            </w:r>
          </w:p>
        </w:tc>
        <w:tc>
          <w:tcPr>
            <w:tcW w:w="804" w:type="pct"/>
            <w:tcBorders>
              <w:tl2br w:val="nil"/>
              <w:tr2bl w:val="nil"/>
            </w:tcBorders>
            <w:noWrap w:val="0"/>
            <w:vAlign w:val="center"/>
          </w:tcPr>
          <w:p w14:paraId="3C82AF6F">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216</w:t>
            </w:r>
          </w:p>
        </w:tc>
        <w:tc>
          <w:tcPr>
            <w:tcW w:w="2658" w:type="dxa"/>
            <w:tcBorders>
              <w:tl2br w:val="nil"/>
              <w:tr2bl w:val="nil"/>
            </w:tcBorders>
            <w:shd w:val="clear" w:color="auto" w:fill="auto"/>
            <w:noWrap w:val="0"/>
            <w:vAlign w:val="center"/>
          </w:tcPr>
          <w:p w14:paraId="0084C1E2">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756</w:t>
            </w:r>
          </w:p>
        </w:tc>
        <w:tc>
          <w:tcPr>
            <w:tcW w:w="1209" w:type="pct"/>
            <w:tcBorders>
              <w:tl2br w:val="nil"/>
              <w:tr2bl w:val="nil"/>
            </w:tcBorders>
            <w:noWrap w:val="0"/>
            <w:vAlign w:val="center"/>
          </w:tcPr>
          <w:p w14:paraId="69C74A3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53" w:name="_Toc20649"/>
            <w:bookmarkStart w:id="4254" w:name="_Toc8887"/>
            <w:r>
              <w:rPr>
                <w:rFonts w:hint="default" w:ascii="Times New Roman" w:hAnsi="Times New Roman" w:cs="Times New Roman"/>
                <w:color w:val="auto"/>
                <w:sz w:val="21"/>
                <w:szCs w:val="21"/>
                <w:highlight w:val="none"/>
              </w:rPr>
              <w:t>≤250</w:t>
            </w:r>
            <w:bookmarkEnd w:id="4253"/>
            <w:bookmarkEnd w:id="4254"/>
          </w:p>
        </w:tc>
      </w:tr>
      <w:tr w14:paraId="0AB95D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7A3D2D9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55" w:name="_Toc26038"/>
            <w:bookmarkStart w:id="4256" w:name="_Toc7056"/>
            <w:r>
              <w:rPr>
                <w:rFonts w:hint="default" w:ascii="Times New Roman" w:hAnsi="Times New Roman" w:cs="Times New Roman"/>
                <w:color w:val="auto"/>
                <w:sz w:val="21"/>
                <w:szCs w:val="21"/>
                <w:highlight w:val="none"/>
              </w:rPr>
              <w:t>氯化物</w:t>
            </w:r>
            <w:bookmarkEnd w:id="4255"/>
            <w:bookmarkEnd w:id="4256"/>
          </w:p>
        </w:tc>
        <w:tc>
          <w:tcPr>
            <w:tcW w:w="921" w:type="pct"/>
            <w:tcBorders>
              <w:tl2br w:val="nil"/>
              <w:tr2bl w:val="nil"/>
            </w:tcBorders>
            <w:noWrap w:val="0"/>
            <w:vAlign w:val="center"/>
          </w:tcPr>
          <w:p w14:paraId="1A5763D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51</w:t>
            </w:r>
          </w:p>
        </w:tc>
        <w:tc>
          <w:tcPr>
            <w:tcW w:w="804" w:type="pct"/>
            <w:tcBorders>
              <w:tl2br w:val="nil"/>
              <w:tr2bl w:val="nil"/>
            </w:tcBorders>
            <w:noWrap w:val="0"/>
            <w:vAlign w:val="center"/>
          </w:tcPr>
          <w:p w14:paraId="0A67669D">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bidi="ar-SA"/>
              </w:rPr>
              <w:t>44</w:t>
            </w:r>
          </w:p>
        </w:tc>
        <w:tc>
          <w:tcPr>
            <w:tcW w:w="2658" w:type="dxa"/>
            <w:tcBorders>
              <w:tl2br w:val="nil"/>
              <w:tr2bl w:val="nil"/>
            </w:tcBorders>
            <w:noWrap w:val="0"/>
            <w:vAlign w:val="center"/>
          </w:tcPr>
          <w:p w14:paraId="20BB2E08">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756</w:t>
            </w:r>
          </w:p>
        </w:tc>
        <w:tc>
          <w:tcPr>
            <w:tcW w:w="1209" w:type="pct"/>
            <w:tcBorders>
              <w:tl2br w:val="nil"/>
              <w:tr2bl w:val="nil"/>
            </w:tcBorders>
            <w:noWrap w:val="0"/>
            <w:vAlign w:val="center"/>
          </w:tcPr>
          <w:p w14:paraId="6A78206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57" w:name="_Toc3141"/>
            <w:bookmarkStart w:id="4258" w:name="_Toc17886"/>
            <w:r>
              <w:rPr>
                <w:rFonts w:hint="default" w:ascii="Times New Roman" w:hAnsi="Times New Roman" w:cs="Times New Roman"/>
                <w:color w:val="auto"/>
                <w:sz w:val="21"/>
                <w:szCs w:val="21"/>
                <w:highlight w:val="none"/>
              </w:rPr>
              <w:t>≤250</w:t>
            </w:r>
            <w:bookmarkEnd w:id="4257"/>
            <w:bookmarkEnd w:id="4258"/>
          </w:p>
        </w:tc>
      </w:tr>
      <w:tr w14:paraId="098422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0B07E3C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59" w:name="_Toc20627"/>
            <w:bookmarkStart w:id="4260" w:name="_Toc20017"/>
            <w:r>
              <w:rPr>
                <w:rFonts w:hint="default" w:ascii="Times New Roman" w:hAnsi="Times New Roman" w:cs="Times New Roman"/>
                <w:color w:val="auto"/>
                <w:sz w:val="21"/>
                <w:szCs w:val="21"/>
                <w:highlight w:val="none"/>
              </w:rPr>
              <w:t>铁</w:t>
            </w:r>
            <w:bookmarkEnd w:id="4259"/>
            <w:bookmarkEnd w:id="4260"/>
          </w:p>
        </w:tc>
        <w:tc>
          <w:tcPr>
            <w:tcW w:w="921" w:type="pct"/>
            <w:tcBorders>
              <w:tl2br w:val="nil"/>
              <w:tr2bl w:val="nil"/>
            </w:tcBorders>
            <w:noWrap w:val="0"/>
            <w:vAlign w:val="center"/>
          </w:tcPr>
          <w:p w14:paraId="5F614E74">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0.02L</w:t>
            </w:r>
          </w:p>
        </w:tc>
        <w:tc>
          <w:tcPr>
            <w:tcW w:w="804" w:type="pct"/>
            <w:tcBorders>
              <w:tl2br w:val="nil"/>
              <w:tr2bl w:val="nil"/>
            </w:tcBorders>
            <w:noWrap w:val="0"/>
            <w:vAlign w:val="center"/>
          </w:tcPr>
          <w:p w14:paraId="191055C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0.02L</w:t>
            </w:r>
          </w:p>
        </w:tc>
        <w:tc>
          <w:tcPr>
            <w:tcW w:w="938" w:type="pct"/>
            <w:tcBorders>
              <w:tl2br w:val="nil"/>
              <w:tr2bl w:val="nil"/>
            </w:tcBorders>
            <w:noWrap w:val="0"/>
            <w:vAlign w:val="center"/>
          </w:tcPr>
          <w:p w14:paraId="2430D33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0.03L</w:t>
            </w:r>
          </w:p>
        </w:tc>
        <w:tc>
          <w:tcPr>
            <w:tcW w:w="1209" w:type="pct"/>
            <w:tcBorders>
              <w:tl2br w:val="nil"/>
              <w:tr2bl w:val="nil"/>
            </w:tcBorders>
            <w:noWrap w:val="0"/>
            <w:vAlign w:val="center"/>
          </w:tcPr>
          <w:p w14:paraId="4353040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61" w:name="_Toc20295"/>
            <w:bookmarkStart w:id="4262" w:name="_Toc7587"/>
            <w:r>
              <w:rPr>
                <w:rFonts w:hint="default" w:ascii="Times New Roman" w:hAnsi="Times New Roman" w:cs="Times New Roman"/>
                <w:color w:val="auto"/>
                <w:sz w:val="21"/>
                <w:szCs w:val="21"/>
                <w:highlight w:val="none"/>
              </w:rPr>
              <w:t>≤0.3</w:t>
            </w:r>
            <w:bookmarkEnd w:id="4261"/>
            <w:bookmarkEnd w:id="4262"/>
          </w:p>
        </w:tc>
      </w:tr>
      <w:tr w14:paraId="38BC32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4259E1E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63" w:name="_Toc31287"/>
            <w:bookmarkStart w:id="4264" w:name="_Toc12"/>
            <w:r>
              <w:rPr>
                <w:rFonts w:hint="default" w:ascii="Times New Roman" w:hAnsi="Times New Roman" w:cs="Times New Roman"/>
                <w:color w:val="auto"/>
                <w:sz w:val="21"/>
                <w:szCs w:val="21"/>
                <w:highlight w:val="none"/>
              </w:rPr>
              <w:t>锰</w:t>
            </w:r>
            <w:bookmarkEnd w:id="4263"/>
            <w:bookmarkEnd w:id="4264"/>
          </w:p>
        </w:tc>
        <w:tc>
          <w:tcPr>
            <w:tcW w:w="921" w:type="pct"/>
            <w:tcBorders>
              <w:tl2br w:val="nil"/>
              <w:tr2bl w:val="nil"/>
            </w:tcBorders>
            <w:noWrap w:val="0"/>
            <w:vAlign w:val="center"/>
          </w:tcPr>
          <w:p w14:paraId="17084AB3">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0.004L</w:t>
            </w:r>
          </w:p>
        </w:tc>
        <w:tc>
          <w:tcPr>
            <w:tcW w:w="804" w:type="pct"/>
            <w:tcBorders>
              <w:tl2br w:val="nil"/>
              <w:tr2bl w:val="nil"/>
            </w:tcBorders>
            <w:noWrap w:val="0"/>
            <w:vAlign w:val="center"/>
          </w:tcPr>
          <w:p w14:paraId="56602342">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0.004L</w:t>
            </w:r>
          </w:p>
        </w:tc>
        <w:tc>
          <w:tcPr>
            <w:tcW w:w="938" w:type="pct"/>
            <w:tcBorders>
              <w:tl2br w:val="nil"/>
              <w:tr2bl w:val="nil"/>
            </w:tcBorders>
            <w:noWrap w:val="0"/>
            <w:vAlign w:val="center"/>
          </w:tcPr>
          <w:p w14:paraId="33F83BC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0.01L</w:t>
            </w:r>
          </w:p>
        </w:tc>
        <w:tc>
          <w:tcPr>
            <w:tcW w:w="1209" w:type="pct"/>
            <w:tcBorders>
              <w:tl2br w:val="nil"/>
              <w:tr2bl w:val="nil"/>
            </w:tcBorders>
            <w:noWrap w:val="0"/>
            <w:vAlign w:val="center"/>
          </w:tcPr>
          <w:p w14:paraId="15BE8F1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65" w:name="_Toc13528"/>
            <w:bookmarkStart w:id="4266" w:name="_Toc16430"/>
            <w:r>
              <w:rPr>
                <w:rFonts w:hint="default" w:ascii="Times New Roman" w:hAnsi="Times New Roman" w:cs="Times New Roman"/>
                <w:color w:val="auto"/>
                <w:sz w:val="21"/>
                <w:szCs w:val="21"/>
                <w:highlight w:val="none"/>
              </w:rPr>
              <w:t>≤0.10</w:t>
            </w:r>
            <w:bookmarkEnd w:id="4265"/>
            <w:bookmarkEnd w:id="4266"/>
          </w:p>
        </w:tc>
      </w:tr>
      <w:tr w14:paraId="6842FF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1C0197C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67" w:name="_Toc22140"/>
            <w:bookmarkStart w:id="4268" w:name="_Toc17603"/>
            <w:r>
              <w:rPr>
                <w:rFonts w:hint="default" w:ascii="Times New Roman" w:hAnsi="Times New Roman" w:cs="Times New Roman"/>
                <w:color w:val="auto"/>
                <w:sz w:val="21"/>
                <w:szCs w:val="21"/>
                <w:highlight w:val="none"/>
              </w:rPr>
              <w:t>铜</w:t>
            </w:r>
            <w:bookmarkEnd w:id="4267"/>
            <w:bookmarkEnd w:id="4268"/>
          </w:p>
        </w:tc>
        <w:tc>
          <w:tcPr>
            <w:tcW w:w="921" w:type="pct"/>
            <w:tcBorders>
              <w:tl2br w:val="nil"/>
              <w:tr2bl w:val="nil"/>
            </w:tcBorders>
            <w:noWrap w:val="0"/>
            <w:vAlign w:val="center"/>
          </w:tcPr>
          <w:p w14:paraId="105997C3">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0.006L</w:t>
            </w:r>
          </w:p>
        </w:tc>
        <w:tc>
          <w:tcPr>
            <w:tcW w:w="804" w:type="pct"/>
            <w:tcBorders>
              <w:tl2br w:val="nil"/>
              <w:tr2bl w:val="nil"/>
            </w:tcBorders>
            <w:noWrap w:val="0"/>
            <w:vAlign w:val="center"/>
          </w:tcPr>
          <w:p w14:paraId="08462D5B">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0.006L</w:t>
            </w:r>
          </w:p>
        </w:tc>
        <w:tc>
          <w:tcPr>
            <w:tcW w:w="938" w:type="pct"/>
            <w:tcBorders>
              <w:tl2br w:val="nil"/>
              <w:tr2bl w:val="nil"/>
            </w:tcBorders>
            <w:noWrap w:val="0"/>
            <w:vAlign w:val="center"/>
          </w:tcPr>
          <w:p w14:paraId="053E3627">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bidi="ar-SA"/>
              </w:rPr>
              <w:t>/</w:t>
            </w:r>
          </w:p>
        </w:tc>
        <w:tc>
          <w:tcPr>
            <w:tcW w:w="1209" w:type="pct"/>
            <w:tcBorders>
              <w:tl2br w:val="nil"/>
              <w:tr2bl w:val="nil"/>
            </w:tcBorders>
            <w:noWrap w:val="0"/>
            <w:vAlign w:val="center"/>
          </w:tcPr>
          <w:p w14:paraId="2545242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69" w:name="_Toc3012"/>
            <w:bookmarkStart w:id="4270" w:name="_Toc15771"/>
            <w:r>
              <w:rPr>
                <w:rFonts w:hint="default" w:ascii="Times New Roman" w:hAnsi="Times New Roman" w:cs="Times New Roman"/>
                <w:color w:val="auto"/>
                <w:sz w:val="21"/>
                <w:szCs w:val="21"/>
                <w:highlight w:val="none"/>
              </w:rPr>
              <w:t>≤1.0</w:t>
            </w:r>
            <w:bookmarkEnd w:id="4269"/>
            <w:bookmarkEnd w:id="4270"/>
          </w:p>
        </w:tc>
      </w:tr>
      <w:tr w14:paraId="3AB469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1BBB949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71" w:name="_Toc8991"/>
            <w:bookmarkStart w:id="4272" w:name="_Toc8862"/>
            <w:r>
              <w:rPr>
                <w:rFonts w:hint="default" w:ascii="Times New Roman" w:hAnsi="Times New Roman" w:cs="Times New Roman"/>
                <w:color w:val="auto"/>
                <w:sz w:val="21"/>
                <w:szCs w:val="21"/>
                <w:highlight w:val="none"/>
              </w:rPr>
              <w:t>锌</w:t>
            </w:r>
            <w:bookmarkEnd w:id="4271"/>
            <w:bookmarkEnd w:id="4272"/>
          </w:p>
        </w:tc>
        <w:tc>
          <w:tcPr>
            <w:tcW w:w="921" w:type="pct"/>
            <w:tcBorders>
              <w:tl2br w:val="nil"/>
              <w:tr2bl w:val="nil"/>
            </w:tcBorders>
            <w:noWrap w:val="0"/>
            <w:vAlign w:val="center"/>
          </w:tcPr>
          <w:p w14:paraId="5393CE2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0.004L</w:t>
            </w:r>
          </w:p>
        </w:tc>
        <w:tc>
          <w:tcPr>
            <w:tcW w:w="804" w:type="pct"/>
            <w:tcBorders>
              <w:tl2br w:val="nil"/>
              <w:tr2bl w:val="nil"/>
            </w:tcBorders>
            <w:noWrap w:val="0"/>
            <w:vAlign w:val="center"/>
          </w:tcPr>
          <w:p w14:paraId="2AF15BF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0.004L</w:t>
            </w:r>
          </w:p>
        </w:tc>
        <w:tc>
          <w:tcPr>
            <w:tcW w:w="938" w:type="pct"/>
            <w:tcBorders>
              <w:tl2br w:val="nil"/>
              <w:tr2bl w:val="nil"/>
            </w:tcBorders>
            <w:noWrap w:val="0"/>
            <w:vAlign w:val="center"/>
          </w:tcPr>
          <w:p w14:paraId="59A88331">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bidi="ar-SA"/>
              </w:rPr>
              <w:t>/</w:t>
            </w:r>
          </w:p>
        </w:tc>
        <w:tc>
          <w:tcPr>
            <w:tcW w:w="1209" w:type="pct"/>
            <w:tcBorders>
              <w:tl2br w:val="nil"/>
              <w:tr2bl w:val="nil"/>
            </w:tcBorders>
            <w:noWrap w:val="0"/>
            <w:vAlign w:val="center"/>
          </w:tcPr>
          <w:p w14:paraId="60ED751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73" w:name="_Toc716"/>
            <w:bookmarkStart w:id="4274" w:name="_Toc7201"/>
            <w:r>
              <w:rPr>
                <w:rFonts w:hint="default" w:ascii="Times New Roman" w:hAnsi="Times New Roman" w:cs="Times New Roman"/>
                <w:color w:val="auto"/>
                <w:sz w:val="21"/>
                <w:szCs w:val="21"/>
                <w:highlight w:val="none"/>
              </w:rPr>
              <w:t>≤1.0</w:t>
            </w:r>
            <w:bookmarkEnd w:id="4273"/>
            <w:bookmarkEnd w:id="4274"/>
          </w:p>
        </w:tc>
      </w:tr>
      <w:tr w14:paraId="7AE608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4388879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75" w:name="_Toc29994"/>
            <w:bookmarkStart w:id="4276" w:name="_Toc23859"/>
            <w:r>
              <w:rPr>
                <w:rFonts w:hint="default" w:ascii="Times New Roman" w:hAnsi="Times New Roman" w:cs="Times New Roman"/>
                <w:color w:val="auto"/>
                <w:sz w:val="21"/>
                <w:szCs w:val="21"/>
                <w:highlight w:val="none"/>
              </w:rPr>
              <w:t>挥发性酚类</w:t>
            </w:r>
            <w:bookmarkEnd w:id="4275"/>
            <w:bookmarkEnd w:id="4276"/>
          </w:p>
        </w:tc>
        <w:tc>
          <w:tcPr>
            <w:tcW w:w="921" w:type="pct"/>
            <w:tcBorders>
              <w:tl2br w:val="nil"/>
              <w:tr2bl w:val="nil"/>
            </w:tcBorders>
            <w:noWrap w:val="0"/>
            <w:vAlign w:val="center"/>
          </w:tcPr>
          <w:p w14:paraId="4E16A9F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0.0003L</w:t>
            </w:r>
          </w:p>
        </w:tc>
        <w:tc>
          <w:tcPr>
            <w:tcW w:w="804" w:type="pct"/>
            <w:tcBorders>
              <w:tl2br w:val="nil"/>
              <w:tr2bl w:val="nil"/>
            </w:tcBorders>
            <w:noWrap w:val="0"/>
            <w:vAlign w:val="center"/>
          </w:tcPr>
          <w:p w14:paraId="7769320B">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0.0003L</w:t>
            </w:r>
          </w:p>
        </w:tc>
        <w:tc>
          <w:tcPr>
            <w:tcW w:w="938" w:type="pct"/>
            <w:tcBorders>
              <w:tl2br w:val="nil"/>
              <w:tr2bl w:val="nil"/>
            </w:tcBorders>
            <w:noWrap w:val="0"/>
            <w:vAlign w:val="center"/>
          </w:tcPr>
          <w:p w14:paraId="7D642AB5">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0.003L</w:t>
            </w:r>
          </w:p>
        </w:tc>
        <w:tc>
          <w:tcPr>
            <w:tcW w:w="1209" w:type="pct"/>
            <w:tcBorders>
              <w:tl2br w:val="nil"/>
              <w:tr2bl w:val="nil"/>
            </w:tcBorders>
            <w:noWrap w:val="0"/>
            <w:vAlign w:val="center"/>
          </w:tcPr>
          <w:p w14:paraId="2ED8D5E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77" w:name="_Toc23930"/>
            <w:bookmarkStart w:id="4278" w:name="_Toc14293"/>
            <w:r>
              <w:rPr>
                <w:rFonts w:hint="default" w:ascii="Times New Roman" w:hAnsi="Times New Roman" w:cs="Times New Roman"/>
                <w:color w:val="auto"/>
                <w:sz w:val="21"/>
                <w:szCs w:val="21"/>
                <w:highlight w:val="none"/>
              </w:rPr>
              <w:t>≤0.002</w:t>
            </w:r>
            <w:bookmarkEnd w:id="4277"/>
            <w:bookmarkEnd w:id="4278"/>
          </w:p>
        </w:tc>
      </w:tr>
      <w:tr w14:paraId="234FA9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36B439B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79" w:name="_Toc27523"/>
            <w:bookmarkStart w:id="4280" w:name="_Toc4866"/>
            <w:r>
              <w:rPr>
                <w:rFonts w:hint="default" w:ascii="Times New Roman" w:hAnsi="Times New Roman" w:cs="Times New Roman"/>
                <w:color w:val="auto"/>
                <w:sz w:val="21"/>
                <w:szCs w:val="21"/>
                <w:highlight w:val="none"/>
              </w:rPr>
              <w:t>硝酸盐</w:t>
            </w:r>
            <w:bookmarkEnd w:id="4279"/>
            <w:bookmarkEnd w:id="4280"/>
          </w:p>
        </w:tc>
        <w:tc>
          <w:tcPr>
            <w:tcW w:w="921" w:type="pct"/>
            <w:tcBorders>
              <w:tl2br w:val="nil"/>
              <w:tr2bl w:val="nil"/>
            </w:tcBorders>
            <w:noWrap w:val="0"/>
            <w:vAlign w:val="center"/>
          </w:tcPr>
          <w:p w14:paraId="436562AE">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1.93</w:t>
            </w:r>
          </w:p>
        </w:tc>
        <w:tc>
          <w:tcPr>
            <w:tcW w:w="804" w:type="pct"/>
            <w:tcBorders>
              <w:tl2br w:val="nil"/>
              <w:tr2bl w:val="nil"/>
            </w:tcBorders>
            <w:noWrap w:val="0"/>
            <w:vAlign w:val="center"/>
          </w:tcPr>
          <w:p w14:paraId="486B8E5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4.72</w:t>
            </w:r>
          </w:p>
        </w:tc>
        <w:tc>
          <w:tcPr>
            <w:tcW w:w="938" w:type="pct"/>
            <w:tcBorders>
              <w:tl2br w:val="nil"/>
              <w:tr2bl w:val="nil"/>
            </w:tcBorders>
            <w:noWrap w:val="0"/>
            <w:vAlign w:val="center"/>
          </w:tcPr>
          <w:p w14:paraId="0DFA37F8">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6.23</w:t>
            </w:r>
          </w:p>
        </w:tc>
        <w:tc>
          <w:tcPr>
            <w:tcW w:w="1209" w:type="pct"/>
            <w:tcBorders>
              <w:tl2br w:val="nil"/>
              <w:tr2bl w:val="nil"/>
            </w:tcBorders>
            <w:noWrap w:val="0"/>
            <w:vAlign w:val="center"/>
          </w:tcPr>
          <w:p w14:paraId="0FE80A4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81" w:name="_Toc31954"/>
            <w:bookmarkStart w:id="4282" w:name="_Toc15126"/>
            <w:r>
              <w:rPr>
                <w:rFonts w:hint="default" w:ascii="Times New Roman" w:hAnsi="Times New Roman" w:cs="Times New Roman"/>
                <w:color w:val="auto"/>
                <w:sz w:val="21"/>
                <w:szCs w:val="21"/>
                <w:highlight w:val="none"/>
              </w:rPr>
              <w:t>≤20</w:t>
            </w:r>
            <w:bookmarkEnd w:id="4281"/>
            <w:bookmarkEnd w:id="4282"/>
          </w:p>
        </w:tc>
      </w:tr>
      <w:tr w14:paraId="49A72E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12A8BAF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83" w:name="_Toc29951"/>
            <w:bookmarkStart w:id="4284" w:name="_Toc27761"/>
            <w:r>
              <w:rPr>
                <w:rFonts w:hint="default" w:ascii="Times New Roman" w:hAnsi="Times New Roman" w:cs="Times New Roman"/>
                <w:color w:val="auto"/>
                <w:sz w:val="21"/>
                <w:szCs w:val="21"/>
                <w:highlight w:val="none"/>
              </w:rPr>
              <w:t>亚硝酸盐</w:t>
            </w:r>
            <w:bookmarkEnd w:id="4283"/>
            <w:bookmarkEnd w:id="4284"/>
          </w:p>
        </w:tc>
        <w:tc>
          <w:tcPr>
            <w:tcW w:w="921" w:type="pct"/>
            <w:tcBorders>
              <w:tl2br w:val="nil"/>
              <w:tr2bl w:val="nil"/>
            </w:tcBorders>
            <w:noWrap w:val="0"/>
            <w:vAlign w:val="center"/>
          </w:tcPr>
          <w:p w14:paraId="3808171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0.003L</w:t>
            </w:r>
          </w:p>
        </w:tc>
        <w:tc>
          <w:tcPr>
            <w:tcW w:w="804" w:type="pct"/>
            <w:tcBorders>
              <w:tl2br w:val="nil"/>
              <w:tr2bl w:val="nil"/>
            </w:tcBorders>
            <w:noWrap w:val="0"/>
            <w:vAlign w:val="center"/>
          </w:tcPr>
          <w:p w14:paraId="0D14EEC8">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0.004</w:t>
            </w:r>
          </w:p>
        </w:tc>
        <w:tc>
          <w:tcPr>
            <w:tcW w:w="938" w:type="pct"/>
            <w:tcBorders>
              <w:tl2br w:val="nil"/>
              <w:tr2bl w:val="nil"/>
            </w:tcBorders>
            <w:noWrap w:val="0"/>
            <w:vAlign w:val="center"/>
          </w:tcPr>
          <w:p w14:paraId="507796D8">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0.003L</w:t>
            </w:r>
          </w:p>
        </w:tc>
        <w:tc>
          <w:tcPr>
            <w:tcW w:w="1209" w:type="pct"/>
            <w:tcBorders>
              <w:tl2br w:val="nil"/>
              <w:tr2bl w:val="nil"/>
            </w:tcBorders>
            <w:noWrap w:val="0"/>
            <w:vAlign w:val="center"/>
          </w:tcPr>
          <w:p w14:paraId="4ED201C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85" w:name="_Toc17678"/>
            <w:bookmarkStart w:id="4286" w:name="_Toc6505"/>
            <w:r>
              <w:rPr>
                <w:rFonts w:hint="default" w:ascii="Times New Roman" w:hAnsi="Times New Roman" w:cs="Times New Roman"/>
                <w:color w:val="auto"/>
                <w:sz w:val="21"/>
                <w:szCs w:val="21"/>
                <w:highlight w:val="none"/>
              </w:rPr>
              <w:t>≤1.0</w:t>
            </w:r>
            <w:bookmarkEnd w:id="4285"/>
            <w:bookmarkEnd w:id="4286"/>
          </w:p>
        </w:tc>
      </w:tr>
      <w:tr w14:paraId="2B2F96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31D1D8A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87" w:name="_Toc826"/>
            <w:bookmarkStart w:id="4288" w:name="_Toc25085"/>
            <w:r>
              <w:rPr>
                <w:rFonts w:hint="default" w:ascii="Times New Roman" w:hAnsi="Times New Roman" w:cs="Times New Roman"/>
                <w:color w:val="auto"/>
                <w:sz w:val="21"/>
                <w:szCs w:val="21"/>
                <w:highlight w:val="none"/>
              </w:rPr>
              <w:t>氨氮</w:t>
            </w:r>
            <w:bookmarkEnd w:id="4287"/>
            <w:bookmarkEnd w:id="4288"/>
          </w:p>
        </w:tc>
        <w:tc>
          <w:tcPr>
            <w:tcW w:w="921" w:type="pct"/>
            <w:tcBorders>
              <w:tl2br w:val="nil"/>
              <w:tr2bl w:val="nil"/>
            </w:tcBorders>
            <w:noWrap w:val="0"/>
            <w:vAlign w:val="center"/>
          </w:tcPr>
          <w:p w14:paraId="49DCFDF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0.09</w:t>
            </w:r>
          </w:p>
        </w:tc>
        <w:tc>
          <w:tcPr>
            <w:tcW w:w="804" w:type="pct"/>
            <w:tcBorders>
              <w:tl2br w:val="nil"/>
              <w:tr2bl w:val="nil"/>
            </w:tcBorders>
            <w:noWrap w:val="0"/>
            <w:vAlign w:val="center"/>
          </w:tcPr>
          <w:p w14:paraId="4B76ABD7">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0.10</w:t>
            </w:r>
          </w:p>
        </w:tc>
        <w:tc>
          <w:tcPr>
            <w:tcW w:w="938" w:type="pct"/>
            <w:tcBorders>
              <w:tl2br w:val="nil"/>
              <w:tr2bl w:val="nil"/>
            </w:tcBorders>
            <w:noWrap w:val="0"/>
            <w:vAlign w:val="center"/>
          </w:tcPr>
          <w:p w14:paraId="08D3DDE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0.023</w:t>
            </w:r>
          </w:p>
        </w:tc>
        <w:tc>
          <w:tcPr>
            <w:tcW w:w="1209" w:type="pct"/>
            <w:tcBorders>
              <w:tl2br w:val="nil"/>
              <w:tr2bl w:val="nil"/>
            </w:tcBorders>
            <w:noWrap w:val="0"/>
            <w:vAlign w:val="center"/>
          </w:tcPr>
          <w:p w14:paraId="288755F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89" w:name="_Toc9413"/>
            <w:bookmarkStart w:id="4290" w:name="_Toc28903"/>
            <w:r>
              <w:rPr>
                <w:rFonts w:hint="default" w:ascii="Times New Roman" w:hAnsi="Times New Roman" w:cs="Times New Roman"/>
                <w:color w:val="auto"/>
                <w:sz w:val="21"/>
                <w:szCs w:val="21"/>
                <w:highlight w:val="none"/>
              </w:rPr>
              <w:t>≤0.50</w:t>
            </w:r>
            <w:bookmarkEnd w:id="4289"/>
            <w:bookmarkEnd w:id="4290"/>
          </w:p>
        </w:tc>
      </w:tr>
      <w:tr w14:paraId="48237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3" w:hRule="exact"/>
        </w:trPr>
        <w:tc>
          <w:tcPr>
            <w:tcW w:w="1127" w:type="pct"/>
            <w:tcBorders>
              <w:tl2br w:val="nil"/>
              <w:tr2bl w:val="nil"/>
            </w:tcBorders>
            <w:noWrap w:val="0"/>
            <w:vAlign w:val="center"/>
          </w:tcPr>
          <w:p w14:paraId="3F5D253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91" w:name="_Toc16743"/>
            <w:bookmarkStart w:id="4292" w:name="_Toc26434"/>
            <w:r>
              <w:rPr>
                <w:rFonts w:hint="default" w:ascii="Times New Roman" w:hAnsi="Times New Roman" w:cs="Times New Roman"/>
                <w:color w:val="auto"/>
                <w:sz w:val="21"/>
                <w:szCs w:val="21"/>
                <w:highlight w:val="none"/>
              </w:rPr>
              <w:t>总大肠菌群</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MPN/100mL</w:t>
            </w:r>
            <w:r>
              <w:rPr>
                <w:rFonts w:hint="eastAsia" w:cs="Times New Roman"/>
                <w:color w:val="auto"/>
                <w:sz w:val="21"/>
                <w:szCs w:val="21"/>
                <w:highlight w:val="none"/>
                <w:lang w:eastAsia="zh-CN"/>
              </w:rPr>
              <w:t>）</w:t>
            </w:r>
            <w:bookmarkEnd w:id="4291"/>
            <w:bookmarkEnd w:id="4292"/>
          </w:p>
        </w:tc>
        <w:tc>
          <w:tcPr>
            <w:tcW w:w="921" w:type="pct"/>
            <w:tcBorders>
              <w:tl2br w:val="nil"/>
              <w:tr2bl w:val="nil"/>
            </w:tcBorders>
            <w:noWrap w:val="0"/>
            <w:vAlign w:val="center"/>
          </w:tcPr>
          <w:p w14:paraId="6C7DE5A2">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6.3</w:t>
            </w:r>
          </w:p>
        </w:tc>
        <w:tc>
          <w:tcPr>
            <w:tcW w:w="804" w:type="pct"/>
            <w:tcBorders>
              <w:tl2br w:val="nil"/>
              <w:tr2bl w:val="nil"/>
            </w:tcBorders>
            <w:noWrap w:val="0"/>
            <w:vAlign w:val="center"/>
          </w:tcPr>
          <w:p w14:paraId="04D4871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79</w:t>
            </w:r>
          </w:p>
        </w:tc>
        <w:tc>
          <w:tcPr>
            <w:tcW w:w="938" w:type="pct"/>
            <w:tcBorders>
              <w:tl2br w:val="nil"/>
              <w:tr2bl w:val="nil"/>
            </w:tcBorders>
            <w:noWrap w:val="0"/>
            <w:vAlign w:val="center"/>
          </w:tcPr>
          <w:p w14:paraId="11089F4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bidi="ar-SA"/>
              </w:rPr>
              <w:t>&lt;2</w:t>
            </w:r>
          </w:p>
        </w:tc>
        <w:tc>
          <w:tcPr>
            <w:tcW w:w="1209" w:type="pct"/>
            <w:tcBorders>
              <w:tl2br w:val="nil"/>
              <w:tr2bl w:val="nil"/>
            </w:tcBorders>
            <w:noWrap w:val="0"/>
            <w:vAlign w:val="center"/>
          </w:tcPr>
          <w:p w14:paraId="0D98EDB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93" w:name="_Toc1475"/>
            <w:bookmarkStart w:id="4294" w:name="_Toc275"/>
            <w:r>
              <w:rPr>
                <w:rFonts w:hint="default" w:ascii="Times New Roman" w:hAnsi="Times New Roman" w:cs="Times New Roman"/>
                <w:color w:val="auto"/>
                <w:sz w:val="21"/>
                <w:szCs w:val="21"/>
                <w:highlight w:val="none"/>
              </w:rPr>
              <w:t>≤3.0</w:t>
            </w:r>
            <w:bookmarkEnd w:id="4293"/>
            <w:bookmarkEnd w:id="4294"/>
          </w:p>
        </w:tc>
      </w:tr>
      <w:tr w14:paraId="56E8A7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8" w:hRule="exact"/>
        </w:trPr>
        <w:tc>
          <w:tcPr>
            <w:tcW w:w="1127" w:type="pct"/>
            <w:tcBorders>
              <w:tl2br w:val="nil"/>
              <w:tr2bl w:val="nil"/>
            </w:tcBorders>
            <w:noWrap w:val="0"/>
            <w:vAlign w:val="center"/>
          </w:tcPr>
          <w:p w14:paraId="1FD099D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95" w:name="_Toc32118"/>
            <w:bookmarkStart w:id="4296" w:name="_Toc24757"/>
            <w:r>
              <w:rPr>
                <w:rFonts w:hint="default" w:ascii="Times New Roman" w:hAnsi="Times New Roman" w:cs="Times New Roman"/>
                <w:color w:val="auto"/>
                <w:sz w:val="21"/>
                <w:szCs w:val="21"/>
                <w:highlight w:val="none"/>
              </w:rPr>
              <w:t>细菌总数</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CFU/mL</w:t>
            </w:r>
            <w:r>
              <w:rPr>
                <w:rFonts w:hint="eastAsia" w:cs="Times New Roman"/>
                <w:color w:val="auto"/>
                <w:sz w:val="21"/>
                <w:szCs w:val="21"/>
                <w:highlight w:val="none"/>
                <w:lang w:eastAsia="zh-CN"/>
              </w:rPr>
              <w:t>）</w:t>
            </w:r>
            <w:bookmarkEnd w:id="4295"/>
            <w:bookmarkEnd w:id="4296"/>
          </w:p>
        </w:tc>
        <w:tc>
          <w:tcPr>
            <w:tcW w:w="921" w:type="pct"/>
            <w:tcBorders>
              <w:tl2br w:val="nil"/>
              <w:tr2bl w:val="nil"/>
            </w:tcBorders>
            <w:noWrap w:val="0"/>
            <w:vAlign w:val="center"/>
          </w:tcPr>
          <w:p w14:paraId="49B6A39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28</w:t>
            </w:r>
          </w:p>
        </w:tc>
        <w:tc>
          <w:tcPr>
            <w:tcW w:w="804" w:type="pct"/>
            <w:tcBorders>
              <w:tl2br w:val="nil"/>
              <w:tr2bl w:val="nil"/>
            </w:tcBorders>
            <w:noWrap w:val="0"/>
            <w:vAlign w:val="center"/>
          </w:tcPr>
          <w:p w14:paraId="3156F12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80</w:t>
            </w:r>
          </w:p>
        </w:tc>
        <w:tc>
          <w:tcPr>
            <w:tcW w:w="938" w:type="pct"/>
            <w:tcBorders>
              <w:tl2br w:val="nil"/>
              <w:tr2bl w:val="nil"/>
            </w:tcBorders>
            <w:noWrap w:val="0"/>
            <w:vAlign w:val="center"/>
          </w:tcPr>
          <w:p w14:paraId="735A78CD">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bidi="ar-SA"/>
              </w:rPr>
              <w:t>51</w:t>
            </w:r>
          </w:p>
        </w:tc>
        <w:tc>
          <w:tcPr>
            <w:tcW w:w="1209" w:type="pct"/>
            <w:tcBorders>
              <w:tl2br w:val="nil"/>
              <w:tr2bl w:val="nil"/>
            </w:tcBorders>
            <w:noWrap w:val="0"/>
            <w:vAlign w:val="center"/>
          </w:tcPr>
          <w:p w14:paraId="36B313A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97" w:name="_Toc29930"/>
            <w:bookmarkStart w:id="4298" w:name="_Toc12522"/>
            <w:r>
              <w:rPr>
                <w:rFonts w:hint="default" w:ascii="Times New Roman" w:hAnsi="Times New Roman" w:cs="Times New Roman"/>
                <w:color w:val="auto"/>
                <w:sz w:val="21"/>
                <w:szCs w:val="21"/>
                <w:highlight w:val="none"/>
              </w:rPr>
              <w:t>≤100</w:t>
            </w:r>
            <w:bookmarkEnd w:id="4297"/>
            <w:bookmarkEnd w:id="4298"/>
          </w:p>
        </w:tc>
      </w:tr>
      <w:tr w14:paraId="1D8B8A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5E790F7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299" w:name="_Toc14190"/>
            <w:bookmarkStart w:id="4300" w:name="_Toc3575"/>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2"/>
                <w:szCs w:val="22"/>
                <w:highlight w:val="none"/>
                <w:vertAlign w:val="superscript"/>
              </w:rPr>
              <w:t>+</w:t>
            </w:r>
            <w:bookmarkEnd w:id="4299"/>
            <w:bookmarkEnd w:id="4300"/>
          </w:p>
        </w:tc>
        <w:tc>
          <w:tcPr>
            <w:tcW w:w="921" w:type="pct"/>
            <w:tcBorders>
              <w:tl2br w:val="nil"/>
              <w:tr2bl w:val="nil"/>
            </w:tcBorders>
            <w:noWrap w:val="0"/>
            <w:vAlign w:val="center"/>
          </w:tcPr>
          <w:p w14:paraId="6F811612">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2.86</w:t>
            </w:r>
          </w:p>
        </w:tc>
        <w:tc>
          <w:tcPr>
            <w:tcW w:w="804" w:type="pct"/>
            <w:tcBorders>
              <w:tl2br w:val="nil"/>
              <w:tr2bl w:val="nil"/>
            </w:tcBorders>
            <w:noWrap w:val="0"/>
            <w:vAlign w:val="center"/>
          </w:tcPr>
          <w:p w14:paraId="7379D2C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2.15</w:t>
            </w:r>
          </w:p>
        </w:tc>
        <w:tc>
          <w:tcPr>
            <w:tcW w:w="938" w:type="pct"/>
            <w:tcBorders>
              <w:tl2br w:val="nil"/>
              <w:tr2bl w:val="nil"/>
            </w:tcBorders>
            <w:noWrap w:val="0"/>
            <w:vAlign w:val="center"/>
          </w:tcPr>
          <w:p w14:paraId="023D6C6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1.02</w:t>
            </w:r>
          </w:p>
        </w:tc>
        <w:tc>
          <w:tcPr>
            <w:tcW w:w="1209" w:type="pct"/>
            <w:tcBorders>
              <w:tl2br w:val="nil"/>
              <w:tr2bl w:val="nil"/>
            </w:tcBorders>
            <w:noWrap w:val="0"/>
            <w:vAlign w:val="center"/>
          </w:tcPr>
          <w:p w14:paraId="6B49001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01" w:name="_Toc25133"/>
            <w:bookmarkStart w:id="4302" w:name="_Toc11563"/>
            <w:r>
              <w:rPr>
                <w:rFonts w:hint="default" w:ascii="Times New Roman" w:hAnsi="Times New Roman" w:cs="Times New Roman"/>
                <w:color w:val="auto"/>
                <w:sz w:val="21"/>
                <w:szCs w:val="21"/>
                <w:highlight w:val="none"/>
              </w:rPr>
              <w:t>/</w:t>
            </w:r>
            <w:bookmarkEnd w:id="4301"/>
            <w:bookmarkEnd w:id="4302"/>
          </w:p>
        </w:tc>
      </w:tr>
      <w:tr w14:paraId="0C9A31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54E92BDB">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03" w:name="_Toc20653"/>
            <w:bookmarkStart w:id="4304" w:name="_Toc9526"/>
            <w:r>
              <w:rPr>
                <w:rFonts w:hint="default" w:ascii="Times New Roman" w:hAnsi="Times New Roman" w:cs="Times New Roman"/>
                <w:color w:val="auto"/>
                <w:sz w:val="21"/>
                <w:szCs w:val="21"/>
                <w:highlight w:val="none"/>
              </w:rPr>
              <w:t>Na</w:t>
            </w:r>
            <w:r>
              <w:rPr>
                <w:rFonts w:hint="default" w:ascii="Times New Roman" w:hAnsi="Times New Roman" w:cs="Times New Roman"/>
                <w:color w:val="auto"/>
                <w:sz w:val="21"/>
                <w:szCs w:val="21"/>
                <w:highlight w:val="none"/>
                <w:vertAlign w:val="superscript"/>
              </w:rPr>
              <w:t>+</w:t>
            </w:r>
            <w:bookmarkEnd w:id="4303"/>
            <w:bookmarkEnd w:id="4304"/>
          </w:p>
        </w:tc>
        <w:tc>
          <w:tcPr>
            <w:tcW w:w="921" w:type="pct"/>
            <w:tcBorders>
              <w:tl2br w:val="nil"/>
              <w:tr2bl w:val="nil"/>
            </w:tcBorders>
            <w:noWrap w:val="0"/>
            <w:vAlign w:val="center"/>
          </w:tcPr>
          <w:p w14:paraId="1E2A95ED">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114</w:t>
            </w:r>
          </w:p>
        </w:tc>
        <w:tc>
          <w:tcPr>
            <w:tcW w:w="804" w:type="pct"/>
            <w:tcBorders>
              <w:tl2br w:val="nil"/>
              <w:tr2bl w:val="nil"/>
            </w:tcBorders>
            <w:noWrap w:val="0"/>
            <w:vAlign w:val="center"/>
          </w:tcPr>
          <w:p w14:paraId="41A7D992">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126</w:t>
            </w:r>
          </w:p>
        </w:tc>
        <w:tc>
          <w:tcPr>
            <w:tcW w:w="938" w:type="pct"/>
            <w:tcBorders>
              <w:tl2br w:val="nil"/>
              <w:tr2bl w:val="nil"/>
            </w:tcBorders>
            <w:noWrap w:val="0"/>
            <w:vAlign w:val="center"/>
          </w:tcPr>
          <w:p w14:paraId="74807638">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16.5</w:t>
            </w:r>
          </w:p>
        </w:tc>
        <w:tc>
          <w:tcPr>
            <w:tcW w:w="1209" w:type="pct"/>
            <w:tcBorders>
              <w:tl2br w:val="nil"/>
              <w:tr2bl w:val="nil"/>
            </w:tcBorders>
            <w:noWrap w:val="0"/>
            <w:vAlign w:val="center"/>
          </w:tcPr>
          <w:p w14:paraId="0788D85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05" w:name="_Toc24190"/>
            <w:bookmarkStart w:id="4306" w:name="_Toc12139"/>
            <w:r>
              <w:rPr>
                <w:rFonts w:hint="default" w:ascii="Times New Roman" w:hAnsi="Times New Roman" w:cs="Times New Roman"/>
                <w:color w:val="auto"/>
                <w:sz w:val="21"/>
                <w:szCs w:val="21"/>
                <w:highlight w:val="none"/>
              </w:rPr>
              <w:t>/</w:t>
            </w:r>
            <w:bookmarkEnd w:id="4305"/>
            <w:bookmarkEnd w:id="4306"/>
          </w:p>
        </w:tc>
      </w:tr>
      <w:tr w14:paraId="3CDD7F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6FDC01D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07" w:name="_Toc20040"/>
            <w:bookmarkStart w:id="4308" w:name="_Toc1928"/>
            <w:r>
              <w:rPr>
                <w:rFonts w:hint="default" w:ascii="Times New Roman" w:hAnsi="Times New Roman" w:cs="Times New Roman"/>
                <w:color w:val="auto"/>
                <w:sz w:val="21"/>
                <w:szCs w:val="21"/>
                <w:highlight w:val="none"/>
              </w:rPr>
              <w:t>Ca</w:t>
            </w:r>
            <w:r>
              <w:rPr>
                <w:rFonts w:hint="default" w:ascii="Times New Roman" w:hAnsi="Times New Roman" w:cs="Times New Roman"/>
                <w:color w:val="auto"/>
                <w:sz w:val="21"/>
                <w:szCs w:val="21"/>
                <w:highlight w:val="none"/>
                <w:vertAlign w:val="superscript"/>
              </w:rPr>
              <w:t>2+</w:t>
            </w:r>
            <w:bookmarkEnd w:id="4307"/>
            <w:bookmarkEnd w:id="4308"/>
          </w:p>
        </w:tc>
        <w:tc>
          <w:tcPr>
            <w:tcW w:w="921" w:type="pct"/>
            <w:tcBorders>
              <w:tl2br w:val="nil"/>
              <w:tr2bl w:val="nil"/>
            </w:tcBorders>
            <w:noWrap w:val="0"/>
            <w:vAlign w:val="center"/>
          </w:tcPr>
          <w:p w14:paraId="2DB77850">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112</w:t>
            </w:r>
          </w:p>
        </w:tc>
        <w:tc>
          <w:tcPr>
            <w:tcW w:w="804" w:type="pct"/>
            <w:tcBorders>
              <w:tl2br w:val="nil"/>
              <w:tr2bl w:val="nil"/>
            </w:tcBorders>
            <w:noWrap w:val="0"/>
            <w:vAlign w:val="center"/>
          </w:tcPr>
          <w:p w14:paraId="727D40F7">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73.7</w:t>
            </w:r>
          </w:p>
        </w:tc>
        <w:tc>
          <w:tcPr>
            <w:tcW w:w="938" w:type="pct"/>
            <w:tcBorders>
              <w:tl2br w:val="nil"/>
              <w:tr2bl w:val="nil"/>
            </w:tcBorders>
            <w:noWrap w:val="0"/>
            <w:vAlign w:val="center"/>
          </w:tcPr>
          <w:p w14:paraId="129B2CED">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30.2</w:t>
            </w:r>
          </w:p>
        </w:tc>
        <w:tc>
          <w:tcPr>
            <w:tcW w:w="1209" w:type="pct"/>
            <w:tcBorders>
              <w:tl2br w:val="nil"/>
              <w:tr2bl w:val="nil"/>
            </w:tcBorders>
            <w:noWrap w:val="0"/>
            <w:vAlign w:val="center"/>
          </w:tcPr>
          <w:p w14:paraId="244F446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09" w:name="_Toc167"/>
            <w:bookmarkStart w:id="4310" w:name="_Toc2906"/>
            <w:r>
              <w:rPr>
                <w:rFonts w:hint="default" w:ascii="Times New Roman" w:hAnsi="Times New Roman" w:cs="Times New Roman"/>
                <w:color w:val="auto"/>
                <w:sz w:val="21"/>
                <w:szCs w:val="21"/>
                <w:highlight w:val="none"/>
              </w:rPr>
              <w:t>/</w:t>
            </w:r>
            <w:bookmarkEnd w:id="4309"/>
            <w:bookmarkEnd w:id="4310"/>
          </w:p>
        </w:tc>
      </w:tr>
      <w:tr w14:paraId="1F66F7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4EA8F53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11" w:name="_Toc11814"/>
            <w:bookmarkStart w:id="4312" w:name="_Toc16861"/>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vertAlign w:val="superscript"/>
              </w:rPr>
              <w:t>2+</w:t>
            </w:r>
            <w:bookmarkEnd w:id="4311"/>
            <w:bookmarkEnd w:id="4312"/>
          </w:p>
        </w:tc>
        <w:tc>
          <w:tcPr>
            <w:tcW w:w="921" w:type="pct"/>
            <w:tcBorders>
              <w:tl2br w:val="nil"/>
              <w:tr2bl w:val="nil"/>
            </w:tcBorders>
            <w:noWrap w:val="0"/>
            <w:vAlign w:val="center"/>
          </w:tcPr>
          <w:p w14:paraId="62237C5D">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78.1</w:t>
            </w:r>
          </w:p>
        </w:tc>
        <w:tc>
          <w:tcPr>
            <w:tcW w:w="804" w:type="pct"/>
            <w:tcBorders>
              <w:tl2br w:val="nil"/>
              <w:tr2bl w:val="nil"/>
            </w:tcBorders>
            <w:noWrap w:val="0"/>
            <w:vAlign w:val="center"/>
          </w:tcPr>
          <w:p w14:paraId="67E0E83B">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61.0</w:t>
            </w:r>
          </w:p>
        </w:tc>
        <w:tc>
          <w:tcPr>
            <w:tcW w:w="938" w:type="pct"/>
            <w:tcBorders>
              <w:tl2br w:val="nil"/>
              <w:tr2bl w:val="nil"/>
            </w:tcBorders>
            <w:noWrap w:val="0"/>
            <w:vAlign w:val="center"/>
          </w:tcPr>
          <w:p w14:paraId="79605738">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11.3</w:t>
            </w:r>
          </w:p>
        </w:tc>
        <w:tc>
          <w:tcPr>
            <w:tcW w:w="1209" w:type="pct"/>
            <w:tcBorders>
              <w:tl2br w:val="nil"/>
              <w:tr2bl w:val="nil"/>
            </w:tcBorders>
            <w:noWrap w:val="0"/>
            <w:vAlign w:val="center"/>
          </w:tcPr>
          <w:p w14:paraId="5DD54D7A">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13" w:name="_Toc26826"/>
            <w:bookmarkStart w:id="4314" w:name="_Toc32287"/>
            <w:r>
              <w:rPr>
                <w:rFonts w:hint="default" w:ascii="Times New Roman" w:hAnsi="Times New Roman" w:cs="Times New Roman"/>
                <w:color w:val="auto"/>
                <w:sz w:val="21"/>
                <w:szCs w:val="21"/>
                <w:highlight w:val="none"/>
              </w:rPr>
              <w:t>/</w:t>
            </w:r>
            <w:bookmarkEnd w:id="4313"/>
            <w:bookmarkEnd w:id="4314"/>
          </w:p>
        </w:tc>
      </w:tr>
      <w:tr w14:paraId="793B2C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78CD62A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15" w:name="_Toc19386"/>
            <w:bookmarkStart w:id="4316" w:name="_Toc14334"/>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2-</w:t>
            </w:r>
            <w:bookmarkEnd w:id="4315"/>
            <w:bookmarkEnd w:id="4316"/>
          </w:p>
        </w:tc>
        <w:tc>
          <w:tcPr>
            <w:tcW w:w="921" w:type="pct"/>
            <w:tcBorders>
              <w:tl2br w:val="nil"/>
              <w:tr2bl w:val="nil"/>
            </w:tcBorders>
            <w:noWrap w:val="0"/>
            <w:vAlign w:val="center"/>
          </w:tcPr>
          <w:p w14:paraId="0245E8E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370</w:t>
            </w:r>
          </w:p>
        </w:tc>
        <w:tc>
          <w:tcPr>
            <w:tcW w:w="804" w:type="pct"/>
            <w:tcBorders>
              <w:tl2br w:val="nil"/>
              <w:tr2bl w:val="nil"/>
            </w:tcBorders>
            <w:noWrap w:val="0"/>
            <w:vAlign w:val="center"/>
          </w:tcPr>
          <w:p w14:paraId="421332D5">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525</w:t>
            </w:r>
          </w:p>
        </w:tc>
        <w:tc>
          <w:tcPr>
            <w:tcW w:w="938" w:type="pct"/>
            <w:tcBorders>
              <w:tl2br w:val="nil"/>
              <w:tr2bl w:val="nil"/>
            </w:tcBorders>
            <w:noWrap w:val="0"/>
            <w:vAlign w:val="center"/>
          </w:tcPr>
          <w:p w14:paraId="2DACC7F4">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L</w:t>
            </w:r>
          </w:p>
        </w:tc>
        <w:tc>
          <w:tcPr>
            <w:tcW w:w="1209" w:type="pct"/>
            <w:tcBorders>
              <w:tl2br w:val="nil"/>
              <w:tr2bl w:val="nil"/>
            </w:tcBorders>
            <w:noWrap w:val="0"/>
            <w:vAlign w:val="center"/>
          </w:tcPr>
          <w:p w14:paraId="553E67D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17" w:name="_Toc21045"/>
            <w:bookmarkStart w:id="4318" w:name="_Toc14188"/>
            <w:r>
              <w:rPr>
                <w:rFonts w:hint="default" w:ascii="Times New Roman" w:hAnsi="Times New Roman" w:cs="Times New Roman"/>
                <w:color w:val="auto"/>
                <w:sz w:val="21"/>
                <w:szCs w:val="21"/>
                <w:highlight w:val="none"/>
              </w:rPr>
              <w:t>/</w:t>
            </w:r>
            <w:bookmarkEnd w:id="4317"/>
            <w:bookmarkEnd w:id="4318"/>
          </w:p>
        </w:tc>
      </w:tr>
      <w:tr w14:paraId="7CE87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780193E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19" w:name="_Toc2381"/>
            <w:bookmarkStart w:id="4320" w:name="_Toc31703"/>
            <w:r>
              <w:rPr>
                <w:rFonts w:hint="default" w:ascii="Times New Roman" w:hAnsi="Times New Roman" w:cs="Times New Roman"/>
                <w:color w:val="auto"/>
                <w:sz w:val="21"/>
                <w:szCs w:val="21"/>
                <w:highlight w:val="none"/>
              </w:rPr>
              <w:t>HCO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 xml:space="preserve"> -</w:t>
            </w:r>
            <w:bookmarkEnd w:id="4319"/>
            <w:bookmarkEnd w:id="4320"/>
          </w:p>
        </w:tc>
        <w:tc>
          <w:tcPr>
            <w:tcW w:w="921" w:type="pct"/>
            <w:tcBorders>
              <w:tl2br w:val="nil"/>
              <w:tr2bl w:val="nil"/>
            </w:tcBorders>
            <w:noWrap w:val="0"/>
            <w:vAlign w:val="center"/>
          </w:tcPr>
          <w:p w14:paraId="49CFD663">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5L</w:t>
            </w:r>
          </w:p>
        </w:tc>
        <w:tc>
          <w:tcPr>
            <w:tcW w:w="804" w:type="pct"/>
            <w:tcBorders>
              <w:tl2br w:val="nil"/>
              <w:tr2bl w:val="nil"/>
            </w:tcBorders>
            <w:noWrap w:val="0"/>
            <w:vAlign w:val="center"/>
          </w:tcPr>
          <w:p w14:paraId="3C67238F">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5L</w:t>
            </w:r>
          </w:p>
        </w:tc>
        <w:tc>
          <w:tcPr>
            <w:tcW w:w="938" w:type="pct"/>
            <w:tcBorders>
              <w:tl2br w:val="nil"/>
              <w:tr2bl w:val="nil"/>
            </w:tcBorders>
            <w:noWrap w:val="0"/>
            <w:vAlign w:val="center"/>
          </w:tcPr>
          <w:p w14:paraId="795E9075">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184.5</w:t>
            </w:r>
          </w:p>
        </w:tc>
        <w:tc>
          <w:tcPr>
            <w:tcW w:w="1209" w:type="pct"/>
            <w:tcBorders>
              <w:tl2br w:val="nil"/>
              <w:tr2bl w:val="nil"/>
            </w:tcBorders>
            <w:noWrap w:val="0"/>
            <w:vAlign w:val="center"/>
          </w:tcPr>
          <w:p w14:paraId="4E860C4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21" w:name="_Toc20585"/>
            <w:bookmarkStart w:id="4322" w:name="_Toc14309"/>
            <w:r>
              <w:rPr>
                <w:rFonts w:hint="default" w:ascii="Times New Roman" w:hAnsi="Times New Roman" w:cs="Times New Roman"/>
                <w:color w:val="auto"/>
                <w:sz w:val="21"/>
                <w:szCs w:val="21"/>
                <w:highlight w:val="none"/>
              </w:rPr>
              <w:t>/</w:t>
            </w:r>
            <w:bookmarkEnd w:id="4321"/>
            <w:bookmarkEnd w:id="4322"/>
          </w:p>
        </w:tc>
      </w:tr>
      <w:tr w14:paraId="64C803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4B3272C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23" w:name="_Toc21199"/>
            <w:bookmarkStart w:id="4324" w:name="_Toc24961"/>
            <w:r>
              <w:rPr>
                <w:rFonts w:hint="default" w:ascii="Times New Roman" w:hAnsi="Times New Roman" w:cs="Times New Roman"/>
                <w:color w:val="auto"/>
                <w:sz w:val="21"/>
                <w:szCs w:val="21"/>
                <w:highlight w:val="none"/>
              </w:rPr>
              <w:t>氰化物</w:t>
            </w:r>
            <w:bookmarkEnd w:id="4323"/>
            <w:bookmarkEnd w:id="4324"/>
          </w:p>
        </w:tc>
        <w:tc>
          <w:tcPr>
            <w:tcW w:w="921" w:type="pct"/>
            <w:tcBorders>
              <w:tl2br w:val="nil"/>
              <w:tr2bl w:val="nil"/>
            </w:tcBorders>
            <w:noWrap w:val="0"/>
            <w:vAlign w:val="center"/>
          </w:tcPr>
          <w:p w14:paraId="7B2229A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0.002L</w:t>
            </w:r>
          </w:p>
        </w:tc>
        <w:tc>
          <w:tcPr>
            <w:tcW w:w="804" w:type="pct"/>
            <w:tcBorders>
              <w:tl2br w:val="nil"/>
              <w:tr2bl w:val="nil"/>
            </w:tcBorders>
            <w:noWrap w:val="0"/>
            <w:vAlign w:val="center"/>
          </w:tcPr>
          <w:p w14:paraId="1101EC81">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0.002L</w:t>
            </w:r>
          </w:p>
        </w:tc>
        <w:tc>
          <w:tcPr>
            <w:tcW w:w="938" w:type="pct"/>
            <w:tcBorders>
              <w:tl2br w:val="nil"/>
              <w:tr2bl w:val="nil"/>
            </w:tcBorders>
            <w:noWrap w:val="0"/>
            <w:vAlign w:val="center"/>
          </w:tcPr>
          <w:p w14:paraId="73EABAA8">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0.004L</w:t>
            </w:r>
          </w:p>
        </w:tc>
        <w:tc>
          <w:tcPr>
            <w:tcW w:w="1209" w:type="pct"/>
            <w:tcBorders>
              <w:tl2br w:val="nil"/>
              <w:tr2bl w:val="nil"/>
            </w:tcBorders>
            <w:noWrap w:val="0"/>
            <w:vAlign w:val="center"/>
          </w:tcPr>
          <w:p w14:paraId="6126731F">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25" w:name="_Toc26825"/>
            <w:bookmarkStart w:id="4326" w:name="_Toc21300"/>
            <w:r>
              <w:rPr>
                <w:rFonts w:hint="default" w:ascii="Times New Roman" w:hAnsi="Times New Roman" w:cs="Times New Roman"/>
                <w:color w:val="auto"/>
                <w:sz w:val="21"/>
                <w:szCs w:val="21"/>
                <w:highlight w:val="none"/>
              </w:rPr>
              <w:t>≤0.05</w:t>
            </w:r>
            <w:bookmarkEnd w:id="4325"/>
            <w:bookmarkEnd w:id="4326"/>
          </w:p>
        </w:tc>
      </w:tr>
      <w:tr w14:paraId="143A0E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17693D0C">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27" w:name="_Toc10909"/>
            <w:bookmarkStart w:id="4328" w:name="_Toc10523"/>
            <w:r>
              <w:rPr>
                <w:rFonts w:hint="default" w:ascii="Times New Roman" w:hAnsi="Times New Roman" w:cs="Times New Roman"/>
                <w:color w:val="auto"/>
                <w:sz w:val="21"/>
                <w:szCs w:val="21"/>
                <w:highlight w:val="none"/>
              </w:rPr>
              <w:t>砷</w:t>
            </w:r>
            <w:bookmarkEnd w:id="4327"/>
            <w:bookmarkEnd w:id="4328"/>
          </w:p>
        </w:tc>
        <w:tc>
          <w:tcPr>
            <w:tcW w:w="921" w:type="pct"/>
            <w:tcBorders>
              <w:tl2br w:val="nil"/>
              <w:tr2bl w:val="nil"/>
            </w:tcBorders>
            <w:noWrap w:val="0"/>
            <w:vAlign w:val="center"/>
          </w:tcPr>
          <w:p w14:paraId="0460A304">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0.0025</w:t>
            </w:r>
          </w:p>
        </w:tc>
        <w:tc>
          <w:tcPr>
            <w:tcW w:w="804" w:type="pct"/>
            <w:tcBorders>
              <w:tl2br w:val="nil"/>
              <w:tr2bl w:val="nil"/>
            </w:tcBorders>
            <w:noWrap w:val="0"/>
            <w:vAlign w:val="center"/>
          </w:tcPr>
          <w:p w14:paraId="016F829A">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0.0029</w:t>
            </w:r>
          </w:p>
        </w:tc>
        <w:tc>
          <w:tcPr>
            <w:tcW w:w="938" w:type="pct"/>
            <w:tcBorders>
              <w:tl2br w:val="nil"/>
              <w:tr2bl w:val="nil"/>
            </w:tcBorders>
            <w:noWrap w:val="0"/>
            <w:vAlign w:val="center"/>
          </w:tcPr>
          <w:p w14:paraId="4EE1C171">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0.3Lμg/L</w:t>
            </w:r>
          </w:p>
        </w:tc>
        <w:tc>
          <w:tcPr>
            <w:tcW w:w="1209" w:type="pct"/>
            <w:tcBorders>
              <w:tl2br w:val="nil"/>
              <w:tr2bl w:val="nil"/>
            </w:tcBorders>
            <w:noWrap w:val="0"/>
            <w:vAlign w:val="center"/>
          </w:tcPr>
          <w:p w14:paraId="6C61BE7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29" w:name="_Toc2779"/>
            <w:bookmarkStart w:id="4330" w:name="_Toc5803"/>
            <w:r>
              <w:rPr>
                <w:rFonts w:hint="default" w:ascii="Times New Roman" w:hAnsi="Times New Roman" w:cs="Times New Roman"/>
                <w:color w:val="auto"/>
                <w:sz w:val="21"/>
                <w:szCs w:val="21"/>
                <w:highlight w:val="none"/>
              </w:rPr>
              <w:t>≤0.01</w:t>
            </w:r>
            <w:bookmarkEnd w:id="4329"/>
            <w:bookmarkEnd w:id="4330"/>
          </w:p>
        </w:tc>
      </w:tr>
      <w:tr w14:paraId="639BC8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0355853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31" w:name="_Toc12678"/>
            <w:bookmarkStart w:id="4332" w:name="_Toc10593"/>
            <w:r>
              <w:rPr>
                <w:rFonts w:hint="default" w:ascii="Times New Roman" w:hAnsi="Times New Roman" w:cs="Times New Roman"/>
                <w:color w:val="auto"/>
                <w:sz w:val="21"/>
                <w:szCs w:val="21"/>
                <w:highlight w:val="none"/>
              </w:rPr>
              <w:t>汞</w:t>
            </w:r>
            <w:bookmarkEnd w:id="4331"/>
            <w:bookmarkEnd w:id="4332"/>
          </w:p>
        </w:tc>
        <w:tc>
          <w:tcPr>
            <w:tcW w:w="921" w:type="pct"/>
            <w:tcBorders>
              <w:tl2br w:val="nil"/>
              <w:tr2bl w:val="nil"/>
            </w:tcBorders>
            <w:noWrap w:val="0"/>
            <w:vAlign w:val="center"/>
          </w:tcPr>
          <w:p w14:paraId="5AB11BCB">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0.00004L</w:t>
            </w:r>
          </w:p>
        </w:tc>
        <w:tc>
          <w:tcPr>
            <w:tcW w:w="804" w:type="pct"/>
            <w:tcBorders>
              <w:tl2br w:val="nil"/>
              <w:tr2bl w:val="nil"/>
            </w:tcBorders>
            <w:noWrap w:val="0"/>
            <w:vAlign w:val="center"/>
          </w:tcPr>
          <w:p w14:paraId="1316E1C0">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0.00004L</w:t>
            </w:r>
          </w:p>
        </w:tc>
        <w:tc>
          <w:tcPr>
            <w:tcW w:w="938" w:type="pct"/>
            <w:tcBorders>
              <w:tl2br w:val="nil"/>
              <w:tr2bl w:val="nil"/>
            </w:tcBorders>
            <w:noWrap w:val="0"/>
            <w:vAlign w:val="center"/>
          </w:tcPr>
          <w:p w14:paraId="0D7241E3">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0.04Lμ</w:t>
            </w:r>
            <w:r>
              <w:rPr>
                <w:rFonts w:hint="eastAsia" w:ascii="Times New Roman" w:hAnsi="Times New Roman" w:eastAsia="宋体" w:cs="Times New Roman"/>
                <w:bCs w:val="0"/>
                <w:color w:val="auto"/>
                <w:sz w:val="21"/>
                <w:szCs w:val="21"/>
                <w:highlight w:val="none"/>
                <w:lang w:val="en-US" w:eastAsia="zh-CN" w:bidi="ar-SA"/>
              </w:rPr>
              <w:t>g</w:t>
            </w:r>
            <w:r>
              <w:rPr>
                <w:rFonts w:hint="default" w:ascii="Times New Roman" w:hAnsi="Times New Roman" w:eastAsia="宋体" w:cs="Times New Roman"/>
                <w:bCs w:val="0"/>
                <w:color w:val="auto"/>
                <w:sz w:val="21"/>
                <w:szCs w:val="21"/>
                <w:highlight w:val="none"/>
                <w:lang w:val="en-US" w:eastAsia="zh-CN" w:bidi="ar-SA"/>
              </w:rPr>
              <w:t>/L</w:t>
            </w:r>
          </w:p>
        </w:tc>
        <w:tc>
          <w:tcPr>
            <w:tcW w:w="1209" w:type="pct"/>
            <w:tcBorders>
              <w:tl2br w:val="nil"/>
              <w:tr2bl w:val="nil"/>
            </w:tcBorders>
            <w:noWrap w:val="0"/>
            <w:vAlign w:val="center"/>
          </w:tcPr>
          <w:p w14:paraId="5743F9A6">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33" w:name="_Toc2659"/>
            <w:bookmarkStart w:id="4334" w:name="_Toc21787"/>
            <w:r>
              <w:rPr>
                <w:rFonts w:hint="default" w:ascii="Times New Roman" w:hAnsi="Times New Roman" w:cs="Times New Roman"/>
                <w:color w:val="auto"/>
                <w:sz w:val="21"/>
                <w:szCs w:val="21"/>
                <w:highlight w:val="none"/>
              </w:rPr>
              <w:t>≤0.001</w:t>
            </w:r>
            <w:bookmarkEnd w:id="4333"/>
            <w:bookmarkEnd w:id="4334"/>
          </w:p>
        </w:tc>
      </w:tr>
      <w:tr w14:paraId="759B52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68CCBF3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35" w:name="_Toc5077"/>
            <w:bookmarkStart w:id="4336" w:name="_Toc12024"/>
            <w:r>
              <w:rPr>
                <w:rFonts w:hint="default" w:ascii="Times New Roman" w:hAnsi="Times New Roman" w:cs="Times New Roman"/>
                <w:color w:val="auto"/>
                <w:sz w:val="21"/>
                <w:szCs w:val="21"/>
                <w:highlight w:val="none"/>
              </w:rPr>
              <w:t>铬（六价）</w:t>
            </w:r>
            <w:bookmarkEnd w:id="4335"/>
            <w:bookmarkEnd w:id="4336"/>
          </w:p>
        </w:tc>
        <w:tc>
          <w:tcPr>
            <w:tcW w:w="921" w:type="pct"/>
            <w:tcBorders>
              <w:tl2br w:val="nil"/>
              <w:tr2bl w:val="nil"/>
            </w:tcBorders>
            <w:noWrap w:val="0"/>
            <w:vAlign w:val="center"/>
          </w:tcPr>
          <w:p w14:paraId="4EB86083">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0.0009</w:t>
            </w:r>
          </w:p>
        </w:tc>
        <w:tc>
          <w:tcPr>
            <w:tcW w:w="804" w:type="pct"/>
            <w:tcBorders>
              <w:tl2br w:val="nil"/>
              <w:tr2bl w:val="nil"/>
            </w:tcBorders>
            <w:noWrap w:val="0"/>
            <w:vAlign w:val="center"/>
          </w:tcPr>
          <w:p w14:paraId="68120DC9">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0.0009</w:t>
            </w:r>
          </w:p>
        </w:tc>
        <w:tc>
          <w:tcPr>
            <w:tcW w:w="938" w:type="pct"/>
            <w:tcBorders>
              <w:tl2br w:val="nil"/>
              <w:tr2bl w:val="nil"/>
            </w:tcBorders>
            <w:noWrap w:val="0"/>
            <w:vAlign w:val="center"/>
          </w:tcPr>
          <w:p w14:paraId="43170CEE">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0.004L</w:t>
            </w:r>
          </w:p>
        </w:tc>
        <w:tc>
          <w:tcPr>
            <w:tcW w:w="1209" w:type="pct"/>
            <w:tcBorders>
              <w:tl2br w:val="nil"/>
              <w:tr2bl w:val="nil"/>
            </w:tcBorders>
            <w:noWrap w:val="0"/>
            <w:vAlign w:val="center"/>
          </w:tcPr>
          <w:p w14:paraId="607CC30E">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37" w:name="_Toc28214"/>
            <w:bookmarkStart w:id="4338" w:name="_Toc31255"/>
            <w:r>
              <w:rPr>
                <w:rFonts w:hint="default" w:ascii="Times New Roman" w:hAnsi="Times New Roman" w:cs="Times New Roman"/>
                <w:color w:val="auto"/>
                <w:sz w:val="21"/>
                <w:szCs w:val="21"/>
                <w:highlight w:val="none"/>
              </w:rPr>
              <w:t>≤0.05</w:t>
            </w:r>
            <w:bookmarkEnd w:id="4337"/>
            <w:bookmarkEnd w:id="4338"/>
          </w:p>
        </w:tc>
      </w:tr>
      <w:tr w14:paraId="7C445E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47CE102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39" w:name="_Toc3495"/>
            <w:bookmarkStart w:id="4340" w:name="_Toc12403"/>
            <w:r>
              <w:rPr>
                <w:rFonts w:hint="default" w:ascii="Times New Roman" w:hAnsi="Times New Roman" w:cs="Times New Roman"/>
                <w:color w:val="auto"/>
                <w:sz w:val="21"/>
                <w:szCs w:val="21"/>
                <w:highlight w:val="none"/>
              </w:rPr>
              <w:t>铅</w:t>
            </w:r>
            <w:bookmarkEnd w:id="4339"/>
            <w:bookmarkEnd w:id="4340"/>
          </w:p>
        </w:tc>
        <w:tc>
          <w:tcPr>
            <w:tcW w:w="921" w:type="pct"/>
            <w:tcBorders>
              <w:tl2br w:val="nil"/>
              <w:tr2bl w:val="nil"/>
            </w:tcBorders>
            <w:noWrap w:val="0"/>
            <w:vAlign w:val="center"/>
          </w:tcPr>
          <w:p w14:paraId="7848142F">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0.00124L</w:t>
            </w:r>
          </w:p>
        </w:tc>
        <w:tc>
          <w:tcPr>
            <w:tcW w:w="804" w:type="pct"/>
            <w:tcBorders>
              <w:tl2br w:val="nil"/>
              <w:tr2bl w:val="nil"/>
            </w:tcBorders>
            <w:noWrap w:val="0"/>
            <w:vAlign w:val="center"/>
          </w:tcPr>
          <w:p w14:paraId="77A11B87">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0.00124L</w:t>
            </w:r>
          </w:p>
        </w:tc>
        <w:tc>
          <w:tcPr>
            <w:tcW w:w="938" w:type="pct"/>
            <w:tcBorders>
              <w:tl2br w:val="nil"/>
              <w:tr2bl w:val="nil"/>
            </w:tcBorders>
            <w:noWrap w:val="0"/>
            <w:vAlign w:val="center"/>
          </w:tcPr>
          <w:p w14:paraId="070D53BC">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0.0001L</w:t>
            </w:r>
          </w:p>
        </w:tc>
        <w:tc>
          <w:tcPr>
            <w:tcW w:w="1209" w:type="pct"/>
            <w:tcBorders>
              <w:tl2br w:val="nil"/>
              <w:tr2bl w:val="nil"/>
            </w:tcBorders>
            <w:noWrap w:val="0"/>
            <w:vAlign w:val="center"/>
          </w:tcPr>
          <w:p w14:paraId="7A5A60F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41" w:name="_Toc5534"/>
            <w:bookmarkStart w:id="4342" w:name="_Toc3129"/>
            <w:r>
              <w:rPr>
                <w:rFonts w:hint="default" w:ascii="Times New Roman" w:hAnsi="Times New Roman" w:cs="Times New Roman"/>
                <w:color w:val="auto"/>
                <w:sz w:val="21"/>
                <w:szCs w:val="21"/>
                <w:highlight w:val="none"/>
              </w:rPr>
              <w:t>≤0.01</w:t>
            </w:r>
            <w:bookmarkEnd w:id="4341"/>
            <w:bookmarkEnd w:id="4342"/>
          </w:p>
        </w:tc>
      </w:tr>
      <w:tr w14:paraId="2FD042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16688C5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43" w:name="_Toc8790"/>
            <w:bookmarkStart w:id="4344" w:name="_Toc5767"/>
            <w:r>
              <w:rPr>
                <w:rFonts w:hint="default" w:ascii="Times New Roman" w:hAnsi="Times New Roman" w:cs="Times New Roman"/>
                <w:color w:val="auto"/>
                <w:sz w:val="21"/>
                <w:szCs w:val="21"/>
                <w:highlight w:val="none"/>
              </w:rPr>
              <w:t>氟化物</w:t>
            </w:r>
            <w:bookmarkEnd w:id="4343"/>
            <w:bookmarkEnd w:id="4344"/>
          </w:p>
        </w:tc>
        <w:tc>
          <w:tcPr>
            <w:tcW w:w="921" w:type="pct"/>
            <w:tcBorders>
              <w:tl2br w:val="nil"/>
              <w:tr2bl w:val="nil"/>
            </w:tcBorders>
            <w:noWrap w:val="0"/>
            <w:vAlign w:val="center"/>
          </w:tcPr>
          <w:p w14:paraId="2D8628F3">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0.78</w:t>
            </w:r>
          </w:p>
        </w:tc>
        <w:tc>
          <w:tcPr>
            <w:tcW w:w="804" w:type="pct"/>
            <w:tcBorders>
              <w:tl2br w:val="nil"/>
              <w:tr2bl w:val="nil"/>
            </w:tcBorders>
            <w:noWrap w:val="0"/>
            <w:vAlign w:val="center"/>
          </w:tcPr>
          <w:p w14:paraId="1E917146">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bidi="ar-SA"/>
              </w:rPr>
              <w:t>0.97</w:t>
            </w:r>
          </w:p>
        </w:tc>
        <w:tc>
          <w:tcPr>
            <w:tcW w:w="938" w:type="pct"/>
            <w:tcBorders>
              <w:tl2br w:val="nil"/>
              <w:tr2bl w:val="nil"/>
            </w:tcBorders>
            <w:noWrap w:val="0"/>
            <w:vAlign w:val="center"/>
          </w:tcPr>
          <w:p w14:paraId="18DE13BB">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bidi="ar-SA"/>
              </w:rPr>
              <w:t>1.12</w:t>
            </w:r>
          </w:p>
        </w:tc>
        <w:tc>
          <w:tcPr>
            <w:tcW w:w="1209" w:type="pct"/>
            <w:tcBorders>
              <w:tl2br w:val="nil"/>
              <w:tr2bl w:val="nil"/>
            </w:tcBorders>
            <w:noWrap w:val="0"/>
            <w:vAlign w:val="center"/>
          </w:tcPr>
          <w:p w14:paraId="6ADD21C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bookmarkStart w:id="4345" w:name="_Toc7820"/>
            <w:bookmarkStart w:id="4346" w:name="_Toc30768"/>
            <w:r>
              <w:rPr>
                <w:rFonts w:hint="default" w:ascii="Times New Roman" w:hAnsi="Times New Roman" w:cs="Times New Roman"/>
                <w:color w:val="auto"/>
                <w:sz w:val="21"/>
                <w:szCs w:val="21"/>
                <w:highlight w:val="none"/>
              </w:rPr>
              <w:t>≤1.0</w:t>
            </w:r>
            <w:bookmarkEnd w:id="4345"/>
            <w:bookmarkEnd w:id="4346"/>
          </w:p>
        </w:tc>
      </w:tr>
      <w:tr w14:paraId="33E41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127" w:type="pct"/>
            <w:tcBorders>
              <w:tl2br w:val="nil"/>
              <w:tr2bl w:val="nil"/>
            </w:tcBorders>
            <w:noWrap w:val="0"/>
            <w:vAlign w:val="center"/>
          </w:tcPr>
          <w:p w14:paraId="47BB4260">
            <w:pPr>
              <w:pStyle w:val="29"/>
              <w:suppressLineNumbers w:val="0"/>
              <w:bidi w:val="0"/>
              <w:spacing w:beforeAutospacing="0" w:afterAutospacing="0"/>
              <w:ind w:left="0" w:right="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镉</w:t>
            </w:r>
          </w:p>
        </w:tc>
        <w:tc>
          <w:tcPr>
            <w:tcW w:w="921" w:type="pct"/>
            <w:tcBorders>
              <w:tl2br w:val="nil"/>
              <w:tr2bl w:val="nil"/>
            </w:tcBorders>
            <w:noWrap w:val="0"/>
            <w:vAlign w:val="center"/>
          </w:tcPr>
          <w:p w14:paraId="4D7423F9">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cs="Times New Roman"/>
                <w:bCs w:val="0"/>
                <w:color w:val="auto"/>
                <w:sz w:val="21"/>
                <w:szCs w:val="21"/>
                <w:highlight w:val="none"/>
                <w:lang w:val="en-US" w:eastAsia="zh-CN" w:bidi="ar-SA"/>
              </w:rPr>
              <w:t>/</w:t>
            </w:r>
          </w:p>
        </w:tc>
        <w:tc>
          <w:tcPr>
            <w:tcW w:w="804" w:type="pct"/>
            <w:tcBorders>
              <w:tl2br w:val="nil"/>
              <w:tr2bl w:val="nil"/>
            </w:tcBorders>
            <w:noWrap w:val="0"/>
            <w:vAlign w:val="center"/>
          </w:tcPr>
          <w:p w14:paraId="0336ED2D">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val="0"/>
                <w:color w:val="auto"/>
                <w:sz w:val="21"/>
                <w:szCs w:val="21"/>
                <w:highlight w:val="none"/>
                <w:lang w:val="en-US" w:eastAsia="zh-CN" w:bidi="ar-SA"/>
              </w:rPr>
            </w:pPr>
            <w:r>
              <w:rPr>
                <w:rFonts w:hint="eastAsia" w:cs="Times New Roman"/>
                <w:bCs w:val="0"/>
                <w:color w:val="auto"/>
                <w:sz w:val="21"/>
                <w:szCs w:val="21"/>
                <w:highlight w:val="none"/>
                <w:lang w:val="en-US" w:eastAsia="zh-CN" w:bidi="ar-SA"/>
              </w:rPr>
              <w:t>/</w:t>
            </w:r>
          </w:p>
        </w:tc>
        <w:tc>
          <w:tcPr>
            <w:tcW w:w="938" w:type="pct"/>
            <w:tcBorders>
              <w:tl2br w:val="nil"/>
              <w:tr2bl w:val="nil"/>
            </w:tcBorders>
            <w:noWrap w:val="0"/>
            <w:vAlign w:val="center"/>
          </w:tcPr>
          <w:p w14:paraId="4BF074D9">
            <w:pPr>
              <w:pStyle w:val="29"/>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val="0"/>
                <w:color w:val="auto"/>
                <w:sz w:val="21"/>
                <w:szCs w:val="21"/>
                <w:highlight w:val="none"/>
                <w:lang w:val="en-US" w:eastAsia="zh-CN" w:bidi="ar-SA"/>
              </w:rPr>
            </w:pPr>
            <w:r>
              <w:rPr>
                <w:rFonts w:hint="default" w:ascii="Times New Roman" w:hAnsi="Times New Roman" w:eastAsia="宋体" w:cs="Times New Roman"/>
                <w:bCs w:val="0"/>
                <w:color w:val="auto"/>
                <w:sz w:val="21"/>
                <w:szCs w:val="21"/>
                <w:highlight w:val="none"/>
                <w:lang w:val="en-US" w:eastAsia="zh-CN" w:bidi="ar-SA"/>
              </w:rPr>
              <w:t>0.01Lμg/L</w:t>
            </w:r>
          </w:p>
        </w:tc>
        <w:tc>
          <w:tcPr>
            <w:tcW w:w="1209" w:type="pct"/>
            <w:tcBorders>
              <w:tl2br w:val="nil"/>
              <w:tr2bl w:val="nil"/>
            </w:tcBorders>
            <w:noWrap w:val="0"/>
            <w:vAlign w:val="center"/>
          </w:tcPr>
          <w:p w14:paraId="6CFF551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r>
    </w:tbl>
    <w:p w14:paraId="268EFD7F">
      <w:pPr>
        <w:pStyle w:val="2"/>
        <w:jc w:val="both"/>
        <w:outlineLvl w:val="9"/>
        <w:rPr>
          <w:rFonts w:hint="default" w:ascii="Times New Roman" w:hAnsi="Times New Roman" w:cs="Times New Roman"/>
          <w:b w:val="0"/>
          <w:bCs w:val="0"/>
          <w:color w:val="auto"/>
          <w:sz w:val="24"/>
          <w:szCs w:val="24"/>
          <w:highlight w:val="none"/>
          <w:lang w:val="en-US" w:eastAsia="zh-CN"/>
        </w:rPr>
        <w:sectPr>
          <w:pgSz w:w="16840" w:h="11910" w:orient="landscape"/>
          <w:pgMar w:top="1800" w:right="1440" w:bottom="1800" w:left="144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14:paraId="7281D19A">
      <w:pPr>
        <w:jc w:val="both"/>
        <w:rPr>
          <w:rFonts w:hint="default"/>
          <w:color w:val="auto"/>
          <w:highlight w:val="none"/>
        </w:rPr>
      </w:pPr>
      <w:r>
        <w:rPr>
          <w:rFonts w:hint="default" w:ascii="Times New Roman" w:hAnsi="Times New Roman" w:cs="Times New Roman"/>
          <w:b w:val="0"/>
          <w:bCs w:val="0"/>
          <w:color w:val="auto"/>
          <w:sz w:val="24"/>
          <w:szCs w:val="24"/>
          <w:highlight w:val="none"/>
          <w:lang w:val="en-US" w:eastAsia="zh-CN"/>
        </w:rPr>
        <w:t>根据表5.3-3可知，</w:t>
      </w:r>
      <w:r>
        <w:rPr>
          <w:rFonts w:hint="default"/>
          <w:color w:val="auto"/>
          <w:highlight w:val="none"/>
        </w:rPr>
        <w:t>除总硬度、硫酸盐、总大肠菌群部分点位超标外，其余监测因子均满足《地下水质量标准》（GB/T 14848-2017）Ⅲ类标准限值要求。</w:t>
      </w:r>
    </w:p>
    <w:p w14:paraId="2C1819C6">
      <w:pPr>
        <w:jc w:val="both"/>
        <w:rPr>
          <w:rFonts w:hint="eastAsia" w:eastAsia="宋体"/>
          <w:color w:val="auto"/>
          <w:highlight w:val="none"/>
          <w:lang w:eastAsia="zh-CN"/>
        </w:rPr>
      </w:pPr>
      <w:r>
        <w:rPr>
          <w:rFonts w:hint="default"/>
          <w:color w:val="auto"/>
          <w:highlight w:val="none"/>
        </w:rPr>
        <w:t>1</w:t>
      </w:r>
      <w:r>
        <w:rPr>
          <w:rFonts w:hint="eastAsia"/>
          <w:color w:val="auto"/>
          <w:highlight w:val="none"/>
          <w:vertAlign w:val="superscript"/>
          <w:lang w:eastAsia="zh-CN"/>
        </w:rPr>
        <w:t>#</w:t>
      </w:r>
      <w:r>
        <w:rPr>
          <w:rFonts w:hint="default"/>
          <w:color w:val="auto"/>
          <w:highlight w:val="none"/>
        </w:rPr>
        <w:t>点位总硬度超标</w:t>
      </w:r>
      <w:r>
        <w:rPr>
          <w:rFonts w:hint="eastAsia"/>
          <w:color w:val="auto"/>
          <w:highlight w:val="none"/>
          <w:lang w:eastAsia="zh-CN"/>
        </w:rPr>
        <w:t>，</w:t>
      </w:r>
      <w:r>
        <w:rPr>
          <w:rFonts w:hint="default"/>
          <w:color w:val="auto"/>
          <w:highlight w:val="none"/>
        </w:rPr>
        <w:t>1</w:t>
      </w:r>
      <w:r>
        <w:rPr>
          <w:rFonts w:hint="eastAsia"/>
          <w:color w:val="auto"/>
          <w:highlight w:val="none"/>
          <w:vertAlign w:val="superscript"/>
          <w:lang w:eastAsia="zh-CN"/>
        </w:rPr>
        <w:t>#</w:t>
      </w:r>
      <w:r>
        <w:rPr>
          <w:rFonts w:hint="default"/>
          <w:color w:val="auto"/>
          <w:highlight w:val="none"/>
        </w:rPr>
        <w:t>、3</w:t>
      </w:r>
      <w:r>
        <w:rPr>
          <w:rFonts w:hint="eastAsia"/>
          <w:color w:val="auto"/>
          <w:highlight w:val="none"/>
          <w:vertAlign w:val="superscript"/>
          <w:lang w:eastAsia="zh-CN"/>
        </w:rPr>
        <w:t>#</w:t>
      </w:r>
      <w:r>
        <w:rPr>
          <w:rFonts w:hint="default"/>
          <w:color w:val="auto"/>
          <w:highlight w:val="none"/>
        </w:rPr>
        <w:t>点位硫酸盐超标</w:t>
      </w:r>
      <w:r>
        <w:rPr>
          <w:rFonts w:hint="eastAsia"/>
          <w:color w:val="auto"/>
          <w:highlight w:val="none"/>
          <w:lang w:eastAsia="zh-CN"/>
        </w:rPr>
        <w:t>，</w:t>
      </w:r>
      <w:r>
        <w:rPr>
          <w:rFonts w:hint="default"/>
          <w:color w:val="auto"/>
          <w:highlight w:val="none"/>
        </w:rPr>
        <w:t>1</w:t>
      </w:r>
      <w:r>
        <w:rPr>
          <w:rFonts w:hint="eastAsia"/>
          <w:color w:val="auto"/>
          <w:highlight w:val="none"/>
          <w:vertAlign w:val="superscript"/>
          <w:lang w:eastAsia="zh-CN"/>
        </w:rPr>
        <w:t>#</w:t>
      </w:r>
      <w:r>
        <w:rPr>
          <w:rFonts w:hint="eastAsia"/>
          <w:color w:val="auto"/>
          <w:highlight w:val="none"/>
          <w:lang w:val="en-US" w:eastAsia="zh-CN"/>
        </w:rPr>
        <w:t>、</w:t>
      </w:r>
      <w:r>
        <w:rPr>
          <w:rFonts w:hint="default"/>
          <w:color w:val="auto"/>
          <w:highlight w:val="none"/>
        </w:rPr>
        <w:t>2</w:t>
      </w:r>
      <w:r>
        <w:rPr>
          <w:rFonts w:hint="eastAsia"/>
          <w:color w:val="auto"/>
          <w:highlight w:val="none"/>
          <w:vertAlign w:val="superscript"/>
          <w:lang w:eastAsia="zh-CN"/>
        </w:rPr>
        <w:t>#</w:t>
      </w:r>
      <w:r>
        <w:rPr>
          <w:rFonts w:hint="default"/>
          <w:color w:val="auto"/>
          <w:highlight w:val="none"/>
        </w:rPr>
        <w:t>点位总大肠菌群超标</w:t>
      </w:r>
      <w:r>
        <w:rPr>
          <w:rFonts w:hint="eastAsia"/>
          <w:color w:val="auto"/>
          <w:highlight w:val="none"/>
          <w:lang w:eastAsia="zh-CN"/>
        </w:rPr>
        <w:t>，其余</w:t>
      </w:r>
      <w:r>
        <w:rPr>
          <w:rFonts w:hint="default"/>
          <w:color w:val="auto"/>
          <w:highlight w:val="none"/>
        </w:rPr>
        <w:t>监测因子均满足《地下水质量标准》（GB/T 14848-2017）Ⅲ类标准限值要求。</w:t>
      </w:r>
      <w:r>
        <w:rPr>
          <w:rFonts w:hint="eastAsia"/>
          <w:color w:val="auto"/>
          <w:highlight w:val="none"/>
          <w:lang w:eastAsia="zh-CN"/>
        </w:rPr>
        <w:t>其中</w:t>
      </w:r>
      <w:r>
        <w:rPr>
          <w:rFonts w:hint="default"/>
          <w:color w:val="auto"/>
          <w:highlight w:val="none"/>
        </w:rPr>
        <w:t>总硬度、硫酸盐</w:t>
      </w:r>
      <w:r>
        <w:rPr>
          <w:rFonts w:hint="eastAsia"/>
          <w:color w:val="auto"/>
          <w:highlight w:val="none"/>
          <w:lang w:eastAsia="zh-CN"/>
        </w:rPr>
        <w:t>超标主要</w:t>
      </w:r>
      <w:r>
        <w:rPr>
          <w:rFonts w:hint="default" w:ascii="Times New Roman" w:hAnsi="Times New Roman" w:eastAsia="宋体" w:cs="Times New Roman"/>
          <w:b w:val="0"/>
          <w:bCs w:val="0"/>
          <w:color w:val="auto"/>
          <w:sz w:val="24"/>
          <w:szCs w:val="24"/>
          <w:highlight w:val="none"/>
          <w:lang w:val="en-US" w:eastAsia="zh-CN"/>
        </w:rPr>
        <w:t>为当地地下水本底值较高</w:t>
      </w:r>
      <w:r>
        <w:rPr>
          <w:rFonts w:hint="eastAsia" w:ascii="Times New Roman" w:hAnsi="Times New Roman" w:eastAsia="宋体" w:cs="Times New Roman"/>
          <w:b w:val="0"/>
          <w:bCs w:val="0"/>
          <w:color w:val="auto"/>
          <w:sz w:val="24"/>
          <w:szCs w:val="24"/>
          <w:highlight w:val="none"/>
          <w:lang w:val="en-US" w:eastAsia="zh-CN"/>
        </w:rPr>
        <w:t>；</w:t>
      </w:r>
      <w:r>
        <w:rPr>
          <w:rFonts w:hint="default"/>
          <w:color w:val="auto"/>
          <w:highlight w:val="none"/>
        </w:rPr>
        <w:t>1</w:t>
      </w:r>
      <w:r>
        <w:rPr>
          <w:rFonts w:hint="eastAsia"/>
          <w:color w:val="auto"/>
          <w:highlight w:val="none"/>
          <w:vertAlign w:val="superscript"/>
          <w:lang w:eastAsia="zh-CN"/>
        </w:rPr>
        <w:t>#</w:t>
      </w:r>
      <w:r>
        <w:rPr>
          <w:rFonts w:hint="eastAsia"/>
          <w:color w:val="auto"/>
          <w:highlight w:val="none"/>
          <w:lang w:val="en-US" w:eastAsia="zh-CN"/>
        </w:rPr>
        <w:t>、</w:t>
      </w:r>
      <w:r>
        <w:rPr>
          <w:rFonts w:hint="default"/>
          <w:color w:val="auto"/>
          <w:highlight w:val="none"/>
        </w:rPr>
        <w:t>2</w:t>
      </w:r>
      <w:r>
        <w:rPr>
          <w:rFonts w:hint="eastAsia"/>
          <w:color w:val="auto"/>
          <w:highlight w:val="none"/>
          <w:vertAlign w:val="superscript"/>
          <w:lang w:eastAsia="zh-CN"/>
        </w:rPr>
        <w:t>#</w:t>
      </w:r>
      <w:r>
        <w:rPr>
          <w:rFonts w:hint="default"/>
          <w:color w:val="auto"/>
          <w:highlight w:val="none"/>
        </w:rPr>
        <w:t>点位总大肠菌群超标</w:t>
      </w:r>
      <w:r>
        <w:rPr>
          <w:rFonts w:hint="eastAsia"/>
          <w:color w:val="auto"/>
          <w:highlight w:val="none"/>
          <w:lang w:eastAsia="zh-CN"/>
        </w:rPr>
        <w:t>可能与周边村庄</w:t>
      </w:r>
      <w:r>
        <w:rPr>
          <w:rFonts w:ascii="Segoe UI" w:hAnsi="Segoe UI" w:eastAsia="Segoe UI" w:cs="Segoe UI"/>
          <w:i w:val="0"/>
          <w:iCs w:val="0"/>
          <w:caps w:val="0"/>
          <w:color w:val="auto"/>
          <w:spacing w:val="0"/>
          <w:sz w:val="24"/>
          <w:szCs w:val="24"/>
          <w:highlight w:val="none"/>
          <w:shd w:val="clear" w:fill="FFFFFF"/>
        </w:rPr>
        <w:t>人类活动</w:t>
      </w:r>
      <w:r>
        <w:rPr>
          <w:rFonts w:hint="eastAsia" w:ascii="Segoe UI" w:hAnsi="Segoe UI" w:eastAsia="宋体" w:cs="Segoe UI"/>
          <w:i w:val="0"/>
          <w:iCs w:val="0"/>
          <w:caps w:val="0"/>
          <w:color w:val="auto"/>
          <w:spacing w:val="0"/>
          <w:sz w:val="24"/>
          <w:szCs w:val="24"/>
          <w:highlight w:val="none"/>
          <w:shd w:val="clear" w:fill="FFFFFF"/>
          <w:lang w:eastAsia="zh-CN"/>
        </w:rPr>
        <w:t>有关</w:t>
      </w:r>
      <w:r>
        <w:rPr>
          <w:rFonts w:hint="default"/>
          <w:color w:val="auto"/>
          <w:highlight w:val="none"/>
        </w:rPr>
        <w:t>。</w:t>
      </w:r>
    </w:p>
    <w:p w14:paraId="7377402F">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（5）评价标准与评价方法</w:t>
      </w:r>
    </w:p>
    <w:p w14:paraId="1735AA21">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地下水环境质量评价执行《地下水质量标准》</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GB/T14848-2017</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中Ⅲ类标准。</w:t>
      </w:r>
    </w:p>
    <w:p w14:paraId="410FCA04">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地下水水质现状评价采用标准指数法，其公式如下：</w:t>
      </w:r>
    </w:p>
    <w:p w14:paraId="390F0FF1">
      <w:pPr>
        <w:spacing w:beforeLines="0" w:afterLines="0"/>
        <w:jc w:val="both"/>
        <w:rPr>
          <w:rFonts w:hint="default" w:ascii="Times New Roman" w:hAnsi="Times New Roman" w:cs="Times New Roman"/>
          <w:color w:val="auto"/>
          <w:sz w:val="24"/>
          <w:szCs w:val="24"/>
          <w:highlight w:val="none"/>
          <w:lang w:val="en-US" w:eastAsia="zh-CN"/>
        </w:rPr>
      </w:pPr>
      <m:oMathPara>
        <m:oMath>
          <m:sSub>
            <m:sSubPr>
              <m:ctrlPr>
                <w:rPr>
                  <w:rFonts w:hint="default" w:ascii="Cambria Math" w:hAnsi="Cambria Math" w:cs="Times New Roman"/>
                  <w:i/>
                  <w:color w:val="auto"/>
                  <w:sz w:val="24"/>
                  <w:szCs w:val="24"/>
                  <w:highlight w:val="none"/>
                  <w:lang w:val="en-US"/>
                </w:rPr>
              </m:ctrlPr>
            </m:sSubPr>
            <m:e>
              <m:r>
                <m:rPr>
                  <m:nor/>
                </m:rPr>
                <w:rPr>
                  <w:rFonts w:hint="default" w:ascii="Times New Roman" w:hAnsi="Times New Roman" w:cs="Times New Roman"/>
                  <w:i/>
                  <w:color w:val="auto"/>
                  <w:sz w:val="24"/>
                  <w:szCs w:val="24"/>
                  <w:highlight w:val="none"/>
                  <w:lang w:val="en-US" w:eastAsia="zh-CN"/>
                </w:rPr>
                <m:t>S</m:t>
              </m:r>
              <m:ctrlPr>
                <w:rPr>
                  <w:rFonts w:hint="default" w:ascii="Cambria Math" w:hAnsi="Cambria Math" w:cs="Times New Roman"/>
                  <w:i/>
                  <w:color w:val="auto"/>
                  <w:sz w:val="24"/>
                  <w:szCs w:val="24"/>
                  <w:highlight w:val="none"/>
                  <w:lang w:val="en-US"/>
                </w:rPr>
              </m:ctrlPr>
            </m:e>
            <m:sub>
              <m:r>
                <m:rPr>
                  <m:nor/>
                </m:rPr>
                <w:rPr>
                  <w:rFonts w:hint="default" w:ascii="Times New Roman" w:hAnsi="Times New Roman" w:cs="Times New Roman"/>
                  <w:i/>
                  <w:color w:val="auto"/>
                  <w:sz w:val="24"/>
                  <w:szCs w:val="24"/>
                  <w:highlight w:val="none"/>
                  <w:lang w:val="en-US" w:eastAsia="zh-CN"/>
                </w:rPr>
                <m:t>i</m:t>
              </m:r>
              <m:r>
                <m:rPr>
                  <m:nor/>
                  <m:sty m:val="p"/>
                </m:rPr>
                <w:rPr>
                  <w:rFonts w:hint="default" w:cs="Times New Roman"/>
                  <w:b w:val="0"/>
                  <w:i w:val="0"/>
                  <w:color w:val="auto"/>
                  <w:sz w:val="24"/>
                  <w:szCs w:val="24"/>
                  <w:highlight w:val="none"/>
                  <w:lang w:val="en-US" w:eastAsia="zh-CN"/>
                </w:rPr>
                <m:t xml:space="preserve">, </m:t>
              </m:r>
              <m:r>
                <m:rPr>
                  <m:nor/>
                </m:rPr>
                <w:rPr>
                  <w:rFonts w:hint="default" w:ascii="Times New Roman" w:hAnsi="Times New Roman" w:cs="Times New Roman"/>
                  <w:i/>
                  <w:color w:val="auto"/>
                  <w:sz w:val="24"/>
                  <w:szCs w:val="24"/>
                  <w:highlight w:val="none"/>
                  <w:lang w:val="en-US" w:eastAsia="zh-CN"/>
                </w:rPr>
                <m:t>j</m:t>
              </m:r>
              <m:r>
                <m:rPr>
                  <m:nor/>
                  <m:sty m:val="p"/>
                </m:rPr>
                <w:rPr>
                  <w:rFonts w:hint="default" w:ascii="Times New Roman" w:hAnsi="Times New Roman" w:cs="Times New Roman"/>
                  <w:b w:val="0"/>
                  <w:i w:val="0"/>
                  <w:color w:val="auto"/>
                  <w:sz w:val="24"/>
                  <w:szCs w:val="24"/>
                  <w:highlight w:val="none"/>
                  <w:lang w:val="en-US" w:eastAsia="zh-CN"/>
                </w:rPr>
                <m:t>=</m:t>
              </m:r>
              <m:f>
                <m:fPr>
                  <m:ctrlPr>
                    <w:rPr>
                      <w:rFonts w:hint="default" w:ascii="Cambria Math" w:hAnsi="Cambria Math" w:cs="Times New Roman"/>
                      <w:i/>
                      <w:color w:val="auto"/>
                      <w:sz w:val="24"/>
                      <w:szCs w:val="24"/>
                      <w:highlight w:val="none"/>
                      <w:lang w:val="en-US" w:eastAsia="zh-CN"/>
                    </w:rPr>
                  </m:ctrlPr>
                </m:fPr>
                <m:num>
                  <m:sSub>
                    <m:sSubPr>
                      <m:ctrlPr>
                        <w:rPr>
                          <w:rFonts w:hint="default" w:ascii="Cambria Math" w:hAnsi="Cambria Math" w:cs="Times New Roman"/>
                          <w:i/>
                          <w:color w:val="auto"/>
                          <w:sz w:val="24"/>
                          <w:szCs w:val="24"/>
                          <w:highlight w:val="none"/>
                          <w:lang w:val="en-US" w:eastAsia="zh-CN"/>
                        </w:rPr>
                      </m:ctrlPr>
                    </m:sSubPr>
                    <m:e>
                      <m:r>
                        <m:rPr>
                          <m:nor/>
                        </m:rPr>
                        <w:rPr>
                          <w:rFonts w:hint="default" w:ascii="Times New Roman" w:hAnsi="Times New Roman" w:cs="Times New Roman"/>
                          <w:i/>
                          <w:color w:val="auto"/>
                          <w:sz w:val="24"/>
                          <w:szCs w:val="24"/>
                          <w:highlight w:val="none"/>
                          <w:lang w:val="en-US" w:eastAsia="zh-CN"/>
                        </w:rPr>
                        <m:t>C</m:t>
                      </m:r>
                      <m:ctrlPr>
                        <w:rPr>
                          <w:rFonts w:hint="default" w:ascii="Cambria Math" w:hAnsi="Cambria Math" w:cs="Times New Roman"/>
                          <w:i/>
                          <w:color w:val="auto"/>
                          <w:sz w:val="24"/>
                          <w:szCs w:val="24"/>
                          <w:highlight w:val="none"/>
                          <w:lang w:val="en-US" w:eastAsia="zh-CN"/>
                        </w:rPr>
                      </m:ctrlPr>
                    </m:e>
                    <m:sub>
                      <m:r>
                        <m:rPr>
                          <m:nor/>
                        </m:rPr>
                        <w:rPr>
                          <w:rFonts w:hint="default" w:ascii="Times New Roman" w:hAnsi="Times New Roman" w:cs="Times New Roman"/>
                          <w:i/>
                          <w:color w:val="auto"/>
                          <w:sz w:val="24"/>
                          <w:szCs w:val="24"/>
                          <w:highlight w:val="none"/>
                          <w:lang w:val="en-US" w:eastAsia="zh-CN"/>
                        </w:rPr>
                        <m:t>i</m:t>
                      </m:r>
                      <m:r>
                        <m:rPr>
                          <m:nor/>
                          <m:sty m:val="p"/>
                        </m:rPr>
                        <w:rPr>
                          <w:rFonts w:hint="default" w:cs="Times New Roman"/>
                          <w:b w:val="0"/>
                          <w:i w:val="0"/>
                          <w:color w:val="auto"/>
                          <w:sz w:val="24"/>
                          <w:szCs w:val="24"/>
                          <w:highlight w:val="none"/>
                          <w:lang w:val="en-US" w:eastAsia="zh-CN"/>
                        </w:rPr>
                        <m:t xml:space="preserve">, </m:t>
                      </m:r>
                      <m:r>
                        <m:rPr>
                          <m:nor/>
                        </m:rPr>
                        <w:rPr>
                          <w:rFonts w:hint="default" w:ascii="Times New Roman" w:hAnsi="Times New Roman" w:cs="Times New Roman"/>
                          <w:i/>
                          <w:color w:val="auto"/>
                          <w:sz w:val="24"/>
                          <w:szCs w:val="24"/>
                          <w:highlight w:val="none"/>
                          <w:lang w:val="en-US" w:eastAsia="zh-CN"/>
                        </w:rPr>
                        <m:t>j</m:t>
                      </m:r>
                      <m:ctrlPr>
                        <w:rPr>
                          <w:rFonts w:hint="default" w:ascii="Cambria Math" w:hAnsi="Cambria Math" w:cs="Times New Roman"/>
                          <w:i/>
                          <w:color w:val="auto"/>
                          <w:sz w:val="24"/>
                          <w:szCs w:val="24"/>
                          <w:highlight w:val="none"/>
                          <w:lang w:val="en-US" w:eastAsia="zh-CN"/>
                        </w:rPr>
                      </m:ctrlPr>
                    </m:sub>
                  </m:sSub>
                  <m:ctrlPr>
                    <w:rPr>
                      <w:rFonts w:hint="default" w:ascii="Cambria Math" w:hAnsi="Cambria Math" w:cs="Times New Roman"/>
                      <w:i/>
                      <w:color w:val="auto"/>
                      <w:sz w:val="24"/>
                      <w:szCs w:val="24"/>
                      <w:highlight w:val="none"/>
                      <w:lang w:val="en-US" w:eastAsia="zh-CN"/>
                    </w:rPr>
                  </m:ctrlPr>
                </m:num>
                <m:den>
                  <m:sSub>
                    <m:sSubPr>
                      <m:ctrlPr>
                        <w:rPr>
                          <w:rFonts w:hint="default" w:ascii="Cambria Math" w:hAnsi="Cambria Math" w:cs="Times New Roman"/>
                          <w:i/>
                          <w:color w:val="auto"/>
                          <w:sz w:val="24"/>
                          <w:szCs w:val="24"/>
                          <w:highlight w:val="none"/>
                          <w:lang w:val="en-US" w:eastAsia="zh-CN"/>
                        </w:rPr>
                      </m:ctrlPr>
                    </m:sSubPr>
                    <m:e>
                      <m:r>
                        <m:rPr>
                          <m:nor/>
                        </m:rPr>
                        <w:rPr>
                          <w:rFonts w:hint="default" w:ascii="Times New Roman" w:hAnsi="Times New Roman" w:cs="Times New Roman"/>
                          <w:i/>
                          <w:color w:val="auto"/>
                          <w:sz w:val="24"/>
                          <w:szCs w:val="24"/>
                          <w:highlight w:val="none"/>
                          <w:lang w:val="en-US" w:eastAsia="zh-CN"/>
                        </w:rPr>
                        <m:t>C</m:t>
                      </m:r>
                      <m:ctrlPr>
                        <w:rPr>
                          <w:rFonts w:hint="default" w:ascii="Cambria Math" w:hAnsi="Cambria Math" w:cs="Times New Roman"/>
                          <w:i/>
                          <w:color w:val="auto"/>
                          <w:sz w:val="24"/>
                          <w:szCs w:val="24"/>
                          <w:highlight w:val="none"/>
                          <w:lang w:val="en-US" w:eastAsia="zh-CN"/>
                        </w:rPr>
                      </m:ctrlPr>
                    </m:e>
                    <m:sub>
                      <m:r>
                        <m:rPr>
                          <m:nor/>
                        </m:rPr>
                        <w:rPr>
                          <w:rFonts w:hint="default" w:ascii="Times New Roman" w:hAnsi="Times New Roman" w:cs="Times New Roman"/>
                          <w:i/>
                          <w:color w:val="auto"/>
                          <w:sz w:val="24"/>
                          <w:szCs w:val="24"/>
                          <w:highlight w:val="none"/>
                          <w:lang w:val="en-US" w:eastAsia="zh-CN"/>
                        </w:rPr>
                        <m:t>Si</m:t>
                      </m:r>
                      <m:ctrlPr>
                        <w:rPr>
                          <w:rFonts w:hint="default" w:ascii="Cambria Math" w:hAnsi="Cambria Math" w:cs="Times New Roman"/>
                          <w:i/>
                          <w:color w:val="auto"/>
                          <w:sz w:val="24"/>
                          <w:szCs w:val="24"/>
                          <w:highlight w:val="none"/>
                          <w:lang w:val="en-US" w:eastAsia="zh-CN"/>
                        </w:rPr>
                      </m:ctrlPr>
                    </m:sub>
                  </m:sSub>
                  <m:ctrlPr>
                    <w:rPr>
                      <w:rFonts w:hint="default" w:ascii="Cambria Math" w:hAnsi="Cambria Math" w:cs="Times New Roman"/>
                      <w:i/>
                      <w:color w:val="auto"/>
                      <w:sz w:val="24"/>
                      <w:szCs w:val="24"/>
                      <w:highlight w:val="none"/>
                      <w:lang w:val="en-US" w:eastAsia="zh-CN"/>
                    </w:rPr>
                  </m:ctrlPr>
                </m:den>
              </m:f>
              <m:ctrlPr>
                <w:rPr>
                  <w:rFonts w:hint="default" w:ascii="Cambria Math" w:hAnsi="Cambria Math" w:cs="Times New Roman"/>
                  <w:i/>
                  <w:color w:val="auto"/>
                  <w:sz w:val="24"/>
                  <w:szCs w:val="24"/>
                  <w:highlight w:val="none"/>
                  <w:lang w:val="en-US"/>
                </w:rPr>
              </m:ctrlPr>
            </m:sub>
          </m:sSub>
        </m:oMath>
      </m:oMathPara>
    </w:p>
    <w:p w14:paraId="76BDAE63">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式中：Si，j-单项水质参数i在第j点的标准指数；</w:t>
      </w:r>
    </w:p>
    <w:p w14:paraId="2C3EBB0C">
      <w:pPr>
        <w:spacing w:beforeLines="0" w:afterLines="0"/>
        <w:ind w:firstLine="1200" w:firstLineChars="5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Ci，j-单项水质参数i在第j点的实测浓度；</w:t>
      </w:r>
    </w:p>
    <w:p w14:paraId="5AF132A1">
      <w:pPr>
        <w:spacing w:beforeLines="0" w:afterLines="0"/>
        <w:ind w:firstLine="1200" w:firstLineChars="5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Csi-单项水质参数i在第j点的评价标准。</w:t>
      </w:r>
    </w:p>
    <w:p w14:paraId="16F04829">
      <w:pPr>
        <w:spacing w:beforeLines="0" w:afterLines="0"/>
        <w:ind w:firstLine="1200" w:firstLineChars="500"/>
        <w:jc w:val="both"/>
        <w:rPr>
          <w:rFonts w:hint="default" w:ascii="Times New Roman" w:hAnsi="Times New Roman" w:eastAsia="宋体" w:cs="Times New Roman"/>
          <w:color w:val="auto"/>
          <w:sz w:val="24"/>
          <w:szCs w:val="24"/>
          <w:highlight w:val="none"/>
          <w:lang w:val="en-US" w:eastAsia="zh-CN"/>
        </w:rPr>
      </w:pPr>
      <m:oMathPara>
        <m:oMath>
          <m:sSub>
            <m:sSubPr>
              <m:ctrlPr>
                <w:rPr>
                  <w:rFonts w:hint="default" w:ascii="Cambria Math" w:hAnsi="Cambria Math" w:cs="Times New Roman"/>
                  <w:i/>
                  <w:color w:val="auto"/>
                  <w:sz w:val="24"/>
                  <w:szCs w:val="24"/>
                  <w:highlight w:val="none"/>
                  <w:lang w:val="en-US" w:eastAsia="zh-CN"/>
                </w:rPr>
              </m:ctrlPr>
            </m:sSubPr>
            <m:e>
              <m:r>
                <m:rPr>
                  <m:nor/>
                </m:rPr>
                <w:rPr>
                  <w:rFonts w:hint="default" w:ascii="Times New Roman" w:hAnsi="Times New Roman" w:cs="Times New Roman"/>
                  <w:i/>
                  <w:color w:val="auto"/>
                  <w:sz w:val="24"/>
                  <w:szCs w:val="24"/>
                  <w:highlight w:val="none"/>
                  <w:lang w:val="en-US" w:eastAsia="zh-CN"/>
                </w:rPr>
                <m:t>S</m:t>
              </m:r>
              <m:ctrlPr>
                <w:rPr>
                  <w:rFonts w:hint="default" w:ascii="Cambria Math" w:hAnsi="Cambria Math" w:cs="Times New Roman"/>
                  <w:i/>
                  <w:color w:val="auto"/>
                  <w:sz w:val="24"/>
                  <w:szCs w:val="24"/>
                  <w:highlight w:val="none"/>
                  <w:lang w:val="en-US" w:eastAsia="zh-CN"/>
                </w:rPr>
              </m:ctrlPr>
            </m:e>
            <m:sub>
              <m:r>
                <m:rPr>
                  <m:nor/>
                </m:rPr>
                <w:rPr>
                  <w:rFonts w:hint="default" w:ascii="Times New Roman" w:hAnsi="Times New Roman" w:cs="Times New Roman"/>
                  <w:i/>
                  <w:color w:val="auto"/>
                  <w:sz w:val="24"/>
                  <w:szCs w:val="24"/>
                  <w:highlight w:val="none"/>
                  <w:lang w:val="en-US" w:eastAsia="zh-CN"/>
                </w:rPr>
                <m:t>pH</m:t>
              </m:r>
              <m:r>
                <m:rPr>
                  <m:nor/>
                  <m:sty m:val="p"/>
                </m:rPr>
                <w:rPr>
                  <w:rFonts w:hint="default" w:ascii="Times New Roman" w:hAnsi="Times New Roman" w:cs="Times New Roman"/>
                  <w:b w:val="0"/>
                  <w:i w:val="0"/>
                  <w:color w:val="auto"/>
                  <w:sz w:val="24"/>
                  <w:szCs w:val="24"/>
                  <w:highlight w:val="none"/>
                  <w:lang w:val="en-US" w:eastAsia="zh-CN"/>
                </w:rPr>
                <m:t>,</m:t>
              </m:r>
              <m:r>
                <m:rPr>
                  <m:nor/>
                </m:rPr>
                <w:rPr>
                  <w:rFonts w:hint="default" w:ascii="Times New Roman" w:hAnsi="Times New Roman" w:cs="Times New Roman"/>
                  <w:i/>
                  <w:color w:val="auto"/>
                  <w:sz w:val="24"/>
                  <w:szCs w:val="24"/>
                  <w:highlight w:val="none"/>
                  <w:lang w:val="en-US" w:eastAsia="zh-CN"/>
                </w:rPr>
                <m:t>j</m:t>
              </m:r>
              <m:r>
                <m:rPr>
                  <m:nor/>
                  <m:sty m:val="p"/>
                </m:rPr>
                <w:rPr>
                  <w:rFonts w:hint="default" w:ascii="Times New Roman" w:hAnsi="Times New Roman" w:cs="Times New Roman"/>
                  <w:b w:val="0"/>
                  <w:i w:val="0"/>
                  <w:color w:val="auto"/>
                  <w:sz w:val="24"/>
                  <w:szCs w:val="24"/>
                  <w:highlight w:val="none"/>
                  <w:lang w:val="en-US" w:eastAsia="zh-CN"/>
                </w:rPr>
                <m:t>=</m:t>
              </m:r>
              <m:f>
                <m:fPr>
                  <m:ctrlPr>
                    <w:rPr>
                      <w:rFonts w:hint="default" w:ascii="Cambria Math" w:hAnsi="Cambria Math" w:cs="Times New Roman"/>
                      <w:i/>
                      <w:color w:val="auto"/>
                      <w:sz w:val="24"/>
                      <w:szCs w:val="24"/>
                      <w:highlight w:val="none"/>
                      <w:lang w:val="en-US" w:eastAsia="zh-CN"/>
                    </w:rPr>
                  </m:ctrlPr>
                </m:fPr>
                <m:num>
                  <m:r>
                    <m:rPr>
                      <m:nor/>
                      <m:sty m:val="p"/>
                    </m:rPr>
                    <w:rPr>
                      <w:rFonts w:hint="default" w:ascii="Times New Roman" w:hAnsi="Times New Roman" w:cs="Times New Roman"/>
                      <w:b w:val="0"/>
                      <w:i w:val="0"/>
                      <w:color w:val="auto"/>
                      <w:sz w:val="24"/>
                      <w:szCs w:val="24"/>
                      <w:highlight w:val="none"/>
                      <w:lang w:val="en-US" w:eastAsia="zh-CN"/>
                    </w:rPr>
                    <m:t>7.0−</m:t>
                  </m:r>
                  <m:r>
                    <m:rPr>
                      <m:nor/>
                    </m:rPr>
                    <w:rPr>
                      <w:rFonts w:hint="default" w:ascii="Times New Roman" w:hAnsi="Times New Roman" w:cs="Times New Roman"/>
                      <w:i/>
                      <w:color w:val="auto"/>
                      <w:sz w:val="24"/>
                      <w:szCs w:val="24"/>
                      <w:highlight w:val="none"/>
                      <w:lang w:val="en-US" w:eastAsia="zh-CN"/>
                    </w:rPr>
                    <m:t>pHj</m:t>
                  </m:r>
                  <m:ctrlPr>
                    <w:rPr>
                      <w:rFonts w:hint="default" w:ascii="Cambria Math" w:hAnsi="Cambria Math" w:cs="Times New Roman"/>
                      <w:i/>
                      <w:color w:val="auto"/>
                      <w:sz w:val="24"/>
                      <w:szCs w:val="24"/>
                      <w:highlight w:val="none"/>
                      <w:lang w:val="en-US" w:eastAsia="zh-CN"/>
                    </w:rPr>
                  </m:ctrlPr>
                </m:num>
                <m:den>
                  <m:r>
                    <m:rPr>
                      <m:nor/>
                      <m:sty m:val="p"/>
                    </m:rPr>
                    <w:rPr>
                      <w:rFonts w:hint="default" w:ascii="Times New Roman" w:hAnsi="Times New Roman" w:cs="Times New Roman"/>
                      <w:b w:val="0"/>
                      <w:i w:val="0"/>
                      <w:color w:val="auto"/>
                      <w:sz w:val="24"/>
                      <w:szCs w:val="24"/>
                      <w:highlight w:val="none"/>
                      <w:lang w:val="en-US" w:eastAsia="zh-CN"/>
                    </w:rPr>
                    <m:t>7.0−</m:t>
                  </m:r>
                  <m:r>
                    <m:rPr>
                      <m:nor/>
                    </m:rPr>
                    <w:rPr>
                      <w:rFonts w:hint="default" w:ascii="Times New Roman" w:hAnsi="Times New Roman" w:cs="Times New Roman"/>
                      <w:i/>
                      <w:color w:val="auto"/>
                      <w:sz w:val="24"/>
                      <w:szCs w:val="24"/>
                      <w:highlight w:val="none"/>
                      <w:lang w:val="en-US" w:eastAsia="zh-CN"/>
                    </w:rPr>
                    <m:t>pHsd</m:t>
                  </m:r>
                  <m:ctrlPr>
                    <w:rPr>
                      <w:rFonts w:hint="default" w:ascii="Cambria Math" w:hAnsi="Cambria Math" w:cs="Times New Roman"/>
                      <w:i/>
                      <w:color w:val="auto"/>
                      <w:sz w:val="24"/>
                      <w:szCs w:val="24"/>
                      <w:highlight w:val="none"/>
                      <w:lang w:val="en-US" w:eastAsia="zh-CN"/>
                    </w:rPr>
                  </m:ctrlPr>
                </m:den>
              </m:f>
              <m:r>
                <m:rPr>
                  <m:nor/>
                  <m:sty m:val="p"/>
                </m:rPr>
                <w:rPr>
                  <w:rFonts w:hint="default" w:ascii="Cambria Math" w:hAnsi="Cambria Math" w:cs="Times New Roman"/>
                  <w:b w:val="0"/>
                  <w:i w:val="0"/>
                  <w:color w:val="auto"/>
                  <w:sz w:val="24"/>
                  <w:szCs w:val="24"/>
                  <w:highlight w:val="none"/>
                  <w:lang w:val="en-US" w:eastAsia="zh-CN"/>
                </w:rPr>
                <m:t xml:space="preserve">, </m:t>
              </m:r>
              <m:r>
                <m:rPr>
                  <m:nor/>
                </m:rPr>
                <w:rPr>
                  <w:rFonts w:hint="default" w:ascii="Times New Roman" w:hAnsi="Times New Roman" w:cs="Times New Roman"/>
                  <w:i/>
                  <w:color w:val="auto"/>
                  <w:sz w:val="24"/>
                  <w:szCs w:val="24"/>
                  <w:highlight w:val="none"/>
                  <w:lang w:val="en-US" w:eastAsia="zh-CN"/>
                </w:rPr>
                <m:t>p</m:t>
              </m:r>
              <m:sSub>
                <m:sSubPr>
                  <m:ctrlPr>
                    <w:rPr>
                      <w:rFonts w:hint="default" w:ascii="Cambria Math" w:hAnsi="Cambria Math" w:cs="Times New Roman"/>
                      <w:i/>
                      <w:color w:val="auto"/>
                      <w:sz w:val="24"/>
                      <w:szCs w:val="24"/>
                      <w:highlight w:val="none"/>
                      <w:lang w:val="en-US" w:eastAsia="zh-CN"/>
                    </w:rPr>
                  </m:ctrlPr>
                </m:sSubPr>
                <m:e>
                  <m:r>
                    <m:rPr>
                      <m:nor/>
                    </m:rPr>
                    <w:rPr>
                      <w:rFonts w:hint="default" w:ascii="Times New Roman" w:hAnsi="Times New Roman" w:cs="Times New Roman"/>
                      <w:i/>
                      <w:color w:val="auto"/>
                      <w:sz w:val="24"/>
                      <w:szCs w:val="24"/>
                      <w:highlight w:val="none"/>
                      <w:lang w:val="en-US" w:eastAsia="zh-CN"/>
                    </w:rPr>
                    <m:t>H</m:t>
                  </m:r>
                  <m:ctrlPr>
                    <w:rPr>
                      <w:rFonts w:hint="default" w:ascii="Cambria Math" w:hAnsi="Cambria Math" w:cs="Times New Roman"/>
                      <w:i/>
                      <w:color w:val="auto"/>
                      <w:sz w:val="24"/>
                      <w:szCs w:val="24"/>
                      <w:highlight w:val="none"/>
                      <w:lang w:val="en-US" w:eastAsia="zh-CN"/>
                    </w:rPr>
                  </m:ctrlPr>
                </m:e>
                <m:sub>
                  <m:r>
                    <m:rPr>
                      <m:nor/>
                    </m:rPr>
                    <w:rPr>
                      <w:rFonts w:hint="default" w:ascii="Times New Roman" w:hAnsi="Times New Roman" w:cs="Times New Roman"/>
                      <w:i/>
                      <w:color w:val="auto"/>
                      <w:sz w:val="24"/>
                      <w:szCs w:val="24"/>
                      <w:highlight w:val="none"/>
                      <w:lang w:val="en-US" w:eastAsia="zh-CN"/>
                    </w:rPr>
                    <m:t>j</m:t>
                  </m:r>
                  <m:ctrlPr>
                    <w:rPr>
                      <w:rFonts w:hint="default" w:ascii="Cambria Math" w:hAnsi="Cambria Math" w:cs="Times New Roman"/>
                      <w:i/>
                      <w:color w:val="auto"/>
                      <w:sz w:val="24"/>
                      <w:szCs w:val="24"/>
                      <w:highlight w:val="none"/>
                      <w:lang w:val="en-US" w:eastAsia="zh-CN"/>
                    </w:rPr>
                  </m:ctrlPr>
                </m:sub>
              </m:sSub>
              <m:r>
                <m:rPr>
                  <m:nor/>
                  <m:sty m:val="p"/>
                </m:rPr>
                <w:rPr>
                  <w:rFonts w:hint="default" w:ascii="Times New Roman" w:hAnsi="Times New Roman" w:cs="Times New Roman"/>
                  <w:b w:val="0"/>
                  <w:i w:val="0"/>
                  <w:color w:val="auto"/>
                  <w:sz w:val="24"/>
                  <w:szCs w:val="24"/>
                  <w:highlight w:val="none"/>
                  <w:lang w:val="en-US"/>
                </w:rPr>
                <m:t>≤</m:t>
              </m:r>
              <m:r>
                <m:rPr>
                  <m:nor/>
                  <m:sty m:val="p"/>
                </m:rPr>
                <w:rPr>
                  <w:rFonts w:hint="default" w:ascii="Times New Roman" w:hAnsi="Times New Roman" w:cs="Times New Roman"/>
                  <w:b w:val="0"/>
                  <w:i w:val="0"/>
                  <w:color w:val="auto"/>
                  <w:sz w:val="24"/>
                  <w:szCs w:val="24"/>
                  <w:highlight w:val="none"/>
                  <w:lang w:val="en-US" w:eastAsia="zh-CN"/>
                </w:rPr>
                <m:t>7.0</m:t>
              </m:r>
              <m:ctrlPr>
                <w:rPr>
                  <w:rFonts w:hint="default" w:ascii="Cambria Math" w:hAnsi="Cambria Math" w:cs="Times New Roman"/>
                  <w:i/>
                  <w:color w:val="auto"/>
                  <w:sz w:val="24"/>
                  <w:szCs w:val="24"/>
                  <w:highlight w:val="none"/>
                  <w:lang w:val="en-US" w:eastAsia="zh-CN"/>
                </w:rPr>
              </m:ctrlPr>
            </m:sub>
          </m:sSub>
        </m:oMath>
      </m:oMathPara>
    </w:p>
    <w:p w14:paraId="50B1EEE5">
      <w:pPr>
        <w:spacing w:beforeLines="0" w:afterLines="0"/>
        <w:ind w:firstLine="1200" w:firstLineChars="500"/>
        <w:jc w:val="both"/>
        <w:rPr>
          <w:rFonts w:hint="default" w:ascii="Times New Roman" w:hAnsi="Times New Roman" w:cs="Times New Roman"/>
          <w:color w:val="auto"/>
          <w:sz w:val="24"/>
          <w:szCs w:val="24"/>
          <w:highlight w:val="none"/>
          <w:lang w:val="en-US" w:eastAsia="zh-CN"/>
        </w:rPr>
      </w:pPr>
      <m:oMathPara>
        <m:oMath>
          <m:sSub>
            <m:sSubPr>
              <m:ctrlPr>
                <w:rPr>
                  <w:rFonts w:hint="default" w:ascii="Cambria Math" w:hAnsi="Cambria Math" w:cs="Times New Roman"/>
                  <w:i/>
                  <w:color w:val="auto"/>
                  <w:sz w:val="24"/>
                  <w:szCs w:val="24"/>
                  <w:highlight w:val="none"/>
                  <w:lang w:val="en-US" w:eastAsia="zh-CN"/>
                </w:rPr>
              </m:ctrlPr>
            </m:sSubPr>
            <m:e>
              <m:r>
                <m:rPr>
                  <m:nor/>
                </m:rPr>
                <w:rPr>
                  <w:rFonts w:hint="default" w:ascii="Times New Roman" w:hAnsi="Times New Roman" w:cs="Times New Roman"/>
                  <w:i/>
                  <w:color w:val="auto"/>
                  <w:sz w:val="24"/>
                  <w:szCs w:val="24"/>
                  <w:highlight w:val="none"/>
                  <w:lang w:val="en-US" w:eastAsia="zh-CN"/>
                </w:rPr>
                <m:t>S</m:t>
              </m:r>
              <m:ctrlPr>
                <w:rPr>
                  <w:rFonts w:hint="default" w:ascii="Cambria Math" w:hAnsi="Cambria Math" w:cs="Times New Roman"/>
                  <w:i/>
                  <w:color w:val="auto"/>
                  <w:sz w:val="24"/>
                  <w:szCs w:val="24"/>
                  <w:highlight w:val="none"/>
                  <w:lang w:val="en-US" w:eastAsia="zh-CN"/>
                </w:rPr>
              </m:ctrlPr>
            </m:e>
            <m:sub>
              <m:r>
                <m:rPr>
                  <m:nor/>
                </m:rPr>
                <w:rPr>
                  <w:rFonts w:hint="default" w:ascii="Times New Roman" w:hAnsi="Times New Roman" w:cs="Times New Roman"/>
                  <w:i/>
                  <w:color w:val="auto"/>
                  <w:sz w:val="24"/>
                  <w:szCs w:val="24"/>
                  <w:highlight w:val="none"/>
                  <w:lang w:val="en-US" w:eastAsia="zh-CN"/>
                </w:rPr>
                <m:t>pH</m:t>
              </m:r>
              <m:r>
                <m:rPr>
                  <m:nor/>
                  <m:sty m:val="p"/>
                </m:rPr>
                <w:rPr>
                  <w:rFonts w:hint="default" w:ascii="Times New Roman" w:hAnsi="Times New Roman" w:cs="Times New Roman"/>
                  <w:b w:val="0"/>
                  <w:i w:val="0"/>
                  <w:color w:val="auto"/>
                  <w:sz w:val="24"/>
                  <w:szCs w:val="24"/>
                  <w:highlight w:val="none"/>
                  <w:lang w:val="en-US" w:eastAsia="zh-CN"/>
                </w:rPr>
                <m:t>,</m:t>
              </m:r>
              <m:r>
                <m:rPr>
                  <m:nor/>
                </m:rPr>
                <w:rPr>
                  <w:rFonts w:hint="default" w:ascii="Times New Roman" w:hAnsi="Times New Roman" w:cs="Times New Roman"/>
                  <w:i/>
                  <w:color w:val="auto"/>
                  <w:sz w:val="24"/>
                  <w:szCs w:val="24"/>
                  <w:highlight w:val="none"/>
                  <w:lang w:val="en-US" w:eastAsia="zh-CN"/>
                </w:rPr>
                <m:t>j</m:t>
              </m:r>
              <m:r>
                <m:rPr>
                  <m:nor/>
                  <m:sty m:val="p"/>
                </m:rPr>
                <w:rPr>
                  <w:rFonts w:hint="default" w:ascii="Times New Roman" w:hAnsi="Times New Roman" w:cs="Times New Roman"/>
                  <w:b w:val="0"/>
                  <w:i w:val="0"/>
                  <w:color w:val="auto"/>
                  <w:sz w:val="24"/>
                  <w:szCs w:val="24"/>
                  <w:highlight w:val="none"/>
                  <w:lang w:val="en-US" w:eastAsia="zh-CN"/>
                </w:rPr>
                <m:t>=</m:t>
              </m:r>
              <m:f>
                <m:fPr>
                  <m:ctrlPr>
                    <w:rPr>
                      <w:rFonts w:hint="default" w:ascii="Cambria Math" w:hAnsi="Cambria Math" w:cs="Times New Roman"/>
                      <w:i/>
                      <w:color w:val="auto"/>
                      <w:sz w:val="24"/>
                      <w:szCs w:val="24"/>
                      <w:highlight w:val="none"/>
                      <w:lang w:val="en-US" w:eastAsia="zh-CN"/>
                    </w:rPr>
                  </m:ctrlPr>
                </m:fPr>
                <m:num>
                  <m:r>
                    <m:rPr>
                      <m:nor/>
                    </m:rPr>
                    <w:rPr>
                      <w:rFonts w:hint="default" w:ascii="Times New Roman" w:hAnsi="Times New Roman" w:cs="Times New Roman"/>
                      <w:i/>
                      <w:color w:val="auto"/>
                      <w:sz w:val="24"/>
                      <w:szCs w:val="24"/>
                      <w:highlight w:val="none"/>
                      <w:lang w:val="en-US" w:eastAsia="zh-CN"/>
                    </w:rPr>
                    <m:t>pHj</m:t>
                  </m:r>
                  <m:r>
                    <m:rPr>
                      <m:nor/>
                      <m:sty m:val="p"/>
                    </m:rPr>
                    <w:rPr>
                      <w:rFonts w:hint="default" w:ascii="Times New Roman" w:hAnsi="Times New Roman" w:cs="Times New Roman"/>
                      <w:b w:val="0"/>
                      <w:i w:val="0"/>
                      <w:color w:val="auto"/>
                      <w:sz w:val="24"/>
                      <w:szCs w:val="24"/>
                      <w:highlight w:val="none"/>
                      <w:lang w:val="en-US" w:eastAsia="zh-CN"/>
                    </w:rPr>
                    <m:t>−7.0</m:t>
                  </m:r>
                  <m:ctrlPr>
                    <w:rPr>
                      <w:rFonts w:hint="default" w:ascii="Cambria Math" w:hAnsi="Cambria Math" w:cs="Times New Roman"/>
                      <w:i/>
                      <w:color w:val="auto"/>
                      <w:sz w:val="24"/>
                      <w:szCs w:val="24"/>
                      <w:highlight w:val="none"/>
                      <w:lang w:val="en-US" w:eastAsia="zh-CN"/>
                    </w:rPr>
                  </m:ctrlPr>
                </m:num>
                <m:den>
                  <m:sSub>
                    <m:sSubPr>
                      <m:ctrlPr>
                        <w:rPr>
                          <w:rFonts w:hint="default" w:ascii="Cambria Math" w:hAnsi="Cambria Math" w:cs="Times New Roman"/>
                          <w:i/>
                          <w:color w:val="auto"/>
                          <w:sz w:val="24"/>
                          <w:szCs w:val="24"/>
                          <w:highlight w:val="none"/>
                          <w:lang w:val="en-US" w:eastAsia="zh-CN"/>
                        </w:rPr>
                      </m:ctrlPr>
                    </m:sSubPr>
                    <m:e>
                      <m:r>
                        <m:rPr>
                          <m:nor/>
                        </m:rPr>
                        <w:rPr>
                          <w:rFonts w:hint="default" w:ascii="Times New Roman" w:hAnsi="Times New Roman" w:cs="Times New Roman"/>
                          <w:i/>
                          <w:color w:val="auto"/>
                          <w:sz w:val="24"/>
                          <w:szCs w:val="24"/>
                          <w:highlight w:val="none"/>
                          <w:lang w:val="en-US" w:eastAsia="zh-CN"/>
                        </w:rPr>
                        <m:t>pH</m:t>
                      </m:r>
                      <m:ctrlPr>
                        <w:rPr>
                          <w:rFonts w:hint="default" w:ascii="Cambria Math" w:hAnsi="Cambria Math" w:cs="Times New Roman"/>
                          <w:i/>
                          <w:color w:val="auto"/>
                          <w:sz w:val="24"/>
                          <w:szCs w:val="24"/>
                          <w:highlight w:val="none"/>
                          <w:lang w:val="en-US" w:eastAsia="zh-CN"/>
                        </w:rPr>
                      </m:ctrlPr>
                    </m:e>
                    <m:sub>
                      <m:r>
                        <m:rPr>
                          <m:nor/>
                        </m:rPr>
                        <w:rPr>
                          <w:rFonts w:hint="default" w:ascii="Times New Roman" w:hAnsi="Times New Roman" w:cs="Times New Roman"/>
                          <w:i/>
                          <w:color w:val="auto"/>
                          <w:sz w:val="24"/>
                          <w:szCs w:val="24"/>
                          <w:highlight w:val="none"/>
                          <w:lang w:val="en-US" w:eastAsia="zh-CN"/>
                        </w:rPr>
                        <m:t>sd</m:t>
                      </m:r>
                      <m:ctrlPr>
                        <w:rPr>
                          <w:rFonts w:hint="default" w:ascii="Cambria Math" w:hAnsi="Cambria Math" w:cs="Times New Roman"/>
                          <w:i/>
                          <w:color w:val="auto"/>
                          <w:sz w:val="24"/>
                          <w:szCs w:val="24"/>
                          <w:highlight w:val="none"/>
                          <w:lang w:val="en-US" w:eastAsia="zh-CN"/>
                        </w:rPr>
                      </m:ctrlPr>
                    </m:sub>
                  </m:sSub>
                  <m:r>
                    <m:rPr>
                      <m:nor/>
                      <m:sty m:val="p"/>
                    </m:rPr>
                    <w:rPr>
                      <w:rFonts w:hint="default" w:ascii="Times New Roman" w:hAnsi="Times New Roman" w:cs="Times New Roman"/>
                      <w:b w:val="0"/>
                      <w:i w:val="0"/>
                      <w:color w:val="auto"/>
                      <w:sz w:val="24"/>
                      <w:szCs w:val="24"/>
                      <w:highlight w:val="none"/>
                      <w:lang w:val="en-US" w:eastAsia="zh-CN"/>
                    </w:rPr>
                    <m:t>−7.0</m:t>
                  </m:r>
                  <m:ctrlPr>
                    <w:rPr>
                      <w:rFonts w:hint="default" w:ascii="Cambria Math" w:hAnsi="Cambria Math" w:cs="Times New Roman"/>
                      <w:i/>
                      <w:color w:val="auto"/>
                      <w:sz w:val="24"/>
                      <w:szCs w:val="24"/>
                      <w:highlight w:val="none"/>
                      <w:lang w:val="en-US" w:eastAsia="zh-CN"/>
                    </w:rPr>
                  </m:ctrlPr>
                </m:den>
              </m:f>
              <m:r>
                <m:rPr>
                  <m:nor/>
                  <m:sty m:val="p"/>
                </m:rPr>
                <w:rPr>
                  <w:rFonts w:hint="default" w:ascii="Cambria Math" w:hAnsi="Cambria Math" w:cs="Times New Roman"/>
                  <w:b w:val="0"/>
                  <w:i w:val="0"/>
                  <w:color w:val="auto"/>
                  <w:sz w:val="24"/>
                  <w:szCs w:val="24"/>
                  <w:highlight w:val="none"/>
                  <w:lang w:val="en-US" w:eastAsia="zh-CN"/>
                </w:rPr>
                <m:t xml:space="preserve">, </m:t>
              </m:r>
              <m:r>
                <m:rPr>
                  <m:nor/>
                </m:rPr>
                <w:rPr>
                  <w:rFonts w:hint="default" w:ascii="Times New Roman" w:hAnsi="Times New Roman" w:cs="Times New Roman"/>
                  <w:i/>
                  <w:color w:val="auto"/>
                  <w:sz w:val="24"/>
                  <w:szCs w:val="24"/>
                  <w:highlight w:val="none"/>
                  <w:lang w:val="en-US" w:eastAsia="zh-CN"/>
                </w:rPr>
                <m:t>p</m:t>
              </m:r>
              <m:sSub>
                <m:sSubPr>
                  <m:ctrlPr>
                    <w:rPr>
                      <w:rFonts w:hint="default" w:ascii="Cambria Math" w:hAnsi="Cambria Math" w:cs="Times New Roman"/>
                      <w:i/>
                      <w:color w:val="auto"/>
                      <w:sz w:val="24"/>
                      <w:szCs w:val="24"/>
                      <w:highlight w:val="none"/>
                      <w:lang w:val="en-US" w:eastAsia="zh-CN"/>
                    </w:rPr>
                  </m:ctrlPr>
                </m:sSubPr>
                <m:e>
                  <m:r>
                    <m:rPr>
                      <m:nor/>
                    </m:rPr>
                    <w:rPr>
                      <w:rFonts w:hint="default" w:ascii="Times New Roman" w:hAnsi="Times New Roman" w:cs="Times New Roman"/>
                      <w:i/>
                      <w:color w:val="auto"/>
                      <w:sz w:val="24"/>
                      <w:szCs w:val="24"/>
                      <w:highlight w:val="none"/>
                      <w:lang w:val="en-US" w:eastAsia="zh-CN"/>
                    </w:rPr>
                    <m:t>H</m:t>
                  </m:r>
                  <m:ctrlPr>
                    <w:rPr>
                      <w:rFonts w:hint="default" w:ascii="Cambria Math" w:hAnsi="Cambria Math" w:cs="Times New Roman"/>
                      <w:i/>
                      <w:color w:val="auto"/>
                      <w:sz w:val="24"/>
                      <w:szCs w:val="24"/>
                      <w:highlight w:val="none"/>
                      <w:lang w:val="en-US" w:eastAsia="zh-CN"/>
                    </w:rPr>
                  </m:ctrlPr>
                </m:e>
                <m:sub>
                  <m:r>
                    <m:rPr>
                      <m:nor/>
                    </m:rPr>
                    <w:rPr>
                      <w:rFonts w:hint="default" w:ascii="Times New Roman" w:hAnsi="Times New Roman" w:cs="Times New Roman"/>
                      <w:i/>
                      <w:color w:val="auto"/>
                      <w:sz w:val="24"/>
                      <w:szCs w:val="24"/>
                      <w:highlight w:val="none"/>
                      <w:lang w:val="en-US" w:eastAsia="zh-CN"/>
                    </w:rPr>
                    <m:t>j</m:t>
                  </m:r>
                  <m:ctrlPr>
                    <w:rPr>
                      <w:rFonts w:hint="default" w:ascii="Cambria Math" w:hAnsi="Cambria Math" w:cs="Times New Roman"/>
                      <w:i/>
                      <w:color w:val="auto"/>
                      <w:sz w:val="24"/>
                      <w:szCs w:val="24"/>
                      <w:highlight w:val="none"/>
                      <w:lang w:val="en-US" w:eastAsia="zh-CN"/>
                    </w:rPr>
                  </m:ctrlPr>
                </m:sub>
              </m:sSub>
              <m:r>
                <m:rPr>
                  <m:nor/>
                  <m:sty m:val="p"/>
                </m:rPr>
                <w:rPr>
                  <w:rFonts w:hint="default" w:ascii="Times New Roman" w:hAnsi="Times New Roman" w:cs="Times New Roman"/>
                  <w:b w:val="0"/>
                  <w:i w:val="0"/>
                  <w:color w:val="auto"/>
                  <w:sz w:val="24"/>
                  <w:szCs w:val="24"/>
                  <w:highlight w:val="none"/>
                  <w:lang w:val="en-US"/>
                </w:rPr>
                <m:t>&gt;</m:t>
              </m:r>
              <m:r>
                <m:rPr>
                  <m:nor/>
                  <m:sty m:val="p"/>
                </m:rPr>
                <w:rPr>
                  <w:rFonts w:hint="default" w:ascii="Times New Roman" w:hAnsi="Times New Roman" w:cs="Times New Roman"/>
                  <w:b w:val="0"/>
                  <w:i w:val="0"/>
                  <w:color w:val="auto"/>
                  <w:sz w:val="24"/>
                  <w:szCs w:val="24"/>
                  <w:highlight w:val="none"/>
                  <w:lang w:val="en-US" w:eastAsia="zh-CN"/>
                </w:rPr>
                <m:t>7.0</m:t>
              </m:r>
              <m:ctrlPr>
                <w:rPr>
                  <w:rFonts w:hint="default" w:ascii="Cambria Math" w:hAnsi="Cambria Math" w:cs="Times New Roman"/>
                  <w:i/>
                  <w:color w:val="auto"/>
                  <w:sz w:val="24"/>
                  <w:szCs w:val="24"/>
                  <w:highlight w:val="none"/>
                  <w:lang w:val="en-US" w:eastAsia="zh-CN"/>
                </w:rPr>
              </m:ctrlPr>
            </m:sub>
          </m:sSub>
        </m:oMath>
      </m:oMathPara>
    </w:p>
    <w:p w14:paraId="511ADCF2">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式中：pH</w:t>
      </w:r>
      <w:r>
        <w:rPr>
          <w:rFonts w:hint="default" w:ascii="Times New Roman" w:hAnsi="Times New Roman" w:cs="Times New Roman"/>
          <w:color w:val="auto"/>
          <w:sz w:val="24"/>
          <w:szCs w:val="24"/>
          <w:highlight w:val="none"/>
          <w:vertAlign w:val="subscript"/>
          <w:lang w:val="en-US" w:eastAsia="zh-CN"/>
        </w:rPr>
        <w:t>sd</w:t>
      </w:r>
      <w:r>
        <w:rPr>
          <w:rFonts w:hint="default" w:ascii="Times New Roman" w:hAnsi="Times New Roman" w:cs="Times New Roman"/>
          <w:color w:val="auto"/>
          <w:sz w:val="24"/>
          <w:szCs w:val="24"/>
          <w:highlight w:val="none"/>
          <w:lang w:val="en-US" w:eastAsia="zh-CN"/>
        </w:rPr>
        <w:t>-pH值标准规定的下限值；</w:t>
      </w:r>
    </w:p>
    <w:p w14:paraId="519B4739">
      <w:pPr>
        <w:spacing w:beforeLines="0" w:afterLines="0"/>
        <w:ind w:firstLine="1200" w:firstLineChars="5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pH</w:t>
      </w:r>
      <w:r>
        <w:rPr>
          <w:rFonts w:hint="default" w:ascii="Times New Roman" w:hAnsi="Times New Roman" w:cs="Times New Roman"/>
          <w:color w:val="auto"/>
          <w:sz w:val="24"/>
          <w:szCs w:val="24"/>
          <w:highlight w:val="none"/>
          <w:vertAlign w:val="subscript"/>
          <w:lang w:val="en-US" w:eastAsia="zh-CN"/>
        </w:rPr>
        <w:t>su</w:t>
      </w:r>
      <w:r>
        <w:rPr>
          <w:rFonts w:hint="default" w:ascii="Times New Roman" w:hAnsi="Times New Roman" w:cs="Times New Roman"/>
          <w:color w:val="auto"/>
          <w:sz w:val="24"/>
          <w:szCs w:val="24"/>
          <w:highlight w:val="none"/>
          <w:lang w:val="en-US" w:eastAsia="zh-CN"/>
        </w:rPr>
        <w:t>-pH值标准规定的上限值；</w:t>
      </w:r>
    </w:p>
    <w:p w14:paraId="400C16B4">
      <w:pPr>
        <w:spacing w:beforeLines="0" w:afterLines="0"/>
        <w:ind w:firstLine="1200" w:firstLineChars="5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T</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水温</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w:t>
      </w:r>
    </w:p>
    <w:p w14:paraId="326B5882">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标准指数大于1，表明该断面的环境质量劣于评价标准等级，反之则满足评价标准。</w:t>
      </w:r>
    </w:p>
    <w:p w14:paraId="54D5A865">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（6）地下水化学类型分析</w:t>
      </w:r>
    </w:p>
    <w:p w14:paraId="3B530D52">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①地下水中阴阳离子平衡检验</w:t>
      </w:r>
    </w:p>
    <w:p w14:paraId="21E96570">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阴阳离子平衡关系采用下式进行检验：</w:t>
      </w:r>
    </w:p>
    <w:p w14:paraId="791A3A7B">
      <w:pPr>
        <w:widowControl w:val="0"/>
        <w:numPr>
          <w:ilvl w:val="0"/>
          <w:numId w:val="0"/>
        </w:numPr>
        <w:spacing w:beforeLines="0" w:afterLines="0" w:line="360" w:lineRule="auto"/>
        <w:jc w:val="center"/>
        <w:rPr>
          <w:rFonts w:hint="default" w:ascii="Times New Roman" w:hAnsi="Times New Roman" w:cs="Times New Roman"/>
          <w:color w:val="auto"/>
          <w:sz w:val="24"/>
          <w:szCs w:val="24"/>
          <w:highlight w:val="none"/>
          <w:lang w:val="en-US" w:eastAsia="zh-CN"/>
        </w:rPr>
      </w:pPr>
      <m:oMath>
        <m:r>
          <m:rPr>
            <m:nor/>
            <m:sty m:val="p"/>
          </m:rPr>
          <w:rPr>
            <w:rFonts w:hint="default" w:ascii="Times New Roman" w:hAnsi="Times New Roman" w:cs="Times New Roman"/>
            <w:b w:val="0"/>
            <w:i w:val="0"/>
            <w:color w:val="auto"/>
            <w:kern w:val="2"/>
            <w:sz w:val="24"/>
            <w:szCs w:val="24"/>
            <w:highlight w:val="none"/>
            <w:lang w:val="en-US" w:eastAsia="zh-CN" w:bidi="ar-SA"/>
          </w:rPr>
          <m:t>E=</m:t>
        </m:r>
        <m:f>
          <m:fPr>
            <m:ctrlPr>
              <w:rPr>
                <w:rFonts w:hint="default" w:ascii="Cambria Math" w:hAnsi="Cambria Math" w:cs="Times New Roman"/>
                <w:color w:val="auto"/>
                <w:kern w:val="2"/>
                <w:sz w:val="24"/>
                <w:szCs w:val="24"/>
                <w:highlight w:val="none"/>
                <w:lang w:val="en-US" w:eastAsia="zh-CN" w:bidi="ar-SA"/>
              </w:rPr>
            </m:ctrlPr>
          </m:fPr>
          <m:num>
            <m:r>
              <m:rPr>
                <m:nor/>
                <m:sty m:val="p"/>
              </m:rPr>
              <w:rPr>
                <w:rFonts w:hint="default" w:ascii="Times New Roman" w:hAnsi="Times New Roman" w:cs="Times New Roman"/>
                <w:b w:val="0"/>
                <w:i w:val="0"/>
                <w:color w:val="auto"/>
                <w:kern w:val="2"/>
                <w:sz w:val="24"/>
                <w:szCs w:val="24"/>
                <w:highlight w:val="none"/>
                <w:lang w:val="en-US" w:eastAsia="zh-CN" w:bidi="ar-SA"/>
              </w:rPr>
              <m:t>(</m:t>
            </m:r>
            <m:nary>
              <m:naryPr>
                <m:chr m:val="∑"/>
                <m:limLoc m:val="undOvr"/>
                <m:subHide m:val="1"/>
                <m:supHide m:val="1"/>
                <m:ctrlPr>
                  <w:rPr>
                    <w:rFonts w:hint="default" w:ascii="Cambria Math" w:hAnsi="Cambria Math" w:cs="Times New Roman"/>
                    <w:color w:val="auto"/>
                    <w:kern w:val="2"/>
                    <w:sz w:val="24"/>
                    <w:szCs w:val="24"/>
                    <w:highlight w:val="none"/>
                    <w:lang w:val="en-US" w:eastAsia="zh-CN" w:bidi="ar-SA"/>
                  </w:rPr>
                </m:ctrlPr>
              </m:naryPr>
              <m:sub>
                <m:ctrlPr>
                  <w:rPr>
                    <w:rFonts w:hint="default" w:ascii="Cambria Math" w:hAnsi="Cambria Math" w:cs="Times New Roman"/>
                    <w:color w:val="auto"/>
                    <w:kern w:val="2"/>
                    <w:sz w:val="24"/>
                    <w:szCs w:val="24"/>
                    <w:highlight w:val="none"/>
                    <w:lang w:val="en-US" w:eastAsia="zh-CN" w:bidi="ar-SA"/>
                  </w:rPr>
                </m:ctrlPr>
              </m:sub>
              <m:sup>
                <m:ctrlPr>
                  <w:rPr>
                    <w:rFonts w:hint="default" w:ascii="Cambria Math" w:hAnsi="Cambria Math" w:cs="Times New Roman"/>
                    <w:color w:val="auto"/>
                    <w:kern w:val="2"/>
                    <w:sz w:val="24"/>
                    <w:szCs w:val="24"/>
                    <w:highlight w:val="none"/>
                    <w:lang w:val="en-US" w:eastAsia="zh-CN" w:bidi="ar-SA"/>
                  </w:rPr>
                </m:ctrlPr>
              </m:sup>
              <m:e>
                <m:sSub>
                  <m:sSubPr>
                    <m:ctrlPr>
                      <w:rPr>
                        <w:rFonts w:hint="default" w:ascii="Cambria Math" w:hAnsi="Cambria Math" w:cs="Times New Roman"/>
                        <w:color w:val="auto"/>
                        <w:kern w:val="2"/>
                        <w:sz w:val="24"/>
                        <w:szCs w:val="24"/>
                        <w:highlight w:val="none"/>
                        <w:lang w:val="en-US" w:eastAsia="zh-CN" w:bidi="ar-SA"/>
                      </w:rPr>
                    </m:ctrlPr>
                  </m:sSubPr>
                  <m:e>
                    <m:r>
                      <m:rPr>
                        <m:nor/>
                        <m:sty m:val="p"/>
                      </m:rPr>
                      <w:rPr>
                        <w:rFonts w:hint="default" w:ascii="Times New Roman" w:hAnsi="Times New Roman" w:cs="Times New Roman"/>
                        <w:b w:val="0"/>
                        <w:i w:val="0"/>
                        <w:color w:val="auto"/>
                        <w:kern w:val="2"/>
                        <w:sz w:val="24"/>
                        <w:szCs w:val="24"/>
                        <w:highlight w:val="none"/>
                        <w:lang w:val="en-US" w:eastAsia="zh-CN" w:bidi="ar-SA"/>
                      </w:rPr>
                      <m:t>M</m:t>
                    </m:r>
                    <m:ctrlPr>
                      <w:rPr>
                        <w:rFonts w:hint="default" w:ascii="Cambria Math" w:hAnsi="Cambria Math" w:cs="Times New Roman"/>
                        <w:color w:val="auto"/>
                        <w:kern w:val="2"/>
                        <w:sz w:val="24"/>
                        <w:szCs w:val="24"/>
                        <w:highlight w:val="none"/>
                        <w:lang w:val="en-US" w:eastAsia="zh-CN" w:bidi="ar-SA"/>
                      </w:rPr>
                    </m:ctrlPr>
                  </m:e>
                  <m:sub>
                    <m:r>
                      <m:rPr>
                        <m:nor/>
                        <m:sty m:val="p"/>
                      </m:rPr>
                      <w:rPr>
                        <w:rFonts w:hint="default" w:ascii="Times New Roman" w:hAnsi="Times New Roman" w:cs="Times New Roman"/>
                        <w:b w:val="0"/>
                        <w:i w:val="0"/>
                        <w:color w:val="auto"/>
                        <w:kern w:val="2"/>
                        <w:sz w:val="24"/>
                        <w:szCs w:val="24"/>
                        <w:highlight w:val="none"/>
                        <w:lang w:val="en-US" w:eastAsia="zh-CN" w:bidi="ar-SA"/>
                      </w:rPr>
                      <m:t>e</m:t>
                    </m:r>
                    <m:ctrlPr>
                      <w:rPr>
                        <w:rFonts w:hint="default" w:ascii="Cambria Math" w:hAnsi="Cambria Math" w:cs="Times New Roman"/>
                        <w:color w:val="auto"/>
                        <w:kern w:val="2"/>
                        <w:sz w:val="24"/>
                        <w:szCs w:val="24"/>
                        <w:highlight w:val="none"/>
                        <w:lang w:val="en-US" w:eastAsia="zh-CN" w:bidi="ar-SA"/>
                      </w:rPr>
                    </m:ctrlPr>
                  </m:sub>
                </m:sSub>
                <m:r>
                  <m:rPr>
                    <m:nor/>
                    <m:sty m:val="p"/>
                  </m:rPr>
                  <w:rPr>
                    <w:rFonts w:hint="default" w:ascii="Times New Roman" w:hAnsi="Times New Roman" w:cs="Times New Roman"/>
                    <w:b w:val="0"/>
                    <w:i w:val="0"/>
                    <w:color w:val="auto"/>
                    <w:kern w:val="2"/>
                    <w:sz w:val="24"/>
                    <w:szCs w:val="24"/>
                    <w:highlight w:val="none"/>
                    <w:lang w:val="en-US" w:eastAsia="zh-CN" w:bidi="ar-SA"/>
                  </w:rPr>
                  <m:t>−</m:t>
                </m:r>
                <m:nary>
                  <m:naryPr>
                    <m:chr m:val="∑"/>
                    <m:limLoc m:val="undOvr"/>
                    <m:subHide m:val="1"/>
                    <m:supHide m:val="1"/>
                    <m:ctrlPr>
                      <w:rPr>
                        <w:rFonts w:hint="default" w:ascii="Cambria Math" w:hAnsi="Cambria Math" w:cs="Times New Roman"/>
                        <w:color w:val="auto"/>
                        <w:kern w:val="2"/>
                        <w:sz w:val="24"/>
                        <w:szCs w:val="24"/>
                        <w:highlight w:val="none"/>
                        <w:lang w:val="en-US" w:eastAsia="zh-CN" w:bidi="ar-SA"/>
                      </w:rPr>
                    </m:ctrlPr>
                  </m:naryPr>
                  <m:sub>
                    <m:ctrlPr>
                      <w:rPr>
                        <w:rFonts w:hint="default" w:ascii="Cambria Math" w:hAnsi="Cambria Math" w:cs="Times New Roman"/>
                        <w:color w:val="auto"/>
                        <w:kern w:val="2"/>
                        <w:sz w:val="24"/>
                        <w:szCs w:val="24"/>
                        <w:highlight w:val="none"/>
                        <w:lang w:val="en-US" w:eastAsia="zh-CN" w:bidi="ar-SA"/>
                      </w:rPr>
                    </m:ctrlPr>
                  </m:sub>
                  <m:sup>
                    <m:ctrlPr>
                      <w:rPr>
                        <w:rFonts w:hint="default" w:ascii="Cambria Math" w:hAnsi="Cambria Math" w:cs="Times New Roman"/>
                        <w:color w:val="auto"/>
                        <w:kern w:val="2"/>
                        <w:sz w:val="24"/>
                        <w:szCs w:val="24"/>
                        <w:highlight w:val="none"/>
                        <w:lang w:val="en-US" w:eastAsia="zh-CN" w:bidi="ar-SA"/>
                      </w:rPr>
                    </m:ctrlPr>
                  </m:sup>
                  <m:e>
                    <m:sSub>
                      <m:sSubPr>
                        <m:ctrlPr>
                          <w:rPr>
                            <w:rFonts w:hint="default" w:ascii="Cambria Math" w:hAnsi="Cambria Math" w:cs="Times New Roman"/>
                            <w:color w:val="auto"/>
                            <w:kern w:val="2"/>
                            <w:sz w:val="24"/>
                            <w:szCs w:val="24"/>
                            <w:highlight w:val="none"/>
                            <w:lang w:val="en-US" w:eastAsia="zh-CN" w:bidi="ar-SA"/>
                          </w:rPr>
                        </m:ctrlPr>
                      </m:sSubPr>
                      <m:e>
                        <m:r>
                          <m:rPr>
                            <m:nor/>
                            <m:sty m:val="p"/>
                          </m:rPr>
                          <w:rPr>
                            <w:rFonts w:hint="default" w:ascii="Times New Roman" w:hAnsi="Times New Roman" w:cs="Times New Roman"/>
                            <w:b w:val="0"/>
                            <w:i w:val="0"/>
                            <w:color w:val="auto"/>
                            <w:kern w:val="2"/>
                            <w:sz w:val="24"/>
                            <w:szCs w:val="24"/>
                            <w:highlight w:val="none"/>
                            <w:lang w:val="en-US" w:eastAsia="zh-CN" w:bidi="ar-SA"/>
                          </w:rPr>
                          <m:t>M</m:t>
                        </m:r>
                        <m:ctrlPr>
                          <w:rPr>
                            <w:rFonts w:hint="default" w:ascii="Cambria Math" w:hAnsi="Cambria Math" w:cs="Times New Roman"/>
                            <w:color w:val="auto"/>
                            <w:kern w:val="2"/>
                            <w:sz w:val="24"/>
                            <w:szCs w:val="24"/>
                            <w:highlight w:val="none"/>
                            <w:lang w:val="en-US" w:eastAsia="zh-CN" w:bidi="ar-SA"/>
                          </w:rPr>
                        </m:ctrlPr>
                      </m:e>
                      <m:sub>
                        <m:r>
                          <m:rPr>
                            <m:nor/>
                            <m:sty m:val="p"/>
                          </m:rPr>
                          <w:rPr>
                            <w:rFonts w:hint="default" w:ascii="Times New Roman" w:hAnsi="Times New Roman" w:cs="Times New Roman"/>
                            <w:b w:val="0"/>
                            <w:i w:val="0"/>
                            <w:color w:val="auto"/>
                            <w:kern w:val="2"/>
                            <w:sz w:val="24"/>
                            <w:szCs w:val="24"/>
                            <w:highlight w:val="none"/>
                            <w:lang w:val="en-US" w:eastAsia="zh-CN" w:bidi="ar-SA"/>
                          </w:rPr>
                          <m:t>a</m:t>
                        </m:r>
                        <m:ctrlPr>
                          <w:rPr>
                            <w:rFonts w:hint="default" w:ascii="Cambria Math" w:hAnsi="Cambria Math" w:cs="Times New Roman"/>
                            <w:color w:val="auto"/>
                            <w:kern w:val="2"/>
                            <w:sz w:val="24"/>
                            <w:szCs w:val="24"/>
                            <w:highlight w:val="none"/>
                            <w:lang w:val="en-US" w:eastAsia="zh-CN" w:bidi="ar-SA"/>
                          </w:rPr>
                        </m:ctrlPr>
                      </m:sub>
                    </m:sSub>
                    <m:r>
                      <m:rPr>
                        <m:nor/>
                        <m:sty m:val="p"/>
                      </m:rPr>
                      <w:rPr>
                        <w:rFonts w:hint="default" w:ascii="Times New Roman" w:hAnsi="Times New Roman" w:cs="Times New Roman"/>
                        <w:b w:val="0"/>
                        <w:i w:val="0"/>
                        <w:color w:val="auto"/>
                        <w:kern w:val="2"/>
                        <w:sz w:val="24"/>
                        <w:szCs w:val="24"/>
                        <w:highlight w:val="none"/>
                        <w:lang w:val="en-US" w:eastAsia="zh-CN" w:bidi="ar-SA"/>
                      </w:rPr>
                      <m:t>)</m:t>
                    </m:r>
                    <m:ctrlPr>
                      <w:rPr>
                        <w:rFonts w:hint="default" w:ascii="Cambria Math" w:hAnsi="Cambria Math" w:cs="Times New Roman"/>
                        <w:color w:val="auto"/>
                        <w:kern w:val="2"/>
                        <w:sz w:val="24"/>
                        <w:szCs w:val="24"/>
                        <w:highlight w:val="none"/>
                        <w:lang w:val="en-US" w:eastAsia="zh-CN" w:bidi="ar-SA"/>
                      </w:rPr>
                    </m:ctrlPr>
                  </m:e>
                </m:nary>
                <m:ctrlPr>
                  <w:rPr>
                    <w:rFonts w:hint="default" w:ascii="Cambria Math" w:hAnsi="Cambria Math" w:cs="Times New Roman"/>
                    <w:color w:val="auto"/>
                    <w:kern w:val="2"/>
                    <w:sz w:val="24"/>
                    <w:szCs w:val="24"/>
                    <w:highlight w:val="none"/>
                    <w:lang w:val="en-US" w:eastAsia="zh-CN" w:bidi="ar-SA"/>
                  </w:rPr>
                </m:ctrlPr>
              </m:e>
            </m:nary>
            <m:ctrlPr>
              <w:rPr>
                <w:rFonts w:hint="default" w:ascii="Cambria Math" w:hAnsi="Cambria Math" w:cs="Times New Roman"/>
                <w:color w:val="auto"/>
                <w:kern w:val="2"/>
                <w:sz w:val="24"/>
                <w:szCs w:val="24"/>
                <w:highlight w:val="none"/>
                <w:lang w:val="en-US" w:eastAsia="zh-CN" w:bidi="ar-SA"/>
              </w:rPr>
            </m:ctrlPr>
          </m:num>
          <m:den>
            <m:r>
              <m:rPr>
                <m:nor/>
                <m:sty m:val="p"/>
              </m:rPr>
              <w:rPr>
                <w:rFonts w:hint="default" w:ascii="Times New Roman" w:hAnsi="Times New Roman" w:cs="Times New Roman"/>
                <w:b w:val="0"/>
                <w:i w:val="0"/>
                <w:color w:val="auto"/>
                <w:kern w:val="2"/>
                <w:sz w:val="24"/>
                <w:szCs w:val="24"/>
                <w:highlight w:val="none"/>
                <w:lang w:val="en-US" w:eastAsia="zh-CN" w:bidi="ar-SA"/>
              </w:rPr>
              <m:t>(</m:t>
            </m:r>
            <m:nary>
              <m:naryPr>
                <m:chr m:val="∑"/>
                <m:limLoc m:val="undOvr"/>
                <m:subHide m:val="1"/>
                <m:supHide m:val="1"/>
                <m:ctrlPr>
                  <w:rPr>
                    <w:rFonts w:hint="default" w:ascii="Cambria Math" w:hAnsi="Cambria Math" w:cs="Times New Roman"/>
                    <w:color w:val="auto"/>
                    <w:kern w:val="2"/>
                    <w:sz w:val="24"/>
                    <w:szCs w:val="24"/>
                    <w:highlight w:val="none"/>
                    <w:lang w:val="en-US" w:eastAsia="zh-CN" w:bidi="ar-SA"/>
                  </w:rPr>
                </m:ctrlPr>
              </m:naryPr>
              <m:sub>
                <m:ctrlPr>
                  <w:rPr>
                    <w:rFonts w:hint="default" w:ascii="Cambria Math" w:hAnsi="Cambria Math" w:cs="Times New Roman"/>
                    <w:color w:val="auto"/>
                    <w:kern w:val="2"/>
                    <w:sz w:val="24"/>
                    <w:szCs w:val="24"/>
                    <w:highlight w:val="none"/>
                    <w:lang w:val="en-US" w:eastAsia="zh-CN" w:bidi="ar-SA"/>
                  </w:rPr>
                </m:ctrlPr>
              </m:sub>
              <m:sup>
                <m:ctrlPr>
                  <w:rPr>
                    <w:rFonts w:hint="default" w:ascii="Cambria Math" w:hAnsi="Cambria Math" w:cs="Times New Roman"/>
                    <w:color w:val="auto"/>
                    <w:kern w:val="2"/>
                    <w:sz w:val="24"/>
                    <w:szCs w:val="24"/>
                    <w:highlight w:val="none"/>
                    <w:lang w:val="en-US" w:eastAsia="zh-CN" w:bidi="ar-SA"/>
                  </w:rPr>
                </m:ctrlPr>
              </m:sup>
              <m:e>
                <m:sSub>
                  <m:sSubPr>
                    <m:ctrlPr>
                      <w:rPr>
                        <w:rFonts w:hint="default" w:ascii="Cambria Math" w:hAnsi="Cambria Math" w:cs="Times New Roman"/>
                        <w:color w:val="auto"/>
                        <w:kern w:val="2"/>
                        <w:sz w:val="24"/>
                        <w:szCs w:val="24"/>
                        <w:highlight w:val="none"/>
                        <w:lang w:val="en-US" w:eastAsia="zh-CN" w:bidi="ar-SA"/>
                      </w:rPr>
                    </m:ctrlPr>
                  </m:sSubPr>
                  <m:e>
                    <m:r>
                      <m:rPr>
                        <m:nor/>
                        <m:sty m:val="p"/>
                      </m:rPr>
                      <w:rPr>
                        <w:rFonts w:hint="default" w:ascii="Times New Roman" w:hAnsi="Times New Roman" w:cs="Times New Roman"/>
                        <w:b w:val="0"/>
                        <w:i w:val="0"/>
                        <w:color w:val="auto"/>
                        <w:kern w:val="2"/>
                        <w:sz w:val="24"/>
                        <w:szCs w:val="24"/>
                        <w:highlight w:val="none"/>
                        <w:lang w:val="en-US" w:eastAsia="zh-CN" w:bidi="ar-SA"/>
                      </w:rPr>
                      <m:t>M</m:t>
                    </m:r>
                    <m:ctrlPr>
                      <w:rPr>
                        <w:rFonts w:hint="default" w:ascii="Cambria Math" w:hAnsi="Cambria Math" w:cs="Times New Roman"/>
                        <w:color w:val="auto"/>
                        <w:kern w:val="2"/>
                        <w:sz w:val="24"/>
                        <w:szCs w:val="24"/>
                        <w:highlight w:val="none"/>
                        <w:lang w:val="en-US" w:eastAsia="zh-CN" w:bidi="ar-SA"/>
                      </w:rPr>
                    </m:ctrlPr>
                  </m:e>
                  <m:sub>
                    <m:r>
                      <m:rPr>
                        <m:nor/>
                        <m:sty m:val="p"/>
                      </m:rPr>
                      <w:rPr>
                        <w:rFonts w:hint="default" w:ascii="Times New Roman" w:hAnsi="Times New Roman" w:cs="Times New Roman"/>
                        <w:b w:val="0"/>
                        <w:i w:val="0"/>
                        <w:color w:val="auto"/>
                        <w:kern w:val="2"/>
                        <w:sz w:val="24"/>
                        <w:szCs w:val="24"/>
                        <w:highlight w:val="none"/>
                        <w:lang w:val="en-US" w:eastAsia="zh-CN" w:bidi="ar-SA"/>
                      </w:rPr>
                      <m:t>e</m:t>
                    </m:r>
                    <m:ctrlPr>
                      <w:rPr>
                        <w:rFonts w:hint="default" w:ascii="Cambria Math" w:hAnsi="Cambria Math" w:cs="Times New Roman"/>
                        <w:color w:val="auto"/>
                        <w:kern w:val="2"/>
                        <w:sz w:val="24"/>
                        <w:szCs w:val="24"/>
                        <w:highlight w:val="none"/>
                        <w:lang w:val="en-US" w:eastAsia="zh-CN" w:bidi="ar-SA"/>
                      </w:rPr>
                    </m:ctrlPr>
                  </m:sub>
                </m:sSub>
                <m:r>
                  <m:rPr>
                    <m:nor/>
                    <m:sty m:val="p"/>
                  </m:rPr>
                  <w:rPr>
                    <w:rFonts w:hint="default" w:ascii="Times New Roman" w:hAnsi="Times New Roman" w:cs="Times New Roman"/>
                    <w:b w:val="0"/>
                    <w:i w:val="0"/>
                    <w:color w:val="auto"/>
                    <w:kern w:val="2"/>
                    <w:sz w:val="24"/>
                    <w:szCs w:val="24"/>
                    <w:highlight w:val="none"/>
                    <w:lang w:val="en-US" w:eastAsia="zh-CN" w:bidi="ar-SA"/>
                  </w:rPr>
                  <m:t>+</m:t>
                </m:r>
                <m:nary>
                  <m:naryPr>
                    <m:chr m:val="∑"/>
                    <m:limLoc m:val="undOvr"/>
                    <m:subHide m:val="1"/>
                    <m:supHide m:val="1"/>
                    <m:ctrlPr>
                      <w:rPr>
                        <w:rFonts w:hint="default" w:ascii="Cambria Math" w:hAnsi="Cambria Math" w:cs="Times New Roman"/>
                        <w:color w:val="auto"/>
                        <w:kern w:val="2"/>
                        <w:sz w:val="24"/>
                        <w:szCs w:val="24"/>
                        <w:highlight w:val="none"/>
                        <w:lang w:val="en-US" w:eastAsia="zh-CN" w:bidi="ar-SA"/>
                      </w:rPr>
                    </m:ctrlPr>
                  </m:naryPr>
                  <m:sub>
                    <m:ctrlPr>
                      <w:rPr>
                        <w:rFonts w:hint="default" w:ascii="Cambria Math" w:hAnsi="Cambria Math" w:cs="Times New Roman"/>
                        <w:color w:val="auto"/>
                        <w:kern w:val="2"/>
                        <w:sz w:val="24"/>
                        <w:szCs w:val="24"/>
                        <w:highlight w:val="none"/>
                        <w:lang w:val="en-US" w:eastAsia="zh-CN" w:bidi="ar-SA"/>
                      </w:rPr>
                    </m:ctrlPr>
                  </m:sub>
                  <m:sup>
                    <m:ctrlPr>
                      <w:rPr>
                        <w:rFonts w:hint="default" w:ascii="Cambria Math" w:hAnsi="Cambria Math" w:cs="Times New Roman"/>
                        <w:color w:val="auto"/>
                        <w:kern w:val="2"/>
                        <w:sz w:val="24"/>
                        <w:szCs w:val="24"/>
                        <w:highlight w:val="none"/>
                        <w:lang w:val="en-US" w:eastAsia="zh-CN" w:bidi="ar-SA"/>
                      </w:rPr>
                    </m:ctrlPr>
                  </m:sup>
                  <m:e>
                    <m:sSub>
                      <m:sSubPr>
                        <m:ctrlPr>
                          <w:rPr>
                            <w:rFonts w:hint="default" w:ascii="Cambria Math" w:hAnsi="Cambria Math" w:cs="Times New Roman"/>
                            <w:color w:val="auto"/>
                            <w:kern w:val="2"/>
                            <w:sz w:val="24"/>
                            <w:szCs w:val="24"/>
                            <w:highlight w:val="none"/>
                            <w:lang w:val="en-US" w:eastAsia="zh-CN" w:bidi="ar-SA"/>
                          </w:rPr>
                        </m:ctrlPr>
                      </m:sSubPr>
                      <m:e>
                        <m:r>
                          <m:rPr>
                            <m:nor/>
                            <m:sty m:val="p"/>
                          </m:rPr>
                          <w:rPr>
                            <w:rFonts w:hint="default" w:ascii="Times New Roman" w:hAnsi="Times New Roman" w:cs="Times New Roman"/>
                            <w:b w:val="0"/>
                            <w:i w:val="0"/>
                            <w:color w:val="auto"/>
                            <w:kern w:val="2"/>
                            <w:sz w:val="24"/>
                            <w:szCs w:val="24"/>
                            <w:highlight w:val="none"/>
                            <w:lang w:val="en-US" w:eastAsia="zh-CN" w:bidi="ar-SA"/>
                          </w:rPr>
                          <m:t>M</m:t>
                        </m:r>
                        <m:ctrlPr>
                          <w:rPr>
                            <w:rFonts w:hint="default" w:ascii="Cambria Math" w:hAnsi="Cambria Math" w:cs="Times New Roman"/>
                            <w:color w:val="auto"/>
                            <w:kern w:val="2"/>
                            <w:sz w:val="24"/>
                            <w:szCs w:val="24"/>
                            <w:highlight w:val="none"/>
                            <w:lang w:val="en-US" w:eastAsia="zh-CN" w:bidi="ar-SA"/>
                          </w:rPr>
                        </m:ctrlPr>
                      </m:e>
                      <m:sub>
                        <m:r>
                          <m:rPr>
                            <m:nor/>
                            <m:sty m:val="p"/>
                          </m:rPr>
                          <w:rPr>
                            <w:rFonts w:hint="default" w:ascii="Times New Roman" w:hAnsi="Times New Roman" w:cs="Times New Roman"/>
                            <w:b w:val="0"/>
                            <w:i w:val="0"/>
                            <w:color w:val="auto"/>
                            <w:kern w:val="2"/>
                            <w:sz w:val="24"/>
                            <w:szCs w:val="24"/>
                            <w:highlight w:val="none"/>
                            <w:lang w:val="en-US" w:eastAsia="zh-CN" w:bidi="ar-SA"/>
                          </w:rPr>
                          <m:t>a</m:t>
                        </m:r>
                        <m:ctrlPr>
                          <w:rPr>
                            <w:rFonts w:hint="default" w:ascii="Cambria Math" w:hAnsi="Cambria Math" w:cs="Times New Roman"/>
                            <w:color w:val="auto"/>
                            <w:kern w:val="2"/>
                            <w:sz w:val="24"/>
                            <w:szCs w:val="24"/>
                            <w:highlight w:val="none"/>
                            <w:lang w:val="en-US" w:eastAsia="zh-CN" w:bidi="ar-SA"/>
                          </w:rPr>
                        </m:ctrlPr>
                      </m:sub>
                    </m:sSub>
                    <m:r>
                      <m:rPr>
                        <m:nor/>
                        <m:sty m:val="p"/>
                      </m:rPr>
                      <w:rPr>
                        <w:rFonts w:hint="default" w:ascii="Times New Roman" w:hAnsi="Times New Roman" w:cs="Times New Roman"/>
                        <w:b w:val="0"/>
                        <w:i w:val="0"/>
                        <w:color w:val="auto"/>
                        <w:kern w:val="2"/>
                        <w:sz w:val="24"/>
                        <w:szCs w:val="24"/>
                        <w:highlight w:val="none"/>
                        <w:lang w:val="en-US" w:eastAsia="zh-CN" w:bidi="ar-SA"/>
                      </w:rPr>
                      <m:t>)</m:t>
                    </m:r>
                    <m:ctrlPr>
                      <w:rPr>
                        <w:rFonts w:hint="default" w:ascii="Cambria Math" w:hAnsi="Cambria Math" w:cs="Times New Roman"/>
                        <w:color w:val="auto"/>
                        <w:kern w:val="2"/>
                        <w:sz w:val="24"/>
                        <w:szCs w:val="24"/>
                        <w:highlight w:val="none"/>
                        <w:lang w:val="en-US" w:eastAsia="zh-CN" w:bidi="ar-SA"/>
                      </w:rPr>
                    </m:ctrlPr>
                  </m:e>
                </m:nary>
                <m:ctrlPr>
                  <w:rPr>
                    <w:rFonts w:hint="default" w:ascii="Cambria Math" w:hAnsi="Cambria Math" w:cs="Times New Roman"/>
                    <w:color w:val="auto"/>
                    <w:kern w:val="2"/>
                    <w:sz w:val="24"/>
                    <w:szCs w:val="24"/>
                    <w:highlight w:val="none"/>
                    <w:lang w:val="en-US" w:eastAsia="zh-CN" w:bidi="ar-SA"/>
                  </w:rPr>
                </m:ctrlPr>
              </m:e>
            </m:nary>
            <m:ctrlPr>
              <w:rPr>
                <w:rFonts w:hint="default" w:ascii="Cambria Math" w:hAnsi="Cambria Math" w:cs="Times New Roman"/>
                <w:color w:val="auto"/>
                <w:kern w:val="2"/>
                <w:sz w:val="24"/>
                <w:szCs w:val="24"/>
                <w:highlight w:val="none"/>
                <w:lang w:val="en-US" w:eastAsia="zh-CN" w:bidi="ar-SA"/>
              </w:rPr>
            </m:ctrlPr>
          </m:den>
        </m:f>
        <m:r>
          <m:rPr>
            <m:nor/>
            <m:sty m:val="p"/>
          </m:rPr>
          <w:rPr>
            <w:rFonts w:hint="default" w:ascii="Times New Roman" w:hAnsi="Times New Roman" w:cs="Times New Roman"/>
            <w:b w:val="0"/>
            <w:i w:val="0"/>
            <w:color w:val="auto"/>
            <w:kern w:val="2"/>
            <w:sz w:val="24"/>
            <w:szCs w:val="24"/>
            <w:highlight w:val="none"/>
            <w:lang w:val="en-US" w:eastAsia="zh-CN" w:bidi="ar-SA"/>
          </w:rPr>
          <m:t>×1</m:t>
        </m:r>
      </m:oMath>
      <w:r>
        <w:rPr>
          <w:rFonts w:hint="default" w:ascii="Times New Roman" w:hAnsi="Times New Roman" w:cs="Times New Roman"/>
          <w:color w:val="auto"/>
          <w:kern w:val="2"/>
          <w:sz w:val="24"/>
          <w:szCs w:val="24"/>
          <w:highlight w:val="none"/>
          <w:lang w:val="en-US" w:eastAsia="zh-CN" w:bidi="ar-SA"/>
        </w:rPr>
        <w:t>00%</w:t>
      </w:r>
    </w:p>
    <w:p w14:paraId="0D63BAD5">
      <w:pPr>
        <w:widowControl w:val="0"/>
        <w:numPr>
          <w:ilvl w:val="0"/>
          <w:numId w:val="0"/>
        </w:numPr>
        <w:spacing w:beforeLines="0" w:afterLines="0" w:line="360" w:lineRule="auto"/>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式中：E-相对误差；</w:t>
      </w:r>
    </w:p>
    <w:p w14:paraId="4766067A">
      <w:pPr>
        <w:widowControl w:val="0"/>
        <w:numPr>
          <w:ilvl w:val="0"/>
          <w:numId w:val="0"/>
        </w:numPr>
        <w:spacing w:beforeLines="0" w:afterLines="0" w:line="360" w:lineRule="auto"/>
        <w:ind w:firstLine="720" w:firstLineChars="3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Ma-阳离子毫克当量浓度，meq/L；</w:t>
      </w:r>
    </w:p>
    <w:p w14:paraId="7D9D9DFE">
      <w:pPr>
        <w:widowControl w:val="0"/>
        <w:numPr>
          <w:ilvl w:val="0"/>
          <w:numId w:val="0"/>
        </w:numPr>
        <w:spacing w:beforeLines="0" w:afterLines="0" w:line="360" w:lineRule="auto"/>
        <w:ind w:firstLine="720" w:firstLineChars="3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Me-阴离子毫克当量浓度，meq/L。</w:t>
      </w:r>
    </w:p>
    <w:p w14:paraId="4B90916E">
      <w:pPr>
        <w:widowControl w:val="0"/>
        <w:numPr>
          <w:ilvl w:val="0"/>
          <w:numId w:val="0"/>
        </w:numPr>
        <w:spacing w:beforeLines="0" w:afterLines="0" w:line="360" w:lineRule="auto"/>
        <w:ind w:firstLine="720" w:firstLineChars="30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地下水中八大离子现状监测与检验结果见表5.3-4。</w:t>
      </w:r>
    </w:p>
    <w:p w14:paraId="52B8E291">
      <w:pPr>
        <w:shd w:val="clear"/>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表5.3-4地下水中八大离子现状监测与检验结果表</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15"/>
        <w:gridCol w:w="1119"/>
        <w:gridCol w:w="2694"/>
        <w:gridCol w:w="1472"/>
        <w:gridCol w:w="1361"/>
        <w:gridCol w:w="1262"/>
      </w:tblGrid>
      <w:tr w14:paraId="717035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exact"/>
        </w:trPr>
        <w:tc>
          <w:tcPr>
            <w:tcW w:w="2597" w:type="pct"/>
            <w:gridSpan w:val="3"/>
            <w:tcBorders>
              <w:tl2br w:val="nil"/>
              <w:tr2bl w:val="nil"/>
            </w:tcBorders>
            <w:noWrap w:val="0"/>
            <w:vAlign w:val="center"/>
          </w:tcPr>
          <w:p w14:paraId="645E0F67">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离子</w:t>
            </w:r>
          </w:p>
        </w:tc>
        <w:tc>
          <w:tcPr>
            <w:tcW w:w="863" w:type="pct"/>
            <w:tcBorders>
              <w:tl2br w:val="nil"/>
              <w:tr2bl w:val="nil"/>
            </w:tcBorders>
            <w:noWrap w:val="0"/>
            <w:vAlign w:val="center"/>
          </w:tcPr>
          <w:p w14:paraId="122D0E3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vertAlign w:val="superscript"/>
                <w:lang w:val="en-US" w:eastAsia="zh-CN"/>
              </w:rPr>
              <w:t>#</w:t>
            </w:r>
          </w:p>
        </w:tc>
        <w:tc>
          <w:tcPr>
            <w:tcW w:w="798" w:type="pct"/>
            <w:tcBorders>
              <w:tl2br w:val="nil"/>
              <w:tr2bl w:val="nil"/>
            </w:tcBorders>
            <w:noWrap w:val="0"/>
            <w:vAlign w:val="center"/>
          </w:tcPr>
          <w:p w14:paraId="02E294B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vertAlign w:val="superscript"/>
                <w:lang w:val="en-US" w:eastAsia="zh-CN"/>
              </w:rPr>
              <w:t>#</w:t>
            </w:r>
          </w:p>
        </w:tc>
        <w:tc>
          <w:tcPr>
            <w:tcW w:w="740" w:type="pct"/>
            <w:tcBorders>
              <w:tl2br w:val="nil"/>
              <w:tr2bl w:val="nil"/>
            </w:tcBorders>
            <w:noWrap w:val="0"/>
            <w:vAlign w:val="center"/>
          </w:tcPr>
          <w:p w14:paraId="23435CC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vertAlign w:val="superscript"/>
                <w:lang w:val="en-US" w:eastAsia="zh-CN"/>
              </w:rPr>
              <w:t>#</w:t>
            </w:r>
          </w:p>
        </w:tc>
      </w:tr>
      <w:tr w14:paraId="5A74FC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exact"/>
        </w:trPr>
        <w:tc>
          <w:tcPr>
            <w:tcW w:w="361" w:type="pct"/>
            <w:vMerge w:val="restart"/>
            <w:tcBorders>
              <w:tl2br w:val="nil"/>
              <w:tr2bl w:val="nil"/>
            </w:tcBorders>
            <w:noWrap w:val="0"/>
            <w:vAlign w:val="center"/>
          </w:tcPr>
          <w:p w14:paraId="57EC4F17">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阳离子</w:t>
            </w:r>
          </w:p>
        </w:tc>
        <w:tc>
          <w:tcPr>
            <w:tcW w:w="656" w:type="pct"/>
            <w:vMerge w:val="restart"/>
            <w:tcBorders>
              <w:tl2br w:val="nil"/>
              <w:tr2bl w:val="nil"/>
            </w:tcBorders>
            <w:noWrap w:val="0"/>
            <w:vAlign w:val="center"/>
          </w:tcPr>
          <w:p w14:paraId="6FA8E0F3">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K</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1579" w:type="pct"/>
            <w:tcBorders>
              <w:tl2br w:val="nil"/>
              <w:tr2bl w:val="nil"/>
            </w:tcBorders>
            <w:noWrap w:val="0"/>
            <w:vAlign w:val="center"/>
          </w:tcPr>
          <w:p w14:paraId="64821CCE">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52FF8BB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2.86</w:t>
            </w:r>
          </w:p>
        </w:tc>
        <w:tc>
          <w:tcPr>
            <w:tcW w:w="798" w:type="pct"/>
            <w:tcBorders>
              <w:tl2br w:val="nil"/>
              <w:tr2bl w:val="nil"/>
            </w:tcBorders>
            <w:noWrap w:val="0"/>
            <w:vAlign w:val="center"/>
          </w:tcPr>
          <w:p w14:paraId="073BBDE6">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2.15</w:t>
            </w:r>
          </w:p>
        </w:tc>
        <w:tc>
          <w:tcPr>
            <w:tcW w:w="740" w:type="pct"/>
            <w:tcBorders>
              <w:tl2br w:val="nil"/>
              <w:tr2bl w:val="nil"/>
            </w:tcBorders>
            <w:noWrap w:val="0"/>
            <w:vAlign w:val="center"/>
          </w:tcPr>
          <w:p w14:paraId="6FD5CBF4">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1.03</w:t>
            </w:r>
          </w:p>
        </w:tc>
      </w:tr>
      <w:tr w14:paraId="3A87FA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exact"/>
        </w:trPr>
        <w:tc>
          <w:tcPr>
            <w:tcW w:w="361" w:type="pct"/>
            <w:vMerge w:val="continue"/>
            <w:tcBorders>
              <w:tl2br w:val="nil"/>
              <w:tr2bl w:val="nil"/>
            </w:tcBorders>
            <w:noWrap w:val="0"/>
            <w:vAlign w:val="center"/>
          </w:tcPr>
          <w:p w14:paraId="7B3159D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5B2BE64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5CF6688E">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02F8C08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0.073</w:t>
            </w:r>
          </w:p>
        </w:tc>
        <w:tc>
          <w:tcPr>
            <w:tcW w:w="798" w:type="pct"/>
            <w:tcBorders>
              <w:tl2br w:val="nil"/>
              <w:tr2bl w:val="nil"/>
            </w:tcBorders>
            <w:noWrap w:val="0"/>
            <w:vAlign w:val="center"/>
          </w:tcPr>
          <w:p w14:paraId="2D786D6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0.055</w:t>
            </w:r>
          </w:p>
        </w:tc>
        <w:tc>
          <w:tcPr>
            <w:tcW w:w="740" w:type="pct"/>
            <w:tcBorders>
              <w:tl2br w:val="nil"/>
              <w:tr2bl w:val="nil"/>
            </w:tcBorders>
            <w:noWrap w:val="0"/>
            <w:vAlign w:val="center"/>
          </w:tcPr>
          <w:p w14:paraId="0A22AE01">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0.026</w:t>
            </w:r>
          </w:p>
        </w:tc>
      </w:tr>
      <w:tr w14:paraId="1DADF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trPr>
        <w:tc>
          <w:tcPr>
            <w:tcW w:w="361" w:type="pct"/>
            <w:vMerge w:val="continue"/>
            <w:tcBorders>
              <w:tl2br w:val="nil"/>
              <w:tr2bl w:val="nil"/>
            </w:tcBorders>
            <w:noWrap w:val="0"/>
            <w:vAlign w:val="center"/>
          </w:tcPr>
          <w:p w14:paraId="1172702B">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restart"/>
            <w:tcBorders>
              <w:tl2br w:val="nil"/>
              <w:tr2bl w:val="nil"/>
            </w:tcBorders>
            <w:noWrap w:val="0"/>
            <w:vAlign w:val="center"/>
          </w:tcPr>
          <w:p w14:paraId="0E30EAEA">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Na</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1579" w:type="pct"/>
            <w:tcBorders>
              <w:tl2br w:val="nil"/>
              <w:tr2bl w:val="nil"/>
            </w:tcBorders>
            <w:noWrap w:val="0"/>
            <w:vAlign w:val="center"/>
          </w:tcPr>
          <w:p w14:paraId="623FA637">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2CC8859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114</w:t>
            </w:r>
          </w:p>
        </w:tc>
        <w:tc>
          <w:tcPr>
            <w:tcW w:w="798" w:type="pct"/>
            <w:tcBorders>
              <w:tl2br w:val="nil"/>
              <w:tr2bl w:val="nil"/>
            </w:tcBorders>
            <w:noWrap w:val="0"/>
            <w:vAlign w:val="center"/>
          </w:tcPr>
          <w:p w14:paraId="5D024ACA">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126</w:t>
            </w:r>
          </w:p>
        </w:tc>
        <w:tc>
          <w:tcPr>
            <w:tcW w:w="740" w:type="pct"/>
            <w:tcBorders>
              <w:tl2br w:val="nil"/>
              <w:tr2bl w:val="nil"/>
            </w:tcBorders>
            <w:noWrap w:val="0"/>
            <w:vAlign w:val="center"/>
          </w:tcPr>
          <w:p w14:paraId="7D2272D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16.80</w:t>
            </w:r>
          </w:p>
        </w:tc>
      </w:tr>
      <w:tr w14:paraId="75ABA1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trPr>
        <w:tc>
          <w:tcPr>
            <w:tcW w:w="361" w:type="pct"/>
            <w:vMerge w:val="continue"/>
            <w:tcBorders>
              <w:tl2br w:val="nil"/>
              <w:tr2bl w:val="nil"/>
            </w:tcBorders>
            <w:noWrap w:val="0"/>
            <w:vAlign w:val="center"/>
          </w:tcPr>
          <w:p w14:paraId="5A18657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32ACFBC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2B20F09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7860D631">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4.957</w:t>
            </w:r>
          </w:p>
        </w:tc>
        <w:tc>
          <w:tcPr>
            <w:tcW w:w="798" w:type="pct"/>
            <w:tcBorders>
              <w:tl2br w:val="nil"/>
              <w:tr2bl w:val="nil"/>
            </w:tcBorders>
            <w:noWrap w:val="0"/>
            <w:vAlign w:val="center"/>
          </w:tcPr>
          <w:p w14:paraId="7E1074D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5.478</w:t>
            </w:r>
          </w:p>
        </w:tc>
        <w:tc>
          <w:tcPr>
            <w:tcW w:w="740" w:type="pct"/>
            <w:tcBorders>
              <w:tl2br w:val="nil"/>
              <w:tr2bl w:val="nil"/>
            </w:tcBorders>
            <w:noWrap w:val="0"/>
            <w:vAlign w:val="center"/>
          </w:tcPr>
          <w:p w14:paraId="5F6ACE6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0.731</w:t>
            </w:r>
          </w:p>
        </w:tc>
      </w:tr>
      <w:tr w14:paraId="47E4B6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exact"/>
        </w:trPr>
        <w:tc>
          <w:tcPr>
            <w:tcW w:w="361" w:type="pct"/>
            <w:vMerge w:val="continue"/>
            <w:tcBorders>
              <w:tl2br w:val="nil"/>
              <w:tr2bl w:val="nil"/>
            </w:tcBorders>
            <w:noWrap w:val="0"/>
            <w:vAlign w:val="center"/>
          </w:tcPr>
          <w:p w14:paraId="3848EBE6">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restart"/>
            <w:tcBorders>
              <w:tl2br w:val="nil"/>
              <w:tr2bl w:val="nil"/>
            </w:tcBorders>
            <w:noWrap w:val="0"/>
            <w:vAlign w:val="center"/>
          </w:tcPr>
          <w:p w14:paraId="3347E00E">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Ca</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579" w:type="pct"/>
            <w:tcBorders>
              <w:tl2br w:val="nil"/>
              <w:tr2bl w:val="nil"/>
            </w:tcBorders>
            <w:noWrap w:val="0"/>
            <w:vAlign w:val="center"/>
          </w:tcPr>
          <w:p w14:paraId="65D1DFE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34EF3B3E">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112</w:t>
            </w:r>
          </w:p>
        </w:tc>
        <w:tc>
          <w:tcPr>
            <w:tcW w:w="798" w:type="pct"/>
            <w:tcBorders>
              <w:tl2br w:val="nil"/>
              <w:tr2bl w:val="nil"/>
            </w:tcBorders>
            <w:noWrap w:val="0"/>
            <w:vAlign w:val="center"/>
          </w:tcPr>
          <w:p w14:paraId="2361EDE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73.7</w:t>
            </w:r>
          </w:p>
        </w:tc>
        <w:tc>
          <w:tcPr>
            <w:tcW w:w="740" w:type="pct"/>
            <w:tcBorders>
              <w:tl2br w:val="nil"/>
              <w:tr2bl w:val="nil"/>
            </w:tcBorders>
            <w:noWrap w:val="0"/>
            <w:vAlign w:val="center"/>
          </w:tcPr>
          <w:p w14:paraId="7D5BA38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30.65</w:t>
            </w:r>
          </w:p>
        </w:tc>
      </w:tr>
      <w:tr w14:paraId="294D4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exact"/>
        </w:trPr>
        <w:tc>
          <w:tcPr>
            <w:tcW w:w="361" w:type="pct"/>
            <w:vMerge w:val="continue"/>
            <w:tcBorders>
              <w:tl2br w:val="nil"/>
              <w:tr2bl w:val="nil"/>
            </w:tcBorders>
            <w:noWrap w:val="0"/>
            <w:vAlign w:val="center"/>
          </w:tcPr>
          <w:p w14:paraId="105D2F55">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011455C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1D67AE7A">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33210291">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5.586</w:t>
            </w:r>
          </w:p>
        </w:tc>
        <w:tc>
          <w:tcPr>
            <w:tcW w:w="798" w:type="pct"/>
            <w:tcBorders>
              <w:tl2br w:val="nil"/>
              <w:tr2bl w:val="nil"/>
            </w:tcBorders>
            <w:noWrap w:val="0"/>
            <w:vAlign w:val="center"/>
          </w:tcPr>
          <w:p w14:paraId="6348A22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3.676</w:t>
            </w:r>
          </w:p>
        </w:tc>
        <w:tc>
          <w:tcPr>
            <w:tcW w:w="740" w:type="pct"/>
            <w:tcBorders>
              <w:tl2br w:val="nil"/>
              <w:tr2bl w:val="nil"/>
            </w:tcBorders>
            <w:noWrap w:val="0"/>
            <w:vAlign w:val="center"/>
          </w:tcPr>
          <w:p w14:paraId="704D4E2A">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1.529</w:t>
            </w:r>
          </w:p>
        </w:tc>
      </w:tr>
      <w:tr w14:paraId="08D04E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exact"/>
        </w:trPr>
        <w:tc>
          <w:tcPr>
            <w:tcW w:w="361" w:type="pct"/>
            <w:vMerge w:val="continue"/>
            <w:tcBorders>
              <w:tl2br w:val="nil"/>
              <w:tr2bl w:val="nil"/>
            </w:tcBorders>
            <w:noWrap w:val="0"/>
            <w:vAlign w:val="center"/>
          </w:tcPr>
          <w:p w14:paraId="47E1E837">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restart"/>
            <w:tcBorders>
              <w:tl2br w:val="nil"/>
              <w:tr2bl w:val="nil"/>
            </w:tcBorders>
            <w:noWrap w:val="0"/>
            <w:vAlign w:val="center"/>
          </w:tcPr>
          <w:p w14:paraId="74A7CE0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579" w:type="pct"/>
            <w:tcBorders>
              <w:tl2br w:val="nil"/>
              <w:tr2bl w:val="nil"/>
            </w:tcBorders>
            <w:noWrap w:val="0"/>
            <w:vAlign w:val="center"/>
          </w:tcPr>
          <w:p w14:paraId="62B390A3">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5BC403CD">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78.1</w:t>
            </w:r>
          </w:p>
        </w:tc>
        <w:tc>
          <w:tcPr>
            <w:tcW w:w="798" w:type="pct"/>
            <w:tcBorders>
              <w:tl2br w:val="nil"/>
              <w:tr2bl w:val="nil"/>
            </w:tcBorders>
            <w:noWrap w:val="0"/>
            <w:vAlign w:val="center"/>
          </w:tcPr>
          <w:p w14:paraId="7AE4AA7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61.0</w:t>
            </w:r>
          </w:p>
        </w:tc>
        <w:tc>
          <w:tcPr>
            <w:tcW w:w="1262" w:type="dxa"/>
            <w:tcBorders>
              <w:tl2br w:val="nil"/>
              <w:tr2bl w:val="nil"/>
            </w:tcBorders>
            <w:noWrap w:val="0"/>
            <w:vAlign w:val="center"/>
          </w:tcPr>
          <w:p w14:paraId="67F6590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11.70</w:t>
            </w:r>
          </w:p>
        </w:tc>
      </w:tr>
      <w:tr w14:paraId="0D7ED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exact"/>
        </w:trPr>
        <w:tc>
          <w:tcPr>
            <w:tcW w:w="361" w:type="pct"/>
            <w:vMerge w:val="continue"/>
            <w:tcBorders>
              <w:tl2br w:val="nil"/>
              <w:tr2bl w:val="nil"/>
            </w:tcBorders>
            <w:noWrap w:val="0"/>
            <w:vAlign w:val="center"/>
          </w:tcPr>
          <w:p w14:paraId="0B51DC85">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08D6A66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55D5A94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2910BE9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6.428</w:t>
            </w:r>
          </w:p>
        </w:tc>
        <w:tc>
          <w:tcPr>
            <w:tcW w:w="798" w:type="pct"/>
            <w:tcBorders>
              <w:tl2br w:val="nil"/>
              <w:tr2bl w:val="nil"/>
            </w:tcBorders>
            <w:noWrap w:val="0"/>
            <w:vAlign w:val="center"/>
          </w:tcPr>
          <w:p w14:paraId="4F1E8C1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5.021</w:t>
            </w:r>
          </w:p>
        </w:tc>
        <w:tc>
          <w:tcPr>
            <w:tcW w:w="1262" w:type="dxa"/>
            <w:tcBorders>
              <w:tl2br w:val="nil"/>
              <w:tr2bl w:val="nil"/>
            </w:tcBorders>
            <w:noWrap w:val="0"/>
            <w:vAlign w:val="center"/>
          </w:tcPr>
          <w:p w14:paraId="0C5B2B5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0.963</w:t>
            </w:r>
          </w:p>
        </w:tc>
      </w:tr>
      <w:tr w14:paraId="514E5C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exact"/>
        </w:trPr>
        <w:tc>
          <w:tcPr>
            <w:tcW w:w="361" w:type="pct"/>
            <w:vMerge w:val="continue"/>
            <w:tcBorders>
              <w:tl2br w:val="nil"/>
              <w:tr2bl w:val="nil"/>
            </w:tcBorders>
            <w:noWrap w:val="0"/>
            <w:vAlign w:val="center"/>
          </w:tcPr>
          <w:p w14:paraId="6A96443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2236" w:type="pct"/>
            <w:gridSpan w:val="2"/>
            <w:tcBorders>
              <w:tl2br w:val="nil"/>
              <w:tr2bl w:val="nil"/>
            </w:tcBorders>
            <w:noWrap w:val="0"/>
            <w:vAlign w:val="center"/>
          </w:tcPr>
          <w:p w14:paraId="433FD691">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阳离子毫克当量浓度合计</w:t>
            </w:r>
          </w:p>
        </w:tc>
        <w:tc>
          <w:tcPr>
            <w:tcW w:w="863" w:type="pct"/>
            <w:tcBorders>
              <w:tl2br w:val="nil"/>
              <w:tr2bl w:val="nil"/>
            </w:tcBorders>
            <w:noWrap w:val="0"/>
            <w:vAlign w:val="center"/>
          </w:tcPr>
          <w:p w14:paraId="7DF5017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17.044</w:t>
            </w:r>
          </w:p>
        </w:tc>
        <w:tc>
          <w:tcPr>
            <w:tcW w:w="798" w:type="pct"/>
            <w:tcBorders>
              <w:tl2br w:val="nil"/>
              <w:tr2bl w:val="nil"/>
            </w:tcBorders>
            <w:noWrap w:val="0"/>
            <w:vAlign w:val="center"/>
          </w:tcPr>
          <w:p w14:paraId="5933AC2D">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14.230</w:t>
            </w:r>
          </w:p>
        </w:tc>
        <w:tc>
          <w:tcPr>
            <w:tcW w:w="1262" w:type="dxa"/>
            <w:tcBorders>
              <w:tl2br w:val="nil"/>
              <w:tr2bl w:val="nil"/>
            </w:tcBorders>
            <w:noWrap w:val="0"/>
            <w:vAlign w:val="center"/>
          </w:tcPr>
          <w:p w14:paraId="0830A455">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3.249</w:t>
            </w:r>
          </w:p>
        </w:tc>
      </w:tr>
      <w:tr w14:paraId="628D9A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exact"/>
        </w:trPr>
        <w:tc>
          <w:tcPr>
            <w:tcW w:w="361" w:type="pct"/>
            <w:vMerge w:val="restart"/>
            <w:tcBorders>
              <w:tl2br w:val="nil"/>
              <w:tr2bl w:val="nil"/>
            </w:tcBorders>
            <w:noWrap w:val="0"/>
            <w:vAlign w:val="center"/>
          </w:tcPr>
          <w:p w14:paraId="5B647E44">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阴离子</w:t>
            </w:r>
          </w:p>
        </w:tc>
        <w:tc>
          <w:tcPr>
            <w:tcW w:w="656" w:type="pct"/>
            <w:vMerge w:val="restart"/>
            <w:tcBorders>
              <w:tl2br w:val="nil"/>
              <w:tr2bl w:val="nil"/>
            </w:tcBorders>
            <w:noWrap w:val="0"/>
            <w:vAlign w:val="center"/>
          </w:tcPr>
          <w:p w14:paraId="38ECABF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579" w:type="pct"/>
            <w:tcBorders>
              <w:tl2br w:val="nil"/>
              <w:tr2bl w:val="nil"/>
            </w:tcBorders>
            <w:noWrap w:val="0"/>
            <w:vAlign w:val="center"/>
          </w:tcPr>
          <w:p w14:paraId="39BA2A21">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0767B433">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370</w:t>
            </w:r>
          </w:p>
        </w:tc>
        <w:tc>
          <w:tcPr>
            <w:tcW w:w="798" w:type="pct"/>
            <w:tcBorders>
              <w:tl2br w:val="nil"/>
              <w:tr2bl w:val="nil"/>
            </w:tcBorders>
            <w:noWrap w:val="0"/>
            <w:vAlign w:val="center"/>
          </w:tcPr>
          <w:p w14:paraId="1C4095B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525</w:t>
            </w:r>
          </w:p>
        </w:tc>
        <w:tc>
          <w:tcPr>
            <w:tcW w:w="1262" w:type="dxa"/>
            <w:tcBorders>
              <w:tl2br w:val="nil"/>
              <w:tr2bl w:val="nil"/>
            </w:tcBorders>
            <w:noWrap w:val="0"/>
            <w:vAlign w:val="center"/>
          </w:tcPr>
          <w:p w14:paraId="34B7AB4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r>
      <w:tr w14:paraId="09714C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exact"/>
        </w:trPr>
        <w:tc>
          <w:tcPr>
            <w:tcW w:w="361" w:type="pct"/>
            <w:vMerge w:val="continue"/>
            <w:tcBorders>
              <w:tl2br w:val="nil"/>
              <w:tr2bl w:val="nil"/>
            </w:tcBorders>
            <w:noWrap w:val="0"/>
            <w:vAlign w:val="center"/>
          </w:tcPr>
          <w:p w14:paraId="36B05895">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2B64F20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5BAEA7E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47686311">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12.333</w:t>
            </w:r>
          </w:p>
        </w:tc>
        <w:tc>
          <w:tcPr>
            <w:tcW w:w="798" w:type="pct"/>
            <w:tcBorders>
              <w:tl2br w:val="nil"/>
              <w:tr2bl w:val="nil"/>
            </w:tcBorders>
            <w:noWrap w:val="0"/>
            <w:vAlign w:val="center"/>
          </w:tcPr>
          <w:p w14:paraId="0C9C8794">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17.500</w:t>
            </w:r>
          </w:p>
        </w:tc>
        <w:tc>
          <w:tcPr>
            <w:tcW w:w="1262" w:type="dxa"/>
            <w:tcBorders>
              <w:tl2br w:val="nil"/>
              <w:tr2bl w:val="nil"/>
            </w:tcBorders>
            <w:noWrap w:val="0"/>
            <w:vAlign w:val="center"/>
          </w:tcPr>
          <w:p w14:paraId="6CB8C604">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r>
      <w:tr w14:paraId="5F2332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2" w:hRule="exact"/>
        </w:trPr>
        <w:tc>
          <w:tcPr>
            <w:tcW w:w="361" w:type="pct"/>
            <w:vMerge w:val="continue"/>
            <w:tcBorders>
              <w:tl2br w:val="nil"/>
              <w:tr2bl w:val="nil"/>
            </w:tcBorders>
            <w:noWrap w:val="0"/>
            <w:vAlign w:val="center"/>
          </w:tcPr>
          <w:p w14:paraId="2A90158A">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restart"/>
            <w:tcBorders>
              <w:tl2br w:val="nil"/>
              <w:tr2bl w:val="nil"/>
            </w:tcBorders>
            <w:noWrap w:val="0"/>
            <w:vAlign w:val="center"/>
          </w:tcPr>
          <w:p w14:paraId="2C23989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HCO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1579" w:type="pct"/>
            <w:tcBorders>
              <w:tl2br w:val="nil"/>
              <w:tr2bl w:val="nil"/>
            </w:tcBorders>
            <w:noWrap w:val="0"/>
            <w:vAlign w:val="center"/>
          </w:tcPr>
          <w:p w14:paraId="3C07694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3155E36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5L</w:t>
            </w:r>
          </w:p>
        </w:tc>
        <w:tc>
          <w:tcPr>
            <w:tcW w:w="798" w:type="pct"/>
            <w:tcBorders>
              <w:tl2br w:val="nil"/>
              <w:tr2bl w:val="nil"/>
            </w:tcBorders>
            <w:noWrap w:val="0"/>
            <w:vAlign w:val="center"/>
          </w:tcPr>
          <w:p w14:paraId="3DE6DC4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5L</w:t>
            </w:r>
          </w:p>
        </w:tc>
        <w:tc>
          <w:tcPr>
            <w:tcW w:w="1262" w:type="dxa"/>
            <w:tcBorders>
              <w:tl2br w:val="nil"/>
              <w:tr2bl w:val="nil"/>
            </w:tcBorders>
            <w:noWrap w:val="0"/>
            <w:vAlign w:val="center"/>
          </w:tcPr>
          <w:p w14:paraId="74D0AB9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185.35</w:t>
            </w:r>
          </w:p>
        </w:tc>
      </w:tr>
      <w:tr w14:paraId="21B5D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2" w:hRule="exact"/>
        </w:trPr>
        <w:tc>
          <w:tcPr>
            <w:tcW w:w="361" w:type="pct"/>
            <w:vMerge w:val="continue"/>
            <w:tcBorders>
              <w:tl2br w:val="nil"/>
              <w:tr2bl w:val="nil"/>
            </w:tcBorders>
            <w:noWrap w:val="0"/>
            <w:vAlign w:val="center"/>
          </w:tcPr>
          <w:p w14:paraId="42060BCB">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0B1F2B3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649B396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6C46404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0.082</w:t>
            </w:r>
          </w:p>
        </w:tc>
        <w:tc>
          <w:tcPr>
            <w:tcW w:w="798" w:type="pct"/>
            <w:tcBorders>
              <w:tl2br w:val="nil"/>
              <w:tr2bl w:val="nil"/>
            </w:tcBorders>
            <w:noWrap w:val="0"/>
            <w:vAlign w:val="center"/>
          </w:tcPr>
          <w:p w14:paraId="06AF10E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0.082</w:t>
            </w:r>
          </w:p>
        </w:tc>
        <w:tc>
          <w:tcPr>
            <w:tcW w:w="1262" w:type="dxa"/>
            <w:tcBorders>
              <w:tl2br w:val="nil"/>
              <w:tr2bl w:val="nil"/>
            </w:tcBorders>
            <w:noWrap w:val="0"/>
            <w:vAlign w:val="center"/>
          </w:tcPr>
          <w:p w14:paraId="15688543">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3.038</w:t>
            </w:r>
          </w:p>
        </w:tc>
      </w:tr>
      <w:tr w14:paraId="0F8FE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5" w:hRule="exact"/>
        </w:trPr>
        <w:tc>
          <w:tcPr>
            <w:tcW w:w="361" w:type="pct"/>
            <w:vMerge w:val="continue"/>
            <w:tcBorders>
              <w:tl2br w:val="nil"/>
              <w:tr2bl w:val="nil"/>
            </w:tcBorders>
            <w:noWrap w:val="0"/>
            <w:vAlign w:val="center"/>
          </w:tcPr>
          <w:p w14:paraId="53985947">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restart"/>
            <w:tcBorders>
              <w:tl2br w:val="nil"/>
              <w:tr2bl w:val="nil"/>
            </w:tcBorders>
            <w:noWrap w:val="0"/>
            <w:vAlign w:val="center"/>
          </w:tcPr>
          <w:p w14:paraId="2AB3768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Cl</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1579" w:type="pct"/>
            <w:tcBorders>
              <w:tl2br w:val="nil"/>
              <w:tr2bl w:val="nil"/>
            </w:tcBorders>
            <w:noWrap w:val="0"/>
            <w:vAlign w:val="center"/>
          </w:tcPr>
          <w:p w14:paraId="0BF4349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20625BC9">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361" w:type="dxa"/>
            <w:tcBorders>
              <w:tl2br w:val="nil"/>
              <w:tr2bl w:val="nil"/>
            </w:tcBorders>
            <w:noWrap w:val="0"/>
            <w:vAlign w:val="center"/>
          </w:tcPr>
          <w:p w14:paraId="45785454">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262" w:type="dxa"/>
            <w:tcBorders>
              <w:tl2br w:val="nil"/>
              <w:tr2bl w:val="nil"/>
            </w:tcBorders>
            <w:noWrap w:val="0"/>
            <w:vAlign w:val="center"/>
          </w:tcPr>
          <w:p w14:paraId="59559AF7">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6.34</w:t>
            </w:r>
          </w:p>
        </w:tc>
      </w:tr>
      <w:tr w14:paraId="2010A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5" w:hRule="exact"/>
        </w:trPr>
        <w:tc>
          <w:tcPr>
            <w:tcW w:w="361" w:type="pct"/>
            <w:vMerge w:val="continue"/>
            <w:tcBorders>
              <w:tl2br w:val="nil"/>
              <w:tr2bl w:val="nil"/>
            </w:tcBorders>
            <w:noWrap w:val="0"/>
            <w:vAlign w:val="center"/>
          </w:tcPr>
          <w:p w14:paraId="569D1A7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14D997C7">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510A82A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3F63DF84">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361" w:type="dxa"/>
            <w:tcBorders>
              <w:tl2br w:val="nil"/>
              <w:tr2bl w:val="nil"/>
            </w:tcBorders>
            <w:noWrap w:val="0"/>
            <w:vAlign w:val="center"/>
          </w:tcPr>
          <w:p w14:paraId="03662AAC">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262" w:type="dxa"/>
            <w:tcBorders>
              <w:tl2br w:val="nil"/>
              <w:tr2bl w:val="nil"/>
            </w:tcBorders>
            <w:noWrap w:val="0"/>
            <w:vAlign w:val="center"/>
          </w:tcPr>
          <w:p w14:paraId="7B61DB7F">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0.179</w:t>
            </w:r>
          </w:p>
        </w:tc>
      </w:tr>
      <w:tr w14:paraId="2850E1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4" w:hRule="exact"/>
        </w:trPr>
        <w:tc>
          <w:tcPr>
            <w:tcW w:w="361" w:type="pct"/>
            <w:vMerge w:val="continue"/>
            <w:tcBorders>
              <w:tl2br w:val="nil"/>
              <w:tr2bl w:val="nil"/>
            </w:tcBorders>
            <w:noWrap w:val="0"/>
            <w:vAlign w:val="center"/>
          </w:tcPr>
          <w:p w14:paraId="28CB3316">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restart"/>
            <w:tcBorders>
              <w:tl2br w:val="nil"/>
              <w:tr2bl w:val="nil"/>
            </w:tcBorders>
            <w:noWrap w:val="0"/>
            <w:vAlign w:val="center"/>
          </w:tcPr>
          <w:p w14:paraId="49812E03">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4</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1579" w:type="pct"/>
            <w:tcBorders>
              <w:tl2br w:val="nil"/>
              <w:tr2bl w:val="nil"/>
            </w:tcBorders>
            <w:noWrap w:val="0"/>
            <w:vAlign w:val="center"/>
          </w:tcPr>
          <w:p w14:paraId="7A116EA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ρ(B)mg/L</w:t>
            </w:r>
          </w:p>
        </w:tc>
        <w:tc>
          <w:tcPr>
            <w:tcW w:w="863" w:type="pct"/>
            <w:tcBorders>
              <w:tl2br w:val="nil"/>
              <w:tr2bl w:val="nil"/>
            </w:tcBorders>
            <w:noWrap w:val="0"/>
            <w:vAlign w:val="center"/>
          </w:tcPr>
          <w:p w14:paraId="52B52AF1">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361" w:type="dxa"/>
            <w:tcBorders>
              <w:tl2br w:val="nil"/>
              <w:tr2bl w:val="nil"/>
            </w:tcBorders>
            <w:noWrap w:val="0"/>
            <w:vAlign w:val="center"/>
          </w:tcPr>
          <w:p w14:paraId="347237ED">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262" w:type="dxa"/>
            <w:tcBorders>
              <w:tl2br w:val="nil"/>
              <w:tr2bl w:val="nil"/>
            </w:tcBorders>
            <w:noWrap w:val="0"/>
            <w:vAlign w:val="center"/>
          </w:tcPr>
          <w:p w14:paraId="0C752362">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18.25</w:t>
            </w:r>
          </w:p>
        </w:tc>
      </w:tr>
      <w:tr w14:paraId="3D4A89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8" w:hRule="exact"/>
        </w:trPr>
        <w:tc>
          <w:tcPr>
            <w:tcW w:w="361" w:type="pct"/>
            <w:vMerge w:val="continue"/>
            <w:tcBorders>
              <w:tl2br w:val="nil"/>
              <w:tr2bl w:val="nil"/>
            </w:tcBorders>
            <w:noWrap w:val="0"/>
            <w:vAlign w:val="center"/>
          </w:tcPr>
          <w:p w14:paraId="59C2A184">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656" w:type="pct"/>
            <w:vMerge w:val="continue"/>
            <w:tcBorders>
              <w:tl2br w:val="nil"/>
              <w:tr2bl w:val="nil"/>
            </w:tcBorders>
            <w:noWrap w:val="0"/>
            <w:vAlign w:val="center"/>
          </w:tcPr>
          <w:p w14:paraId="315751E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1579" w:type="pct"/>
            <w:tcBorders>
              <w:tl2br w:val="nil"/>
              <w:tr2bl w:val="nil"/>
            </w:tcBorders>
            <w:noWrap w:val="0"/>
            <w:vAlign w:val="center"/>
          </w:tcPr>
          <w:p w14:paraId="2787E948">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毫克当量浓度</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meq/L</w:t>
            </w:r>
            <w:r>
              <w:rPr>
                <w:rFonts w:hint="eastAsia" w:cs="Times New Roman"/>
                <w:b w:val="0"/>
                <w:bCs w:val="0"/>
                <w:color w:val="auto"/>
                <w:sz w:val="21"/>
                <w:szCs w:val="21"/>
                <w:highlight w:val="none"/>
                <w:lang w:val="en-US" w:eastAsia="zh-CN"/>
              </w:rPr>
              <w:t>）</w:t>
            </w:r>
          </w:p>
        </w:tc>
        <w:tc>
          <w:tcPr>
            <w:tcW w:w="863" w:type="pct"/>
            <w:tcBorders>
              <w:tl2br w:val="nil"/>
              <w:tr2bl w:val="nil"/>
            </w:tcBorders>
            <w:noWrap w:val="0"/>
            <w:vAlign w:val="center"/>
          </w:tcPr>
          <w:p w14:paraId="7D5D9F5E">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361" w:type="dxa"/>
            <w:tcBorders>
              <w:tl2br w:val="nil"/>
              <w:tr2bl w:val="nil"/>
            </w:tcBorders>
            <w:noWrap w:val="0"/>
            <w:vAlign w:val="center"/>
          </w:tcPr>
          <w:p w14:paraId="07A89C43">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1262" w:type="dxa"/>
            <w:tcBorders>
              <w:tl2br w:val="nil"/>
              <w:tr2bl w:val="nil"/>
            </w:tcBorders>
            <w:noWrap w:val="0"/>
            <w:vAlign w:val="center"/>
          </w:tcPr>
          <w:p w14:paraId="49D9486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0.38</w:t>
            </w:r>
          </w:p>
        </w:tc>
      </w:tr>
      <w:tr w14:paraId="3BD505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8" w:hRule="exact"/>
        </w:trPr>
        <w:tc>
          <w:tcPr>
            <w:tcW w:w="361" w:type="pct"/>
            <w:vMerge w:val="continue"/>
            <w:tcBorders>
              <w:tl2br w:val="nil"/>
              <w:tr2bl w:val="nil"/>
            </w:tcBorders>
            <w:noWrap w:val="0"/>
            <w:vAlign w:val="center"/>
          </w:tcPr>
          <w:p w14:paraId="3E27B1A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2236" w:type="pct"/>
            <w:gridSpan w:val="2"/>
            <w:tcBorders>
              <w:tl2br w:val="nil"/>
              <w:tr2bl w:val="nil"/>
            </w:tcBorders>
            <w:noWrap w:val="0"/>
            <w:vAlign w:val="center"/>
          </w:tcPr>
          <w:p w14:paraId="0DA5AC6A">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阴离子毫克当量浓度合计</w:t>
            </w:r>
          </w:p>
        </w:tc>
        <w:tc>
          <w:tcPr>
            <w:tcW w:w="1472" w:type="dxa"/>
            <w:tcBorders>
              <w:tl2br w:val="nil"/>
              <w:tr2bl w:val="nil"/>
            </w:tcBorders>
            <w:noWrap w:val="0"/>
            <w:vAlign w:val="center"/>
          </w:tcPr>
          <w:p w14:paraId="2F210121">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12.415</w:t>
            </w:r>
          </w:p>
        </w:tc>
        <w:tc>
          <w:tcPr>
            <w:tcW w:w="1361" w:type="dxa"/>
            <w:tcBorders>
              <w:tl2br w:val="nil"/>
              <w:tr2bl w:val="nil"/>
            </w:tcBorders>
            <w:noWrap w:val="0"/>
            <w:vAlign w:val="center"/>
          </w:tcPr>
          <w:p w14:paraId="027DF7E3">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17.582</w:t>
            </w:r>
          </w:p>
        </w:tc>
        <w:tc>
          <w:tcPr>
            <w:tcW w:w="1262" w:type="dxa"/>
            <w:tcBorders>
              <w:tl2br w:val="nil"/>
              <w:tr2bl w:val="nil"/>
            </w:tcBorders>
            <w:noWrap w:val="0"/>
            <w:vAlign w:val="center"/>
          </w:tcPr>
          <w:p w14:paraId="364CD22C">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3.597</w:t>
            </w:r>
          </w:p>
        </w:tc>
      </w:tr>
      <w:tr w14:paraId="5C58FE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8" w:hRule="exact"/>
        </w:trPr>
        <w:tc>
          <w:tcPr>
            <w:tcW w:w="2597" w:type="pct"/>
            <w:gridSpan w:val="3"/>
            <w:tcBorders>
              <w:tl2br w:val="nil"/>
              <w:tr2bl w:val="nil"/>
            </w:tcBorders>
            <w:noWrap w:val="0"/>
            <w:vAlign w:val="center"/>
          </w:tcPr>
          <w:p w14:paraId="247EF400">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E</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1472" w:type="dxa"/>
            <w:tcBorders>
              <w:tl2br w:val="nil"/>
              <w:tr2bl w:val="nil"/>
            </w:tcBorders>
            <w:noWrap w:val="0"/>
            <w:vAlign w:val="center"/>
          </w:tcPr>
          <w:p w14:paraId="2253DECD">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15.72%</w:t>
            </w:r>
          </w:p>
        </w:tc>
        <w:tc>
          <w:tcPr>
            <w:tcW w:w="1361" w:type="dxa"/>
            <w:tcBorders>
              <w:tl2br w:val="nil"/>
              <w:tr2bl w:val="nil"/>
            </w:tcBorders>
            <w:noWrap w:val="0"/>
            <w:vAlign w:val="center"/>
          </w:tcPr>
          <w:p w14:paraId="696AC0C2">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Segoe UI" w:cs="Times New Roman"/>
                <w:i w:val="0"/>
                <w:iCs w:val="0"/>
                <w:caps w:val="0"/>
                <w:color w:val="auto"/>
                <w:spacing w:val="0"/>
                <w:kern w:val="0"/>
                <w:sz w:val="21"/>
                <w:szCs w:val="21"/>
                <w:highlight w:val="none"/>
                <w:lang w:val="en-US" w:eastAsia="zh-CN" w:bidi="ar"/>
              </w:rPr>
              <w:t>10.55%</w:t>
            </w:r>
          </w:p>
        </w:tc>
        <w:tc>
          <w:tcPr>
            <w:tcW w:w="1262" w:type="dxa"/>
            <w:tcBorders>
              <w:tl2br w:val="nil"/>
              <w:tr2bl w:val="nil"/>
            </w:tcBorders>
            <w:noWrap w:val="0"/>
            <w:vAlign w:val="center"/>
          </w:tcPr>
          <w:p w14:paraId="33DC6566">
            <w:pPr>
              <w:keepNext w:val="0"/>
              <w:keepLines w:val="0"/>
              <w:suppressLineNumbers w:val="0"/>
              <w:shd w:val="clear"/>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5.08%</w:t>
            </w:r>
          </w:p>
        </w:tc>
      </w:tr>
    </w:tbl>
    <w:p w14:paraId="5C8D2189">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由表5.3-4可知，各监测井地下水中阴阳离子平衡的相对误差满足《生活饮用水标准检验方法 水质分析质量控制》</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GB/T5750.3-2006</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中 E&lt;±10%的要求。因此，本次地下水监测结果合理可用。</w:t>
      </w:r>
    </w:p>
    <w:p w14:paraId="51F32CF2">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②地下水化学类型分析</w:t>
      </w:r>
    </w:p>
    <w:p w14:paraId="35164EEC">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项目地下水化学类型采用舒卡列夫分类法表示，毫克当量百分数的计算结果见表5.3-5。</w:t>
      </w:r>
    </w:p>
    <w:p w14:paraId="6112A78A">
      <w:pPr>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 xml:space="preserve">表5.3-5 离子浓度毫克当量百分数结果表 </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39"/>
        <w:gridCol w:w="1550"/>
        <w:gridCol w:w="1688"/>
        <w:gridCol w:w="1833"/>
        <w:gridCol w:w="1913"/>
      </w:tblGrid>
      <w:tr w14:paraId="62678F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0" w:hRule="exact"/>
        </w:trPr>
        <w:tc>
          <w:tcPr>
            <w:tcW w:w="1812" w:type="pct"/>
            <w:gridSpan w:val="2"/>
            <w:tcBorders>
              <w:tl2br w:val="nil"/>
              <w:tr2bl w:val="nil"/>
            </w:tcBorders>
            <w:noWrap w:val="0"/>
            <w:vAlign w:val="center"/>
          </w:tcPr>
          <w:p w14:paraId="0367FB8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 xml:space="preserve">      监测点位</w:t>
            </w:r>
          </w:p>
          <w:p w14:paraId="14B872D1">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离子</w:t>
            </w:r>
          </w:p>
        </w:tc>
        <w:tc>
          <w:tcPr>
            <w:tcW w:w="1688" w:type="dxa"/>
            <w:tcBorders>
              <w:tl2br w:val="nil"/>
              <w:tr2bl w:val="nil"/>
            </w:tcBorders>
            <w:noWrap w:val="0"/>
            <w:vAlign w:val="center"/>
          </w:tcPr>
          <w:p w14:paraId="78DE86EC">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vertAlign w:val="superscript"/>
                <w:lang w:val="en-US" w:eastAsia="zh-CN"/>
              </w:rPr>
              <w:t>#</w:t>
            </w:r>
          </w:p>
        </w:tc>
        <w:tc>
          <w:tcPr>
            <w:tcW w:w="1833" w:type="dxa"/>
            <w:tcBorders>
              <w:tl2br w:val="nil"/>
              <w:tr2bl w:val="nil"/>
            </w:tcBorders>
            <w:noWrap w:val="0"/>
            <w:vAlign w:val="center"/>
          </w:tcPr>
          <w:p w14:paraId="497172C6">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vertAlign w:val="superscript"/>
                <w:lang w:val="en-US" w:eastAsia="zh-CN"/>
              </w:rPr>
              <w:t>#</w:t>
            </w:r>
          </w:p>
        </w:tc>
        <w:tc>
          <w:tcPr>
            <w:tcW w:w="1913" w:type="dxa"/>
            <w:tcBorders>
              <w:tl2br w:val="nil"/>
              <w:tr2bl w:val="nil"/>
            </w:tcBorders>
            <w:noWrap w:val="0"/>
            <w:vAlign w:val="center"/>
          </w:tcPr>
          <w:p w14:paraId="38BE87C4">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vertAlign w:val="superscript"/>
                <w:lang w:val="en-US" w:eastAsia="zh-CN"/>
              </w:rPr>
              <w:t>#</w:t>
            </w:r>
          </w:p>
        </w:tc>
      </w:tr>
      <w:tr w14:paraId="452F8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exact"/>
        </w:trPr>
        <w:tc>
          <w:tcPr>
            <w:tcW w:w="903" w:type="pct"/>
            <w:vMerge w:val="restart"/>
            <w:tcBorders>
              <w:tl2br w:val="nil"/>
              <w:tr2bl w:val="nil"/>
            </w:tcBorders>
            <w:noWrap w:val="0"/>
            <w:vAlign w:val="center"/>
          </w:tcPr>
          <w:p w14:paraId="750F09C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阳离子</w:t>
            </w:r>
          </w:p>
        </w:tc>
        <w:tc>
          <w:tcPr>
            <w:tcW w:w="909" w:type="pct"/>
            <w:tcBorders>
              <w:tl2br w:val="nil"/>
              <w:tr2bl w:val="nil"/>
            </w:tcBorders>
            <w:noWrap w:val="0"/>
            <w:vAlign w:val="center"/>
          </w:tcPr>
          <w:p w14:paraId="30B5F53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K</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990" w:type="pct"/>
            <w:tcBorders>
              <w:tl2br w:val="nil"/>
              <w:tr2bl w:val="nil"/>
            </w:tcBorders>
            <w:noWrap w:val="0"/>
            <w:vAlign w:val="center"/>
          </w:tcPr>
          <w:p w14:paraId="2F4FF5F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0.43%</w:t>
            </w:r>
          </w:p>
        </w:tc>
        <w:tc>
          <w:tcPr>
            <w:tcW w:w="1075" w:type="pct"/>
            <w:tcBorders>
              <w:tl2br w:val="nil"/>
              <w:tr2bl w:val="nil"/>
            </w:tcBorders>
            <w:noWrap w:val="0"/>
            <w:vAlign w:val="center"/>
          </w:tcPr>
          <w:p w14:paraId="3425A71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0.39%</w:t>
            </w:r>
          </w:p>
        </w:tc>
        <w:tc>
          <w:tcPr>
            <w:tcW w:w="1122" w:type="pct"/>
            <w:tcBorders>
              <w:tl2br w:val="nil"/>
              <w:tr2bl w:val="nil"/>
            </w:tcBorders>
            <w:noWrap w:val="0"/>
            <w:vAlign w:val="center"/>
          </w:tcPr>
          <w:p w14:paraId="1AAF8D8B">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0.81%</w:t>
            </w:r>
          </w:p>
        </w:tc>
      </w:tr>
      <w:tr w14:paraId="1DBA50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exact"/>
        </w:trPr>
        <w:tc>
          <w:tcPr>
            <w:tcW w:w="903" w:type="pct"/>
            <w:vMerge w:val="continue"/>
            <w:tcBorders>
              <w:tl2br w:val="nil"/>
              <w:tr2bl w:val="nil"/>
            </w:tcBorders>
            <w:noWrap w:val="0"/>
            <w:vAlign w:val="center"/>
          </w:tcPr>
          <w:p w14:paraId="592292A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909" w:type="pct"/>
            <w:tcBorders>
              <w:tl2br w:val="nil"/>
              <w:tr2bl w:val="nil"/>
            </w:tcBorders>
            <w:noWrap w:val="0"/>
            <w:vAlign w:val="center"/>
          </w:tcPr>
          <w:p w14:paraId="7492603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Na</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990" w:type="pct"/>
            <w:tcBorders>
              <w:tl2br w:val="nil"/>
              <w:tr2bl w:val="nil"/>
            </w:tcBorders>
            <w:noWrap w:val="0"/>
            <w:vAlign w:val="center"/>
          </w:tcPr>
          <w:p w14:paraId="51ED907B">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29.08%</w:t>
            </w:r>
          </w:p>
        </w:tc>
        <w:tc>
          <w:tcPr>
            <w:tcW w:w="1075" w:type="pct"/>
            <w:tcBorders>
              <w:tl2br w:val="nil"/>
              <w:tr2bl w:val="nil"/>
            </w:tcBorders>
            <w:noWrap w:val="0"/>
            <w:vAlign w:val="center"/>
          </w:tcPr>
          <w:p w14:paraId="025D25A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38.50%</w:t>
            </w:r>
          </w:p>
        </w:tc>
        <w:tc>
          <w:tcPr>
            <w:tcW w:w="1122" w:type="pct"/>
            <w:tcBorders>
              <w:tl2br w:val="nil"/>
              <w:tr2bl w:val="nil"/>
            </w:tcBorders>
            <w:noWrap w:val="0"/>
            <w:vAlign w:val="center"/>
          </w:tcPr>
          <w:p w14:paraId="781CCFD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22.49%</w:t>
            </w:r>
          </w:p>
        </w:tc>
      </w:tr>
      <w:tr w14:paraId="7BF357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trPr>
        <w:tc>
          <w:tcPr>
            <w:tcW w:w="903" w:type="pct"/>
            <w:vMerge w:val="continue"/>
            <w:tcBorders>
              <w:tl2br w:val="nil"/>
              <w:tr2bl w:val="nil"/>
            </w:tcBorders>
            <w:noWrap w:val="0"/>
            <w:vAlign w:val="center"/>
          </w:tcPr>
          <w:p w14:paraId="79883AF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909" w:type="pct"/>
            <w:tcBorders>
              <w:tl2br w:val="nil"/>
              <w:tr2bl w:val="nil"/>
            </w:tcBorders>
            <w:noWrap w:val="0"/>
            <w:vAlign w:val="center"/>
          </w:tcPr>
          <w:p w14:paraId="7DCE02B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Ca</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90" w:type="pct"/>
            <w:tcBorders>
              <w:tl2br w:val="nil"/>
              <w:tr2bl w:val="nil"/>
            </w:tcBorders>
            <w:noWrap w:val="0"/>
            <w:vAlign w:val="center"/>
          </w:tcPr>
          <w:p w14:paraId="45511AD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32.78%</w:t>
            </w:r>
          </w:p>
        </w:tc>
        <w:tc>
          <w:tcPr>
            <w:tcW w:w="1075" w:type="pct"/>
            <w:tcBorders>
              <w:tl2br w:val="nil"/>
              <w:tr2bl w:val="nil"/>
            </w:tcBorders>
            <w:noWrap w:val="0"/>
            <w:vAlign w:val="center"/>
          </w:tcPr>
          <w:p w14:paraId="4BD7BBE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25.83%</w:t>
            </w:r>
          </w:p>
        </w:tc>
        <w:tc>
          <w:tcPr>
            <w:tcW w:w="1122" w:type="pct"/>
            <w:tcBorders>
              <w:tl2br w:val="nil"/>
              <w:tr2bl w:val="nil"/>
            </w:tcBorders>
            <w:noWrap w:val="0"/>
            <w:vAlign w:val="center"/>
          </w:tcPr>
          <w:p w14:paraId="4BF954A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47.07%</w:t>
            </w:r>
          </w:p>
        </w:tc>
      </w:tr>
      <w:tr w14:paraId="27DCD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trPr>
        <w:tc>
          <w:tcPr>
            <w:tcW w:w="903" w:type="pct"/>
            <w:vMerge w:val="continue"/>
            <w:tcBorders>
              <w:tl2br w:val="nil"/>
              <w:tr2bl w:val="nil"/>
            </w:tcBorders>
            <w:noWrap w:val="0"/>
            <w:vAlign w:val="center"/>
          </w:tcPr>
          <w:p w14:paraId="3CF0185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909" w:type="pct"/>
            <w:tcBorders>
              <w:tl2br w:val="nil"/>
              <w:tr2bl w:val="nil"/>
            </w:tcBorders>
            <w:noWrap w:val="0"/>
            <w:vAlign w:val="center"/>
          </w:tcPr>
          <w:p w14:paraId="09C51BAE">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Mg</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90" w:type="pct"/>
            <w:tcBorders>
              <w:tl2br w:val="nil"/>
              <w:tr2bl w:val="nil"/>
            </w:tcBorders>
            <w:noWrap w:val="0"/>
            <w:vAlign w:val="center"/>
          </w:tcPr>
          <w:p w14:paraId="4B7A950C">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37.71%</w:t>
            </w:r>
          </w:p>
        </w:tc>
        <w:tc>
          <w:tcPr>
            <w:tcW w:w="1075" w:type="pct"/>
            <w:tcBorders>
              <w:tl2br w:val="nil"/>
              <w:tr2bl w:val="nil"/>
            </w:tcBorders>
            <w:noWrap w:val="0"/>
            <w:vAlign w:val="center"/>
          </w:tcPr>
          <w:p w14:paraId="59E85DC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35.28%</w:t>
            </w:r>
          </w:p>
        </w:tc>
        <w:tc>
          <w:tcPr>
            <w:tcW w:w="1122" w:type="pct"/>
            <w:tcBorders>
              <w:tl2br w:val="nil"/>
              <w:tr2bl w:val="nil"/>
            </w:tcBorders>
            <w:noWrap w:val="0"/>
            <w:vAlign w:val="center"/>
          </w:tcPr>
          <w:p w14:paraId="38FD79B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29.63%</w:t>
            </w:r>
          </w:p>
        </w:tc>
      </w:tr>
      <w:tr w14:paraId="507983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exact"/>
        </w:trPr>
        <w:tc>
          <w:tcPr>
            <w:tcW w:w="903" w:type="pct"/>
            <w:vMerge w:val="restart"/>
            <w:tcBorders>
              <w:tl2br w:val="nil"/>
              <w:tr2bl w:val="nil"/>
            </w:tcBorders>
            <w:noWrap w:val="0"/>
            <w:vAlign w:val="center"/>
          </w:tcPr>
          <w:p w14:paraId="66C8D89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阴离子</w:t>
            </w:r>
          </w:p>
        </w:tc>
        <w:tc>
          <w:tcPr>
            <w:tcW w:w="909" w:type="pct"/>
            <w:tcBorders>
              <w:tl2br w:val="nil"/>
              <w:tr2bl w:val="nil"/>
            </w:tcBorders>
            <w:noWrap w:val="0"/>
            <w:vAlign w:val="center"/>
          </w:tcPr>
          <w:p w14:paraId="793151D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90" w:type="pct"/>
            <w:tcBorders>
              <w:tl2br w:val="nil"/>
              <w:tr2bl w:val="nil"/>
            </w:tcBorders>
            <w:noWrap w:val="0"/>
            <w:vAlign w:val="center"/>
          </w:tcPr>
          <w:p w14:paraId="263390EC">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99.34%</w:t>
            </w:r>
          </w:p>
        </w:tc>
        <w:tc>
          <w:tcPr>
            <w:tcW w:w="1075" w:type="pct"/>
            <w:tcBorders>
              <w:tl2br w:val="nil"/>
              <w:tr2bl w:val="nil"/>
            </w:tcBorders>
            <w:noWrap w:val="0"/>
            <w:vAlign w:val="center"/>
          </w:tcPr>
          <w:p w14:paraId="42390B2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99.53%</w:t>
            </w:r>
          </w:p>
        </w:tc>
        <w:tc>
          <w:tcPr>
            <w:tcW w:w="1122" w:type="pct"/>
            <w:tcBorders>
              <w:tl2br w:val="nil"/>
              <w:tr2bl w:val="nil"/>
            </w:tcBorders>
            <w:noWrap w:val="0"/>
            <w:vAlign w:val="center"/>
          </w:tcPr>
          <w:p w14:paraId="2C27412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0%</w:t>
            </w:r>
          </w:p>
        </w:tc>
      </w:tr>
      <w:tr w14:paraId="33F4F9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exact"/>
        </w:trPr>
        <w:tc>
          <w:tcPr>
            <w:tcW w:w="903" w:type="pct"/>
            <w:vMerge w:val="continue"/>
            <w:tcBorders>
              <w:tl2br w:val="nil"/>
              <w:tr2bl w:val="nil"/>
            </w:tcBorders>
            <w:noWrap w:val="0"/>
            <w:vAlign w:val="center"/>
          </w:tcPr>
          <w:p w14:paraId="77C111F8">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909" w:type="pct"/>
            <w:tcBorders>
              <w:tl2br w:val="nil"/>
              <w:tr2bl w:val="nil"/>
            </w:tcBorders>
            <w:noWrap w:val="0"/>
            <w:vAlign w:val="center"/>
          </w:tcPr>
          <w:p w14:paraId="20AE9C1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HCO</w:t>
            </w:r>
            <w:r>
              <w:rPr>
                <w:rFonts w:hint="default"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990" w:type="pct"/>
            <w:tcBorders>
              <w:tl2br w:val="nil"/>
              <w:tr2bl w:val="nil"/>
            </w:tcBorders>
            <w:noWrap w:val="0"/>
            <w:vAlign w:val="center"/>
          </w:tcPr>
          <w:p w14:paraId="6C687EB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w:t>
            </w:r>
          </w:p>
        </w:tc>
        <w:tc>
          <w:tcPr>
            <w:tcW w:w="1075" w:type="pct"/>
            <w:tcBorders>
              <w:tl2br w:val="nil"/>
              <w:tr2bl w:val="nil"/>
            </w:tcBorders>
            <w:noWrap w:val="0"/>
            <w:vAlign w:val="center"/>
          </w:tcPr>
          <w:p w14:paraId="2EFEC6C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0.47%</w:t>
            </w:r>
          </w:p>
        </w:tc>
        <w:tc>
          <w:tcPr>
            <w:tcW w:w="1122" w:type="pct"/>
            <w:tcBorders>
              <w:tl2br w:val="nil"/>
              <w:tr2bl w:val="nil"/>
            </w:tcBorders>
            <w:noWrap w:val="0"/>
            <w:vAlign w:val="center"/>
          </w:tcPr>
          <w:p w14:paraId="7CCD3788">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84.46%</w:t>
            </w:r>
          </w:p>
        </w:tc>
      </w:tr>
      <w:tr w14:paraId="0FF8DD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exact"/>
        </w:trPr>
        <w:tc>
          <w:tcPr>
            <w:tcW w:w="903" w:type="pct"/>
            <w:vMerge w:val="continue"/>
            <w:tcBorders>
              <w:tl2br w:val="nil"/>
              <w:tr2bl w:val="nil"/>
            </w:tcBorders>
            <w:noWrap w:val="0"/>
            <w:vAlign w:val="center"/>
          </w:tcPr>
          <w:p w14:paraId="59A2ECC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909" w:type="pct"/>
            <w:tcBorders>
              <w:tl2br w:val="nil"/>
              <w:tr2bl w:val="nil"/>
            </w:tcBorders>
            <w:noWrap w:val="0"/>
            <w:vAlign w:val="center"/>
          </w:tcPr>
          <w:p w14:paraId="5C27CAD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Cl</w:t>
            </w:r>
            <w:r>
              <w:rPr>
                <w:rFonts w:hint="default" w:ascii="Times New Roman" w:hAnsi="Times New Roman" w:eastAsia="宋体" w:cs="Times New Roman"/>
                <w:b w:val="0"/>
                <w:bCs w:val="0"/>
                <w:color w:val="auto"/>
                <w:sz w:val="21"/>
                <w:szCs w:val="21"/>
                <w:highlight w:val="none"/>
                <w:vertAlign w:val="superscript"/>
                <w:lang w:val="en-US" w:eastAsia="zh-CN"/>
              </w:rPr>
              <w:t>-</w:t>
            </w:r>
          </w:p>
        </w:tc>
        <w:tc>
          <w:tcPr>
            <w:tcW w:w="990" w:type="pct"/>
            <w:tcBorders>
              <w:tl2br w:val="nil"/>
              <w:tr2bl w:val="nil"/>
            </w:tcBorders>
            <w:noWrap w:val="0"/>
            <w:vAlign w:val="center"/>
          </w:tcPr>
          <w:p w14:paraId="2FB6F71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1075" w:type="pct"/>
            <w:tcBorders>
              <w:tl2br w:val="nil"/>
              <w:tr2bl w:val="nil"/>
            </w:tcBorders>
            <w:noWrap w:val="0"/>
            <w:vAlign w:val="center"/>
          </w:tcPr>
          <w:p w14:paraId="7553674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1122" w:type="pct"/>
            <w:tcBorders>
              <w:tl2br w:val="nil"/>
              <w:tr2bl w:val="nil"/>
            </w:tcBorders>
            <w:noWrap w:val="0"/>
            <w:vAlign w:val="center"/>
          </w:tcPr>
          <w:p w14:paraId="3AE6041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4.97%</w:t>
            </w:r>
          </w:p>
        </w:tc>
      </w:tr>
      <w:tr w14:paraId="671BE1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 w:hRule="exact"/>
        </w:trPr>
        <w:tc>
          <w:tcPr>
            <w:tcW w:w="903" w:type="pct"/>
            <w:vMerge w:val="continue"/>
            <w:tcBorders>
              <w:tl2br w:val="nil"/>
              <w:tr2bl w:val="nil"/>
            </w:tcBorders>
            <w:noWrap w:val="0"/>
            <w:vAlign w:val="center"/>
          </w:tcPr>
          <w:p w14:paraId="32B7961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p>
        </w:tc>
        <w:tc>
          <w:tcPr>
            <w:tcW w:w="909" w:type="pct"/>
            <w:tcBorders>
              <w:tl2br w:val="nil"/>
              <w:tr2bl w:val="nil"/>
            </w:tcBorders>
            <w:noWrap w:val="0"/>
            <w:vAlign w:val="center"/>
          </w:tcPr>
          <w:p w14:paraId="39B5556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4</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990" w:type="pct"/>
            <w:tcBorders>
              <w:tl2br w:val="nil"/>
              <w:tr2bl w:val="nil"/>
            </w:tcBorders>
            <w:noWrap w:val="0"/>
            <w:vAlign w:val="center"/>
          </w:tcPr>
          <w:p w14:paraId="2B0A29F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1075" w:type="pct"/>
            <w:tcBorders>
              <w:tl2br w:val="nil"/>
              <w:tr2bl w:val="nil"/>
            </w:tcBorders>
            <w:noWrap w:val="0"/>
            <w:vAlign w:val="center"/>
          </w:tcPr>
          <w:p w14:paraId="30682CF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1122" w:type="pct"/>
            <w:tcBorders>
              <w:tl2br w:val="nil"/>
              <w:tr2bl w:val="nil"/>
            </w:tcBorders>
            <w:noWrap w:val="0"/>
            <w:vAlign w:val="center"/>
          </w:tcPr>
          <w:p w14:paraId="6AA68AF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10.57%</w:t>
            </w:r>
          </w:p>
        </w:tc>
      </w:tr>
    </w:tbl>
    <w:p w14:paraId="2896A8F8">
      <w:pPr>
        <w:spacing w:beforeLines="0" w:afterLines="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区域地下水化学类型判定结果见表5.3-6。</w:t>
      </w:r>
    </w:p>
    <w:p w14:paraId="4C8A18D2">
      <w:pPr>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表5.3-6 各监测井地下水化学类型判定结果</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26"/>
        <w:gridCol w:w="2363"/>
        <w:gridCol w:w="2012"/>
        <w:gridCol w:w="2422"/>
      </w:tblGrid>
      <w:tr w14:paraId="2A798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8" w:hRule="exact"/>
        </w:trPr>
        <w:tc>
          <w:tcPr>
            <w:tcW w:w="1012" w:type="pct"/>
            <w:tcBorders>
              <w:tl2br w:val="nil"/>
              <w:tr2bl w:val="nil"/>
            </w:tcBorders>
            <w:noWrap w:val="0"/>
            <w:vAlign w:val="center"/>
          </w:tcPr>
          <w:p w14:paraId="57EED2C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监测点位</w:t>
            </w:r>
          </w:p>
        </w:tc>
        <w:tc>
          <w:tcPr>
            <w:tcW w:w="1386" w:type="pct"/>
            <w:tcBorders>
              <w:tl2br w:val="nil"/>
              <w:tr2bl w:val="nil"/>
            </w:tcBorders>
            <w:noWrap w:val="0"/>
            <w:vAlign w:val="center"/>
          </w:tcPr>
          <w:p w14:paraId="27E1CBAC">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vertAlign w:val="superscript"/>
                <w:lang w:val="en-US" w:eastAsia="zh-CN"/>
              </w:rPr>
              <w:t>#</w:t>
            </w:r>
          </w:p>
        </w:tc>
        <w:tc>
          <w:tcPr>
            <w:tcW w:w="1180" w:type="pct"/>
            <w:tcBorders>
              <w:tl2br w:val="nil"/>
              <w:tr2bl w:val="nil"/>
            </w:tcBorders>
            <w:noWrap w:val="0"/>
            <w:vAlign w:val="center"/>
          </w:tcPr>
          <w:p w14:paraId="582E35B0">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vertAlign w:val="superscript"/>
                <w:lang w:val="en-US" w:eastAsia="zh-CN"/>
              </w:rPr>
              <w:t>#</w:t>
            </w:r>
          </w:p>
        </w:tc>
        <w:tc>
          <w:tcPr>
            <w:tcW w:w="1420" w:type="pct"/>
            <w:tcBorders>
              <w:tl2br w:val="nil"/>
              <w:tr2bl w:val="nil"/>
            </w:tcBorders>
            <w:noWrap w:val="0"/>
            <w:vAlign w:val="center"/>
          </w:tcPr>
          <w:p w14:paraId="6886974D">
            <w:pPr>
              <w:keepNext w:val="0"/>
              <w:keepLines w:val="0"/>
              <w:suppressLineNumbers w:val="0"/>
              <w:shd w:val="clear"/>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vertAlign w:val="superscript"/>
                <w:lang w:val="en-US" w:eastAsia="zh-CN"/>
              </w:rPr>
              <w:t>#</w:t>
            </w:r>
          </w:p>
        </w:tc>
      </w:tr>
      <w:tr w14:paraId="6B7352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2" w:hRule="exact"/>
        </w:trPr>
        <w:tc>
          <w:tcPr>
            <w:tcW w:w="1012" w:type="pct"/>
            <w:tcBorders>
              <w:tl2br w:val="nil"/>
              <w:tr2bl w:val="nil"/>
            </w:tcBorders>
            <w:noWrap w:val="0"/>
            <w:vAlign w:val="center"/>
          </w:tcPr>
          <w:p w14:paraId="3FD7389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地下水化学类型</w:t>
            </w:r>
          </w:p>
        </w:tc>
        <w:tc>
          <w:tcPr>
            <w:tcW w:w="1386" w:type="pct"/>
            <w:tcBorders>
              <w:tl2br w:val="nil"/>
              <w:tr2bl w:val="nil"/>
            </w:tcBorders>
            <w:noWrap w:val="0"/>
            <w:vAlign w:val="center"/>
          </w:tcPr>
          <w:p w14:paraId="0232409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w:t>
            </w:r>
            <w:r>
              <w:rPr>
                <w:rFonts w:hint="eastAsia"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・Ca・Mg・Na型</w:t>
            </w:r>
          </w:p>
        </w:tc>
        <w:tc>
          <w:tcPr>
            <w:tcW w:w="1180" w:type="pct"/>
            <w:tcBorders>
              <w:tl2br w:val="nil"/>
              <w:tr2bl w:val="nil"/>
            </w:tcBorders>
            <w:noWrap w:val="0"/>
            <w:vAlign w:val="center"/>
          </w:tcPr>
          <w:p w14:paraId="667C6E9E">
            <w:pPr>
              <w:keepNext w:val="0"/>
              <w:keepLines w:val="0"/>
              <w:suppressLineNumbers w:val="0"/>
              <w:spacing w:before="0" w:beforeAutospacing="0" w:after="0" w:afterAutospacing="0" w:line="240" w:lineRule="auto"/>
              <w:ind w:left="0" w:leftChars="0" w:right="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w:t>
            </w:r>
            <w:r>
              <w:rPr>
                <w:rFonts w:hint="eastAsia"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・Na・Mg・Ca型</w:t>
            </w:r>
          </w:p>
        </w:tc>
        <w:tc>
          <w:tcPr>
            <w:tcW w:w="1420" w:type="pct"/>
            <w:tcBorders>
              <w:tl2br w:val="nil"/>
              <w:tr2bl w:val="nil"/>
            </w:tcBorders>
            <w:noWrap w:val="0"/>
            <w:vAlign w:val="center"/>
          </w:tcPr>
          <w:p w14:paraId="55F2CD78">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HCOO</w:t>
            </w:r>
            <w:r>
              <w:rPr>
                <w:rFonts w:hint="eastAsia" w:ascii="Times New Roman" w:hAnsi="Times New Roman" w:eastAsia="宋体"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lang w:val="en-US" w:eastAsia="zh-CN"/>
              </w:rPr>
              <w:t>・Ca・Mg型</w:t>
            </w:r>
          </w:p>
        </w:tc>
      </w:tr>
    </w:tbl>
    <w:p w14:paraId="2F7243B2">
      <w:pPr>
        <w:pStyle w:val="4"/>
        <w:bidi w:val="0"/>
        <w:rPr>
          <w:rFonts w:hint="default" w:ascii="Times New Roman" w:hAnsi="Times New Roman" w:cs="Times New Roman"/>
          <w:color w:val="auto"/>
          <w:sz w:val="28"/>
          <w:szCs w:val="28"/>
          <w:highlight w:val="none"/>
          <w:lang w:val="en-US" w:eastAsia="zh-CN"/>
        </w:rPr>
      </w:pPr>
      <w:bookmarkStart w:id="4347" w:name="_Toc10022"/>
      <w:bookmarkStart w:id="4348" w:name="_Toc7149"/>
      <w:bookmarkStart w:id="4349" w:name="_Toc20662"/>
      <w:bookmarkStart w:id="4350" w:name="_Toc21741"/>
      <w:r>
        <w:rPr>
          <w:rFonts w:hint="default" w:ascii="Times New Roman" w:hAnsi="Times New Roman" w:cs="Times New Roman"/>
          <w:color w:val="auto"/>
          <w:sz w:val="28"/>
          <w:szCs w:val="28"/>
          <w:highlight w:val="none"/>
          <w:lang w:val="en-US" w:eastAsia="zh-CN"/>
        </w:rPr>
        <w:t>5.4土壤环境质量现状评价</w:t>
      </w:r>
      <w:bookmarkEnd w:id="4347"/>
      <w:bookmarkEnd w:id="4348"/>
      <w:bookmarkEnd w:id="4349"/>
      <w:bookmarkEnd w:id="4350"/>
      <w:r>
        <w:rPr>
          <w:rFonts w:hint="default" w:ascii="Times New Roman" w:hAnsi="Times New Roman" w:cs="Times New Roman"/>
          <w:color w:val="auto"/>
          <w:sz w:val="28"/>
          <w:szCs w:val="28"/>
          <w:highlight w:val="none"/>
          <w:lang w:val="en-US" w:eastAsia="zh-CN"/>
        </w:rPr>
        <w:t xml:space="preserve"> </w:t>
      </w:r>
    </w:p>
    <w:p w14:paraId="21067901">
      <w:pPr>
        <w:bidi w:val="0"/>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委托宁夏泽瑞隆环保技术有限公司于2025年10月24日对石头崾岘水库底泥进行了检测，于2025年11月7日</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11月9日对</w:t>
      </w:r>
      <w:r>
        <w:rPr>
          <w:rFonts w:hint="eastAsia" w:cs="Times New Roman"/>
          <w:color w:val="auto"/>
          <w:sz w:val="24"/>
          <w:szCs w:val="24"/>
          <w:highlight w:val="none"/>
          <w:lang w:val="en-US" w:eastAsia="zh-CN"/>
        </w:rPr>
        <w:t>河道底泥及沿岸</w:t>
      </w:r>
      <w:r>
        <w:rPr>
          <w:rFonts w:hint="default" w:ascii="Times New Roman" w:hAnsi="Times New Roman" w:cs="Times New Roman"/>
          <w:color w:val="auto"/>
          <w:sz w:val="24"/>
          <w:szCs w:val="24"/>
          <w:highlight w:val="none"/>
          <w:lang w:val="en-US" w:eastAsia="zh-CN"/>
        </w:rPr>
        <w:t>进行了现场采样及检测。</w:t>
      </w:r>
    </w:p>
    <w:p w14:paraId="39477715">
      <w:pPr>
        <w:bidi w:val="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采样监测点位布设</w:t>
      </w:r>
    </w:p>
    <w:p w14:paraId="750D44EE">
      <w:pPr>
        <w:bidi w:val="0"/>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w:t>
      </w:r>
      <w:r>
        <w:rPr>
          <w:rFonts w:hint="eastAsia" w:cs="Times New Roman"/>
          <w:color w:val="auto"/>
          <w:sz w:val="24"/>
          <w:szCs w:val="24"/>
          <w:highlight w:val="none"/>
          <w:lang w:val="en-US" w:eastAsia="zh-CN"/>
        </w:rPr>
        <w:t>石头崾岘水库设置1处底泥</w:t>
      </w:r>
      <w:r>
        <w:rPr>
          <w:rFonts w:hint="default" w:ascii="Times New Roman" w:hAnsi="Times New Roman" w:cs="Times New Roman"/>
          <w:color w:val="auto"/>
          <w:sz w:val="24"/>
          <w:szCs w:val="24"/>
          <w:highlight w:val="none"/>
          <w:lang w:val="en-US" w:eastAsia="zh-CN"/>
        </w:rPr>
        <w:t>监测点。</w:t>
      </w:r>
    </w:p>
    <w:p w14:paraId="763B0779">
      <w:pPr>
        <w:bidi w:val="0"/>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w:t>
      </w:r>
      <w:r>
        <w:rPr>
          <w:rFonts w:hint="eastAsia" w:cs="Times New Roman"/>
          <w:color w:val="auto"/>
          <w:sz w:val="24"/>
          <w:szCs w:val="24"/>
          <w:highlight w:val="none"/>
          <w:lang w:val="en-US" w:eastAsia="zh-CN"/>
        </w:rPr>
        <w:t>项目河道内设置1处底泥</w:t>
      </w:r>
      <w:r>
        <w:rPr>
          <w:rFonts w:hint="default" w:ascii="Times New Roman" w:hAnsi="Times New Roman" w:cs="Times New Roman"/>
          <w:color w:val="auto"/>
          <w:sz w:val="24"/>
          <w:szCs w:val="24"/>
          <w:highlight w:val="none"/>
          <w:lang w:val="en-US" w:eastAsia="zh-CN"/>
        </w:rPr>
        <w:t>监测点。</w:t>
      </w:r>
    </w:p>
    <w:p w14:paraId="3F13A89C">
      <w:pPr>
        <w:bidi w:val="0"/>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在项目河道沿岸共设置</w:t>
      </w:r>
      <w:r>
        <w:rPr>
          <w:rFonts w:hint="default" w:ascii="Times New Roman" w:hAnsi="Times New Roman" w:cs="Times New Roman"/>
          <w:color w:val="auto"/>
          <w:sz w:val="24"/>
          <w:szCs w:val="24"/>
          <w:highlight w:val="none"/>
          <w:lang w:val="en-US" w:eastAsia="zh-CN"/>
        </w:rPr>
        <w:t>3处监测点。</w:t>
      </w:r>
    </w:p>
    <w:p w14:paraId="65455162">
      <w:pPr>
        <w:spacing w:line="480" w:lineRule="exact"/>
        <w:jc w:val="center"/>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表5.4-1监测点位一览表</w:t>
      </w:r>
    </w:p>
    <w:tbl>
      <w:tblPr>
        <w:tblStyle w:val="31"/>
        <w:tblW w:w="83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371"/>
        <w:gridCol w:w="3681"/>
      </w:tblGrid>
      <w:tr w14:paraId="7FB99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672" w:type="dxa"/>
            <w:gridSpan w:val="2"/>
            <w:tcBorders>
              <w:tl2br w:val="nil"/>
              <w:tr2bl w:val="nil"/>
            </w:tcBorders>
            <w:vAlign w:val="center"/>
          </w:tcPr>
          <w:p w14:paraId="20F392E7">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bookmarkStart w:id="4351" w:name="_Toc1843"/>
            <w:bookmarkStart w:id="4352" w:name="_Toc23939"/>
            <w:r>
              <w:rPr>
                <w:rFonts w:hint="default" w:ascii="Times New Roman" w:hAnsi="Times New Roman" w:cs="Times New Roman"/>
                <w:b/>
                <w:bCs/>
                <w:color w:val="auto"/>
                <w:sz w:val="21"/>
                <w:szCs w:val="21"/>
                <w:highlight w:val="none"/>
              </w:rPr>
              <w:t>编号</w:t>
            </w:r>
            <w:bookmarkEnd w:id="4351"/>
            <w:bookmarkEnd w:id="4352"/>
          </w:p>
        </w:tc>
        <w:tc>
          <w:tcPr>
            <w:tcW w:w="3681" w:type="dxa"/>
            <w:tcBorders>
              <w:tl2br w:val="nil"/>
              <w:tr2bl w:val="nil"/>
            </w:tcBorders>
            <w:vAlign w:val="center"/>
          </w:tcPr>
          <w:p w14:paraId="453F5D8A">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eastAsia="zh-CN"/>
              </w:rPr>
            </w:pPr>
            <w:bookmarkStart w:id="4353" w:name="_Toc6524"/>
            <w:bookmarkStart w:id="4354" w:name="_Toc29039"/>
            <w:r>
              <w:rPr>
                <w:rFonts w:hint="default" w:ascii="Times New Roman" w:hAnsi="Times New Roman" w:cs="Times New Roman"/>
                <w:b/>
                <w:bCs/>
                <w:color w:val="auto"/>
                <w:sz w:val="21"/>
                <w:szCs w:val="21"/>
                <w:highlight w:val="none"/>
                <w:lang w:eastAsia="zh-CN"/>
              </w:rPr>
              <w:t>坐标</w:t>
            </w:r>
            <w:bookmarkEnd w:id="4353"/>
            <w:bookmarkEnd w:id="4354"/>
          </w:p>
        </w:tc>
      </w:tr>
      <w:tr w14:paraId="669E9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301" w:type="dxa"/>
            <w:vMerge w:val="restart"/>
            <w:tcBorders>
              <w:tl2br w:val="nil"/>
              <w:tr2bl w:val="nil"/>
            </w:tcBorders>
            <w:vAlign w:val="center"/>
          </w:tcPr>
          <w:p w14:paraId="426D7B5A">
            <w:pPr>
              <w:pStyle w:val="29"/>
              <w:suppressLineNumbers w:val="0"/>
              <w:bidi w:val="0"/>
              <w:spacing w:beforeAutospacing="0" w:afterAutospacing="0"/>
              <w:ind w:left="0" w:right="0"/>
              <w:outlineLvl w:val="9"/>
              <w:rPr>
                <w:rFonts w:hint="eastAsia" w:ascii="Times New Roman" w:hAnsi="Times New Roman" w:eastAsia="宋体" w:cs="Times New Roman"/>
                <w:color w:val="auto"/>
                <w:sz w:val="21"/>
                <w:szCs w:val="21"/>
                <w:highlight w:val="none"/>
                <w:lang w:eastAsia="zh-CN"/>
              </w:rPr>
            </w:pPr>
            <w:bookmarkStart w:id="4355" w:name="_Hlk139876116"/>
            <w:r>
              <w:rPr>
                <w:rFonts w:hint="eastAsia" w:cs="Times New Roman"/>
                <w:color w:val="auto"/>
                <w:sz w:val="21"/>
                <w:szCs w:val="21"/>
                <w:highlight w:val="none"/>
                <w:lang w:eastAsia="zh-CN"/>
              </w:rPr>
              <w:t>底泥</w:t>
            </w:r>
          </w:p>
        </w:tc>
        <w:tc>
          <w:tcPr>
            <w:tcW w:w="3371" w:type="dxa"/>
            <w:tcBorders>
              <w:tl2br w:val="nil"/>
              <w:tr2bl w:val="nil"/>
            </w:tcBorders>
            <w:shd w:val="clear" w:color="auto" w:fill="auto"/>
            <w:vAlign w:val="center"/>
          </w:tcPr>
          <w:p w14:paraId="6DB0890E">
            <w:pPr>
              <w:pStyle w:val="29"/>
              <w:suppressLineNumbers w:val="0"/>
              <w:bidi w:val="0"/>
              <w:spacing w:beforeAutospacing="0" w:afterAutospacing="0"/>
              <w:ind w:left="0" w:leftChars="0" w:right="0" w:rightChars="0" w:firstLine="0" w:firstLineChars="0"/>
              <w:outlineLvl w:val="9"/>
              <w:rPr>
                <w:rFonts w:hint="default" w:ascii="Times New Roman" w:hAnsi="Times New Roman" w:eastAsia="宋体" w:cs="Times New Roman"/>
                <w:b w:val="0"/>
                <w:color w:val="auto"/>
                <w:kern w:val="0"/>
                <w:sz w:val="21"/>
                <w:szCs w:val="21"/>
                <w:highlight w:val="none"/>
                <w:lang w:val="en-US" w:eastAsia="zh-CN" w:bidi="ar-SA"/>
              </w:rPr>
            </w:pPr>
            <w:bookmarkStart w:id="4356" w:name="_Toc11050"/>
            <w:bookmarkStart w:id="4357" w:name="_Toc32176"/>
            <w:r>
              <w:rPr>
                <w:rFonts w:hint="default" w:ascii="Times New Roman" w:hAnsi="Times New Roman"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石头崾岘水库</w:t>
            </w:r>
          </w:p>
        </w:tc>
        <w:tc>
          <w:tcPr>
            <w:tcW w:w="3681" w:type="dxa"/>
            <w:tcBorders>
              <w:tl2br w:val="nil"/>
              <w:tr2bl w:val="nil"/>
            </w:tcBorders>
            <w:vAlign w:val="center"/>
          </w:tcPr>
          <w:p w14:paraId="682DE9C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E</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106.632744</w:t>
            </w:r>
            <w:r>
              <w:rPr>
                <w:rFonts w:hint="eastAsia" w:cs="Times New Roman"/>
                <w:color w:val="auto"/>
                <w:spacing w:val="0"/>
                <w:kern w:val="0"/>
                <w:sz w:val="21"/>
                <w:szCs w:val="21"/>
                <w:highlight w:val="none"/>
                <w:lang w:val="en-US" w:eastAsia="zh-CN"/>
              </w:rPr>
              <w:t xml:space="preserve">; </w:t>
            </w:r>
            <w:r>
              <w:rPr>
                <w:rFonts w:hint="eastAsia" w:ascii="Times New Roman" w:hAnsi="Times New Roman" w:cs="Times New Roman"/>
                <w:color w:val="auto"/>
                <w:spacing w:val="0"/>
                <w:kern w:val="0"/>
                <w:sz w:val="21"/>
                <w:szCs w:val="21"/>
                <w:highlight w:val="none"/>
                <w:lang w:val="en-US" w:eastAsia="zh-CN"/>
              </w:rPr>
              <w:t>N</w:t>
            </w:r>
            <w:r>
              <w:rPr>
                <w:rFonts w:hint="eastAsia" w:cs="Times New Roman"/>
                <w:color w:val="auto"/>
                <w:spacing w:val="0"/>
                <w:kern w:val="0"/>
                <w:sz w:val="21"/>
                <w:szCs w:val="21"/>
                <w:highlight w:val="none"/>
                <w:lang w:val="en-US" w:eastAsia="zh-CN"/>
              </w:rPr>
              <w:t>:</w:t>
            </w:r>
            <w:bookmarkEnd w:id="4356"/>
            <w:bookmarkEnd w:id="4357"/>
            <w:r>
              <w:rPr>
                <w:rFonts w:hint="eastAsia" w:ascii="Times New Roman" w:hAnsi="Times New Roman" w:cs="Times New Roman"/>
                <w:color w:val="auto"/>
                <w:spacing w:val="0"/>
                <w:kern w:val="0"/>
                <w:sz w:val="21"/>
                <w:szCs w:val="21"/>
                <w:highlight w:val="none"/>
                <w:lang w:val="en-US" w:eastAsia="zh-CN"/>
              </w:rPr>
              <w:t>35.8731991</w:t>
            </w:r>
          </w:p>
        </w:tc>
      </w:tr>
      <w:tr w14:paraId="05E5A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01" w:type="dxa"/>
            <w:vMerge w:val="continue"/>
            <w:tcBorders>
              <w:tl2br w:val="nil"/>
              <w:tr2bl w:val="nil"/>
            </w:tcBorders>
            <w:vAlign w:val="center"/>
          </w:tcPr>
          <w:p w14:paraId="00062C3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3371" w:type="dxa"/>
            <w:tcBorders>
              <w:tl2br w:val="nil"/>
              <w:tr2bl w:val="nil"/>
            </w:tcBorders>
            <w:shd w:val="clear" w:color="auto" w:fill="auto"/>
            <w:vAlign w:val="center"/>
          </w:tcPr>
          <w:p w14:paraId="710D1D20">
            <w:pPr>
              <w:pStyle w:val="29"/>
              <w:suppressLineNumbers w:val="0"/>
              <w:bidi w:val="0"/>
              <w:spacing w:beforeAutospacing="0" w:afterAutospacing="0"/>
              <w:ind w:left="0" w:leftChars="0" w:right="0" w:rightChars="0" w:firstLine="0" w:firstLineChars="0"/>
              <w:outlineLvl w:val="9"/>
              <w:rPr>
                <w:rFonts w:hint="eastAsia" w:ascii="Times New Roman" w:hAnsi="Times New Roman" w:eastAsia="宋体" w:cs="Times New Roman"/>
                <w:b w:val="0"/>
                <w:color w:val="auto"/>
                <w:kern w:val="0"/>
                <w:sz w:val="21"/>
                <w:szCs w:val="21"/>
                <w:highlight w:val="none"/>
                <w:lang w:val="en-US" w:eastAsia="zh-CN" w:bidi="ar-SA"/>
              </w:rPr>
            </w:pPr>
            <w:bookmarkStart w:id="4358" w:name="_Toc23247"/>
            <w:bookmarkStart w:id="4359" w:name="_Toc25104"/>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eastAsia="zh-CN"/>
              </w:rPr>
              <w:t>茹河河道（</w:t>
            </w:r>
            <w:r>
              <w:rPr>
                <w:rFonts w:hint="eastAsia" w:ascii="Times New Roman" w:hAnsi="Times New Roman" w:cs="Times New Roman"/>
                <w:b w:val="0"/>
                <w:bCs w:val="0"/>
                <w:color w:val="auto"/>
                <w:sz w:val="21"/>
                <w:szCs w:val="21"/>
                <w:highlight w:val="none"/>
                <w:lang w:val="en-US" w:eastAsia="zh-CN"/>
              </w:rPr>
              <w:t>彭阳县白杨庄</w:t>
            </w:r>
            <w:r>
              <w:rPr>
                <w:rFonts w:hint="eastAsia" w:ascii="Times New Roman" w:hAnsi="Times New Roman" w:cs="Times New Roman"/>
                <w:color w:val="auto"/>
                <w:sz w:val="21"/>
                <w:szCs w:val="21"/>
                <w:highlight w:val="none"/>
                <w:lang w:eastAsia="zh-CN"/>
              </w:rPr>
              <w:t>）</w:t>
            </w:r>
          </w:p>
          <w:bookmarkEnd w:id="4358"/>
          <w:bookmarkEnd w:id="4359"/>
        </w:tc>
        <w:tc>
          <w:tcPr>
            <w:tcW w:w="3681" w:type="dxa"/>
            <w:tcBorders>
              <w:tl2br w:val="nil"/>
              <w:tr2bl w:val="nil"/>
            </w:tcBorders>
            <w:vAlign w:val="center"/>
          </w:tcPr>
          <w:p w14:paraId="57ED1B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E</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106.449410</w:t>
            </w:r>
            <w:r>
              <w:rPr>
                <w:rFonts w:hint="eastAsia" w:cs="Times New Roman"/>
                <w:color w:val="auto"/>
                <w:spacing w:val="0"/>
                <w:kern w:val="0"/>
                <w:sz w:val="21"/>
                <w:szCs w:val="21"/>
                <w:highlight w:val="none"/>
                <w:lang w:val="en-US" w:eastAsia="zh-CN"/>
              </w:rPr>
              <w:t xml:space="preserve">; </w:t>
            </w:r>
            <w:r>
              <w:rPr>
                <w:rFonts w:hint="eastAsia" w:ascii="Times New Roman" w:hAnsi="Times New Roman" w:cs="Times New Roman"/>
                <w:color w:val="auto"/>
                <w:spacing w:val="0"/>
                <w:kern w:val="0"/>
                <w:sz w:val="21"/>
                <w:szCs w:val="21"/>
                <w:highlight w:val="none"/>
                <w:lang w:val="en-US" w:eastAsia="zh-CN"/>
              </w:rPr>
              <w:t>N</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35.907510</w:t>
            </w:r>
          </w:p>
        </w:tc>
      </w:tr>
      <w:tr w14:paraId="59C86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301" w:type="dxa"/>
            <w:vMerge w:val="restart"/>
            <w:tcBorders>
              <w:tl2br w:val="nil"/>
              <w:tr2bl w:val="nil"/>
            </w:tcBorders>
            <w:vAlign w:val="center"/>
          </w:tcPr>
          <w:p w14:paraId="24B2B478">
            <w:pPr>
              <w:pStyle w:val="29"/>
              <w:suppressLineNumbers w:val="0"/>
              <w:bidi w:val="0"/>
              <w:spacing w:beforeAutospacing="0" w:afterAutospacing="0"/>
              <w:ind w:left="0" w:right="0"/>
              <w:outlineLvl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土壤</w:t>
            </w:r>
          </w:p>
        </w:tc>
        <w:tc>
          <w:tcPr>
            <w:tcW w:w="3371" w:type="dxa"/>
            <w:tcBorders>
              <w:tl2br w:val="nil"/>
              <w:tr2bl w:val="nil"/>
            </w:tcBorders>
            <w:shd w:val="clear" w:color="auto" w:fill="auto"/>
            <w:vAlign w:val="center"/>
          </w:tcPr>
          <w:p w14:paraId="3203017A">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b w:val="0"/>
                <w:bCs w:val="0"/>
                <w:color w:val="auto"/>
                <w:sz w:val="21"/>
                <w:szCs w:val="21"/>
                <w:highlight w:val="none"/>
                <w:lang w:val="en-US" w:eastAsia="zh-CN"/>
              </w:rPr>
            </w:pPr>
            <w:bookmarkStart w:id="4360" w:name="_Toc31303"/>
            <w:bookmarkStart w:id="4361" w:name="_Toc9486"/>
            <w:r>
              <w:rPr>
                <w:rFonts w:hint="eastAsia" w:ascii="Times New Roman" w:hAnsi="Times New Roman" w:cs="Times New Roman"/>
                <w:b w:val="0"/>
                <w:bCs w:val="0"/>
                <w:color w:val="auto"/>
                <w:sz w:val="21"/>
                <w:szCs w:val="21"/>
                <w:highlight w:val="none"/>
                <w:lang w:val="en-US" w:eastAsia="zh-CN"/>
              </w:rPr>
              <w:t>1</w:t>
            </w:r>
            <w:r>
              <w:rPr>
                <w:rFonts w:hint="eastAsia" w:cs="Times New Roman"/>
                <w:b w:val="0"/>
                <w:bCs w:val="0"/>
                <w:color w:val="auto"/>
                <w:sz w:val="21"/>
                <w:szCs w:val="21"/>
                <w:highlight w:val="none"/>
                <w:vertAlign w:val="superscript"/>
                <w:lang w:val="en-US" w:eastAsia="zh-CN"/>
              </w:rPr>
              <w:t>#</w:t>
            </w:r>
            <w:r>
              <w:rPr>
                <w:rFonts w:hint="eastAsia" w:ascii="Times New Roman" w:hAnsi="Times New Roman" w:cs="Times New Roman"/>
                <w:b w:val="0"/>
                <w:bCs w:val="0"/>
                <w:color w:val="auto"/>
                <w:sz w:val="21"/>
                <w:szCs w:val="21"/>
                <w:highlight w:val="none"/>
                <w:lang w:val="en-US" w:eastAsia="zh-CN"/>
              </w:rPr>
              <w:t>彭阳县沙河村</w:t>
            </w:r>
          </w:p>
          <w:bookmarkEnd w:id="4360"/>
          <w:bookmarkEnd w:id="4361"/>
        </w:tc>
        <w:tc>
          <w:tcPr>
            <w:tcW w:w="3681" w:type="dxa"/>
            <w:tcBorders>
              <w:tl2br w:val="nil"/>
              <w:tr2bl w:val="nil"/>
            </w:tcBorders>
            <w:vAlign w:val="center"/>
          </w:tcPr>
          <w:p w14:paraId="36BD6A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E</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106.600816</w:t>
            </w:r>
            <w:r>
              <w:rPr>
                <w:rFonts w:hint="eastAsia" w:cs="Times New Roman"/>
                <w:color w:val="auto"/>
                <w:spacing w:val="0"/>
                <w:kern w:val="0"/>
                <w:sz w:val="21"/>
                <w:szCs w:val="21"/>
                <w:highlight w:val="none"/>
                <w:lang w:val="en-US" w:eastAsia="zh-CN"/>
              </w:rPr>
              <w:t xml:space="preserve">; </w:t>
            </w:r>
            <w:r>
              <w:rPr>
                <w:rFonts w:hint="eastAsia" w:ascii="Times New Roman" w:hAnsi="Times New Roman" w:cs="Times New Roman"/>
                <w:color w:val="auto"/>
                <w:spacing w:val="0"/>
                <w:kern w:val="0"/>
                <w:sz w:val="21"/>
                <w:szCs w:val="21"/>
                <w:highlight w:val="none"/>
                <w:lang w:val="en-US" w:eastAsia="zh-CN"/>
              </w:rPr>
              <w:t>N</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35.883878</w:t>
            </w:r>
          </w:p>
        </w:tc>
      </w:tr>
      <w:tr w14:paraId="253CF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01" w:type="dxa"/>
            <w:vMerge w:val="continue"/>
            <w:tcBorders>
              <w:tl2br w:val="nil"/>
              <w:tr2bl w:val="nil"/>
            </w:tcBorders>
            <w:vAlign w:val="center"/>
          </w:tcPr>
          <w:p w14:paraId="7F43560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3371" w:type="dxa"/>
            <w:tcBorders>
              <w:tl2br w:val="nil"/>
              <w:tr2bl w:val="nil"/>
            </w:tcBorders>
            <w:shd w:val="clear" w:color="auto" w:fill="auto"/>
            <w:vAlign w:val="center"/>
          </w:tcPr>
          <w:p w14:paraId="373A1795">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b w:val="0"/>
                <w:bCs w:val="0"/>
                <w:color w:val="auto"/>
                <w:sz w:val="21"/>
                <w:szCs w:val="21"/>
                <w:highlight w:val="none"/>
                <w:lang w:val="en-US" w:eastAsia="zh-CN"/>
              </w:rPr>
            </w:pPr>
            <w:bookmarkStart w:id="4362" w:name="_Toc27955"/>
            <w:bookmarkStart w:id="4363" w:name="_Toc725"/>
            <w:r>
              <w:rPr>
                <w:rFonts w:hint="eastAsia" w:ascii="Times New Roman" w:hAnsi="Times New Roman" w:cs="Times New Roman"/>
                <w:b w:val="0"/>
                <w:bCs w:val="0"/>
                <w:color w:val="auto"/>
                <w:sz w:val="21"/>
                <w:szCs w:val="21"/>
                <w:highlight w:val="none"/>
                <w:lang w:val="en-US" w:eastAsia="zh-CN"/>
              </w:rPr>
              <w:t>2</w:t>
            </w:r>
            <w:r>
              <w:rPr>
                <w:rFonts w:hint="eastAsia" w:cs="Times New Roman"/>
                <w:b w:val="0"/>
                <w:bCs w:val="0"/>
                <w:color w:val="auto"/>
                <w:sz w:val="21"/>
                <w:szCs w:val="21"/>
                <w:highlight w:val="none"/>
                <w:vertAlign w:val="superscript"/>
                <w:lang w:val="en-US" w:eastAsia="zh-CN"/>
              </w:rPr>
              <w:t>#</w:t>
            </w:r>
            <w:r>
              <w:rPr>
                <w:rFonts w:hint="eastAsia" w:ascii="Times New Roman" w:hAnsi="Times New Roman" w:cs="Times New Roman"/>
                <w:b w:val="0"/>
                <w:bCs w:val="0"/>
                <w:color w:val="auto"/>
                <w:sz w:val="21"/>
                <w:szCs w:val="21"/>
                <w:highlight w:val="none"/>
                <w:lang w:val="en-US" w:eastAsia="zh-CN"/>
              </w:rPr>
              <w:t>彭阳县党沟村</w:t>
            </w:r>
          </w:p>
          <w:bookmarkEnd w:id="4362"/>
          <w:bookmarkEnd w:id="4363"/>
        </w:tc>
        <w:tc>
          <w:tcPr>
            <w:tcW w:w="3681" w:type="dxa"/>
            <w:tcBorders>
              <w:tl2br w:val="nil"/>
              <w:tr2bl w:val="nil"/>
            </w:tcBorders>
            <w:vAlign w:val="center"/>
          </w:tcPr>
          <w:p w14:paraId="4E2549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E</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106.538332</w:t>
            </w:r>
            <w:r>
              <w:rPr>
                <w:rFonts w:hint="eastAsia" w:cs="Times New Roman"/>
                <w:color w:val="auto"/>
                <w:spacing w:val="0"/>
                <w:kern w:val="0"/>
                <w:sz w:val="21"/>
                <w:szCs w:val="21"/>
                <w:highlight w:val="none"/>
                <w:lang w:val="en-US" w:eastAsia="zh-CN"/>
              </w:rPr>
              <w:t xml:space="preserve">; </w:t>
            </w:r>
            <w:r>
              <w:rPr>
                <w:rFonts w:hint="eastAsia" w:ascii="Times New Roman" w:hAnsi="Times New Roman" w:cs="Times New Roman"/>
                <w:color w:val="auto"/>
                <w:spacing w:val="0"/>
                <w:kern w:val="0"/>
                <w:sz w:val="21"/>
                <w:szCs w:val="21"/>
                <w:highlight w:val="none"/>
                <w:lang w:val="en-US" w:eastAsia="zh-CN"/>
              </w:rPr>
              <w:t>N</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35.908486</w:t>
            </w:r>
          </w:p>
        </w:tc>
      </w:tr>
      <w:tr w14:paraId="41618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01" w:type="dxa"/>
            <w:vMerge w:val="continue"/>
            <w:tcBorders>
              <w:tl2br w:val="nil"/>
              <w:tr2bl w:val="nil"/>
            </w:tcBorders>
            <w:vAlign w:val="center"/>
          </w:tcPr>
          <w:p w14:paraId="0213896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3371" w:type="dxa"/>
            <w:tcBorders>
              <w:tl2br w:val="nil"/>
              <w:tr2bl w:val="nil"/>
            </w:tcBorders>
            <w:shd w:val="clear" w:color="auto" w:fill="auto"/>
            <w:vAlign w:val="center"/>
          </w:tcPr>
          <w:p w14:paraId="1CA64EFD">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b w:val="0"/>
                <w:bCs w:val="0"/>
                <w:color w:val="auto"/>
                <w:sz w:val="21"/>
                <w:szCs w:val="21"/>
                <w:highlight w:val="none"/>
                <w:lang w:val="en-US" w:eastAsia="zh-CN"/>
              </w:rPr>
            </w:pPr>
            <w:bookmarkStart w:id="4364" w:name="_Toc4106"/>
            <w:bookmarkStart w:id="4365" w:name="_Toc15406"/>
            <w:r>
              <w:rPr>
                <w:rFonts w:hint="eastAsia" w:ascii="Times New Roman" w:hAnsi="Times New Roman" w:cs="Times New Roman"/>
                <w:b w:val="0"/>
                <w:bCs w:val="0"/>
                <w:color w:val="auto"/>
                <w:sz w:val="21"/>
                <w:szCs w:val="21"/>
                <w:highlight w:val="none"/>
                <w:lang w:val="en-US" w:eastAsia="zh-CN"/>
              </w:rPr>
              <w:t>3</w:t>
            </w:r>
            <w:r>
              <w:rPr>
                <w:rFonts w:hint="eastAsia" w:cs="Times New Roman"/>
                <w:b w:val="0"/>
                <w:bCs w:val="0"/>
                <w:color w:val="auto"/>
                <w:sz w:val="21"/>
                <w:szCs w:val="21"/>
                <w:highlight w:val="none"/>
                <w:vertAlign w:val="superscript"/>
                <w:lang w:val="en-US" w:eastAsia="zh-CN"/>
              </w:rPr>
              <w:t>#</w:t>
            </w:r>
            <w:r>
              <w:rPr>
                <w:rFonts w:hint="eastAsia" w:ascii="Times New Roman" w:hAnsi="Times New Roman" w:cs="Times New Roman"/>
                <w:b w:val="0"/>
                <w:bCs w:val="0"/>
                <w:color w:val="auto"/>
                <w:sz w:val="21"/>
                <w:szCs w:val="21"/>
                <w:highlight w:val="none"/>
                <w:lang w:val="en-US" w:eastAsia="zh-CN"/>
              </w:rPr>
              <w:t>彭阳县白杨庄</w:t>
            </w:r>
          </w:p>
          <w:bookmarkEnd w:id="4364"/>
          <w:bookmarkEnd w:id="4365"/>
        </w:tc>
        <w:tc>
          <w:tcPr>
            <w:tcW w:w="3681" w:type="dxa"/>
            <w:tcBorders>
              <w:tl2br w:val="nil"/>
              <w:tr2bl w:val="nil"/>
            </w:tcBorders>
            <w:vAlign w:val="center"/>
          </w:tcPr>
          <w:p w14:paraId="378120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E</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106.449402</w:t>
            </w:r>
            <w:r>
              <w:rPr>
                <w:rFonts w:hint="eastAsia" w:cs="Times New Roman"/>
                <w:color w:val="auto"/>
                <w:spacing w:val="0"/>
                <w:kern w:val="0"/>
                <w:sz w:val="21"/>
                <w:szCs w:val="21"/>
                <w:highlight w:val="none"/>
                <w:lang w:val="en-US" w:eastAsia="zh-CN"/>
              </w:rPr>
              <w:t xml:space="preserve">; </w:t>
            </w:r>
            <w:r>
              <w:rPr>
                <w:rFonts w:hint="eastAsia" w:ascii="Times New Roman" w:hAnsi="Times New Roman" w:cs="Times New Roman"/>
                <w:color w:val="auto"/>
                <w:spacing w:val="0"/>
                <w:kern w:val="0"/>
                <w:sz w:val="21"/>
                <w:szCs w:val="21"/>
                <w:highlight w:val="none"/>
                <w:lang w:val="en-US" w:eastAsia="zh-CN"/>
              </w:rPr>
              <w:t>N</w:t>
            </w:r>
            <w:r>
              <w:rPr>
                <w:rFonts w:hint="eastAsia" w:cs="Times New Roman"/>
                <w:color w:val="auto"/>
                <w:spacing w:val="0"/>
                <w:kern w:val="0"/>
                <w:sz w:val="21"/>
                <w:szCs w:val="21"/>
                <w:highlight w:val="none"/>
                <w:lang w:val="en-US" w:eastAsia="zh-CN"/>
              </w:rPr>
              <w:t>:</w:t>
            </w:r>
            <w:r>
              <w:rPr>
                <w:rFonts w:hint="eastAsia" w:ascii="Times New Roman" w:hAnsi="Times New Roman" w:cs="Times New Roman"/>
                <w:color w:val="auto"/>
                <w:spacing w:val="0"/>
                <w:kern w:val="0"/>
                <w:sz w:val="21"/>
                <w:szCs w:val="21"/>
                <w:highlight w:val="none"/>
                <w:lang w:val="en-US" w:eastAsia="zh-CN"/>
              </w:rPr>
              <w:t>35.908412</w:t>
            </w:r>
          </w:p>
        </w:tc>
      </w:tr>
      <w:bookmarkEnd w:id="4355"/>
    </w:tbl>
    <w:p w14:paraId="217DC921">
      <w:pPr>
        <w:bidi w:val="0"/>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）采样深度及个数</w:t>
      </w:r>
    </w:p>
    <w:p w14:paraId="670460F5">
      <w:pPr>
        <w:bidi w:val="0"/>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土壤：</w:t>
      </w:r>
      <w:r>
        <w:rPr>
          <w:rFonts w:hint="default" w:ascii="Times New Roman" w:hAnsi="Times New Roman" w:cs="Times New Roman"/>
          <w:color w:val="auto"/>
          <w:sz w:val="24"/>
          <w:szCs w:val="24"/>
          <w:highlight w:val="none"/>
          <w:lang w:val="en-US" w:eastAsia="zh-CN"/>
        </w:rPr>
        <w:t>表层样，在0~0.2m取样；</w:t>
      </w:r>
    </w:p>
    <w:p w14:paraId="28EAD086">
      <w:pPr>
        <w:bidi w:val="0"/>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底泥：河道及水库底部沉积物，在0-0.5m取样。</w:t>
      </w:r>
    </w:p>
    <w:p w14:paraId="54A34D43">
      <w:pPr>
        <w:bidi w:val="0"/>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监测指标</w:t>
      </w:r>
    </w:p>
    <w:p w14:paraId="10CA823C">
      <w:pPr>
        <w:bidi w:val="0"/>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监测点监测指标：砷、镉、铬（六价）、铜、铅、汞、镍、锌</w:t>
      </w:r>
      <w:r>
        <w:rPr>
          <w:rFonts w:hint="default" w:ascii="Times New Roman" w:hAnsi="Times New Roman" w:cs="Times New Roman"/>
          <w:color w:val="auto"/>
          <w:sz w:val="24"/>
          <w:szCs w:val="24"/>
          <w:highlight w:val="none"/>
          <w:lang w:eastAsia="zh-CN"/>
        </w:rPr>
        <w:t>。</w:t>
      </w:r>
    </w:p>
    <w:p w14:paraId="4A7DC7E1">
      <w:pPr>
        <w:bidi w:val="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（4）检测方法及主要仪器设备</w:t>
      </w:r>
    </w:p>
    <w:p w14:paraId="606A203C">
      <w:pPr>
        <w:spacing w:line="480" w:lineRule="exact"/>
        <w:ind w:left="0" w:leftChars="0" w:firstLine="0" w:firstLineChars="0"/>
        <w:jc w:val="center"/>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表5.4-2检测方法及主要仪器设备一览表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3069"/>
        <w:gridCol w:w="1424"/>
        <w:gridCol w:w="1882"/>
        <w:gridCol w:w="1395"/>
      </w:tblGrid>
      <w:tr w14:paraId="06194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vMerge w:val="restart"/>
            <w:tcBorders>
              <w:tl2br w:val="nil"/>
              <w:tr2bl w:val="nil"/>
            </w:tcBorders>
            <w:vAlign w:val="center"/>
          </w:tcPr>
          <w:p w14:paraId="2A687A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检</w:t>
            </w:r>
            <w:r>
              <w:rPr>
                <w:rFonts w:hint="default" w:ascii="Times New Roman" w:hAnsi="Times New Roman" w:eastAsia="宋体" w:cs="Times New Roman"/>
                <w:b/>
                <w:bCs/>
                <w:color w:val="auto"/>
                <w:sz w:val="21"/>
                <w:szCs w:val="21"/>
                <w:highlight w:val="none"/>
              </w:rPr>
              <w:t>测因子</w:t>
            </w:r>
          </w:p>
        </w:tc>
        <w:tc>
          <w:tcPr>
            <w:tcW w:w="1799" w:type="pct"/>
            <w:vMerge w:val="restart"/>
            <w:tcBorders>
              <w:tl2br w:val="nil"/>
              <w:tr2bl w:val="nil"/>
            </w:tcBorders>
            <w:vAlign w:val="center"/>
          </w:tcPr>
          <w:p w14:paraId="134540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lang w:val="en-US" w:eastAsia="zh-CN"/>
              </w:rPr>
              <w:t>检</w:t>
            </w:r>
            <w:r>
              <w:rPr>
                <w:rFonts w:hint="default" w:ascii="Times New Roman" w:hAnsi="Times New Roman" w:eastAsia="宋体" w:cs="Times New Roman"/>
                <w:b/>
                <w:color w:val="auto"/>
                <w:sz w:val="21"/>
                <w:szCs w:val="21"/>
                <w:highlight w:val="none"/>
              </w:rPr>
              <w:t>测分析方法及来源</w:t>
            </w:r>
          </w:p>
        </w:tc>
        <w:tc>
          <w:tcPr>
            <w:tcW w:w="835" w:type="pct"/>
            <w:vMerge w:val="restart"/>
            <w:tcBorders>
              <w:tl2br w:val="nil"/>
              <w:tr2bl w:val="nil"/>
            </w:tcBorders>
            <w:vAlign w:val="center"/>
          </w:tcPr>
          <w:p w14:paraId="0C58B1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检出限</w:t>
            </w:r>
          </w:p>
        </w:tc>
        <w:tc>
          <w:tcPr>
            <w:tcW w:w="1921" w:type="pct"/>
            <w:gridSpan w:val="2"/>
            <w:tcBorders>
              <w:tl2br w:val="nil"/>
              <w:tr2bl w:val="nil"/>
            </w:tcBorders>
            <w:vAlign w:val="center"/>
          </w:tcPr>
          <w:p w14:paraId="5C153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仪器设备</w:t>
            </w:r>
          </w:p>
        </w:tc>
      </w:tr>
      <w:tr w14:paraId="4A20C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vMerge w:val="continue"/>
            <w:tcBorders>
              <w:tl2br w:val="nil"/>
              <w:tr2bl w:val="nil"/>
            </w:tcBorders>
            <w:vAlign w:val="center"/>
          </w:tcPr>
          <w:p w14:paraId="124393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799" w:type="pct"/>
            <w:vMerge w:val="continue"/>
            <w:tcBorders>
              <w:tl2br w:val="nil"/>
              <w:tr2bl w:val="nil"/>
            </w:tcBorders>
            <w:vAlign w:val="center"/>
          </w:tcPr>
          <w:p w14:paraId="31BE94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835" w:type="pct"/>
            <w:vMerge w:val="continue"/>
            <w:tcBorders>
              <w:tl2br w:val="nil"/>
              <w:tr2bl w:val="nil"/>
            </w:tcBorders>
            <w:vAlign w:val="center"/>
          </w:tcPr>
          <w:p w14:paraId="33BDD5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tc>
        <w:tc>
          <w:tcPr>
            <w:tcW w:w="1103" w:type="pct"/>
            <w:tcBorders>
              <w:tl2br w:val="nil"/>
              <w:tr2bl w:val="nil"/>
            </w:tcBorders>
            <w:vAlign w:val="center"/>
          </w:tcPr>
          <w:p w14:paraId="6FFEA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仪器名称</w:t>
            </w:r>
            <w:r>
              <w:rPr>
                <w:rFonts w:hint="default" w:ascii="Times New Roman" w:hAnsi="Times New Roman" w:eastAsia="宋体" w:cs="Times New Roman"/>
                <w:b/>
                <w:color w:val="auto"/>
                <w:sz w:val="21"/>
                <w:szCs w:val="21"/>
                <w:highlight w:val="none"/>
                <w:lang w:val="en-US" w:eastAsia="zh-CN"/>
              </w:rPr>
              <w:t>/管理</w:t>
            </w:r>
            <w:r>
              <w:rPr>
                <w:rFonts w:hint="default" w:ascii="Times New Roman" w:hAnsi="Times New Roman" w:eastAsia="宋体" w:cs="Times New Roman"/>
                <w:b/>
                <w:color w:val="auto"/>
                <w:sz w:val="21"/>
                <w:szCs w:val="21"/>
                <w:highlight w:val="none"/>
              </w:rPr>
              <w:t>编号</w:t>
            </w:r>
          </w:p>
        </w:tc>
        <w:tc>
          <w:tcPr>
            <w:tcW w:w="818" w:type="pct"/>
            <w:tcBorders>
              <w:tl2br w:val="nil"/>
              <w:tr2bl w:val="nil"/>
            </w:tcBorders>
            <w:vAlign w:val="center"/>
          </w:tcPr>
          <w:p w14:paraId="565BCA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lang w:eastAsia="zh-CN"/>
              </w:rPr>
              <w:t>溯源</w:t>
            </w:r>
            <w:r>
              <w:rPr>
                <w:rFonts w:hint="default" w:ascii="Times New Roman" w:hAnsi="Times New Roman" w:eastAsia="宋体" w:cs="Times New Roman"/>
                <w:b/>
                <w:color w:val="auto"/>
                <w:sz w:val="21"/>
                <w:szCs w:val="21"/>
                <w:highlight w:val="none"/>
              </w:rPr>
              <w:t>有效期至</w:t>
            </w:r>
          </w:p>
        </w:tc>
      </w:tr>
      <w:tr w14:paraId="736E5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3D2F5D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pH值</w:t>
            </w:r>
          </w:p>
        </w:tc>
        <w:tc>
          <w:tcPr>
            <w:tcW w:w="1799" w:type="pct"/>
            <w:tcBorders>
              <w:tl2br w:val="nil"/>
              <w:tr2bl w:val="nil"/>
            </w:tcBorders>
            <w:vAlign w:val="center"/>
          </w:tcPr>
          <w:p w14:paraId="16A295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SA"/>
              </w:rPr>
              <w:t>《土壤 pH值的测定 电位法》HJ 962-2018</w:t>
            </w:r>
          </w:p>
        </w:tc>
        <w:tc>
          <w:tcPr>
            <w:tcW w:w="835" w:type="pct"/>
            <w:tcBorders>
              <w:tl2br w:val="nil"/>
              <w:tr2bl w:val="nil"/>
            </w:tcBorders>
            <w:vAlign w:val="center"/>
          </w:tcPr>
          <w:p w14:paraId="496553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w:t>
            </w:r>
          </w:p>
        </w:tc>
        <w:tc>
          <w:tcPr>
            <w:tcW w:w="1103" w:type="pct"/>
            <w:tcBorders>
              <w:tl2br w:val="nil"/>
              <w:tr2bl w:val="nil"/>
            </w:tcBorders>
            <w:vAlign w:val="center"/>
          </w:tcPr>
          <w:p w14:paraId="15B30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PHS-3C型pH计</w:t>
            </w:r>
            <w:r>
              <w:rPr>
                <w:rFonts w:hint="default" w:ascii="Times New Roman" w:hAnsi="Times New Roman" w:eastAsia="宋体" w:cs="Times New Roman"/>
                <w:color w:val="auto"/>
                <w:kern w:val="0"/>
                <w:sz w:val="21"/>
                <w:szCs w:val="21"/>
                <w:highlight w:val="none"/>
                <w:lang w:bidi="ar"/>
              </w:rPr>
              <w:t>（ZRLHB-0</w:t>
            </w:r>
            <w:r>
              <w:rPr>
                <w:rFonts w:hint="eastAsia" w:ascii="Times New Roman" w:hAnsi="Times New Roman" w:eastAsia="宋体" w:cs="Times New Roman"/>
                <w:color w:val="auto"/>
                <w:kern w:val="0"/>
                <w:sz w:val="21"/>
                <w:szCs w:val="21"/>
                <w:highlight w:val="none"/>
                <w:lang w:val="en-US" w:eastAsia="zh-CN" w:bidi="ar"/>
              </w:rPr>
              <w:t>08</w:t>
            </w:r>
            <w:r>
              <w:rPr>
                <w:rFonts w:hint="default" w:ascii="Times New Roman" w:hAnsi="Times New Roman" w:eastAsia="宋体" w:cs="Times New Roman"/>
                <w:color w:val="auto"/>
                <w:kern w:val="0"/>
                <w:sz w:val="21"/>
                <w:szCs w:val="21"/>
                <w:highlight w:val="none"/>
                <w:lang w:bidi="ar"/>
              </w:rPr>
              <w:t>）</w:t>
            </w:r>
          </w:p>
        </w:tc>
        <w:tc>
          <w:tcPr>
            <w:tcW w:w="818" w:type="pct"/>
            <w:tcBorders>
              <w:tl2br w:val="nil"/>
              <w:tr2bl w:val="nil"/>
            </w:tcBorders>
            <w:vAlign w:val="center"/>
          </w:tcPr>
          <w:p w14:paraId="12DB9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lang w:eastAsia="zh-CN"/>
              </w:rPr>
            </w:pPr>
            <w:r>
              <w:rPr>
                <w:rFonts w:hint="eastAsia" w:ascii="Times New Roman" w:hAnsi="Times New Roman" w:cs="Times New Roman"/>
                <w:color w:val="auto"/>
                <w:kern w:val="0"/>
                <w:sz w:val="21"/>
                <w:szCs w:val="21"/>
                <w:highlight w:val="none"/>
                <w:lang w:val="en-US" w:eastAsia="zh-CN" w:bidi="ar"/>
              </w:rPr>
              <w:t>2026.4.14</w:t>
            </w:r>
          </w:p>
        </w:tc>
      </w:tr>
      <w:tr w14:paraId="5566D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30DC7B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镉</w:t>
            </w:r>
          </w:p>
        </w:tc>
        <w:tc>
          <w:tcPr>
            <w:tcW w:w="1799" w:type="pct"/>
            <w:tcBorders>
              <w:tl2br w:val="nil"/>
              <w:tr2bl w:val="nil"/>
            </w:tcBorders>
            <w:vAlign w:val="center"/>
          </w:tcPr>
          <w:p w14:paraId="35963F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《土壤和沉积物 12种金属元素的测定 王水提取-电感耦合等离子体质谱法》HJ 803-2016</w:t>
            </w:r>
          </w:p>
        </w:tc>
        <w:tc>
          <w:tcPr>
            <w:tcW w:w="835" w:type="pct"/>
            <w:tcBorders>
              <w:tl2br w:val="nil"/>
              <w:tr2bl w:val="nil"/>
            </w:tcBorders>
            <w:vAlign w:val="center"/>
          </w:tcPr>
          <w:p w14:paraId="7AE8E3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mg/kg</w:t>
            </w:r>
          </w:p>
        </w:tc>
        <w:tc>
          <w:tcPr>
            <w:tcW w:w="1103" w:type="pct"/>
            <w:tcBorders>
              <w:tl2br w:val="nil"/>
              <w:tr2bl w:val="nil"/>
            </w:tcBorders>
            <w:vAlign w:val="center"/>
          </w:tcPr>
          <w:p w14:paraId="3B345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7500Series型安捷伦电感耦合等离子体质谱仪（ZRLHB-189）</w:t>
            </w:r>
          </w:p>
        </w:tc>
        <w:tc>
          <w:tcPr>
            <w:tcW w:w="818" w:type="pct"/>
            <w:tcBorders>
              <w:tl2br w:val="nil"/>
              <w:tr2bl w:val="nil"/>
            </w:tcBorders>
            <w:vAlign w:val="center"/>
          </w:tcPr>
          <w:p w14:paraId="08283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cs="Times New Roman"/>
                <w:color w:val="auto"/>
                <w:sz w:val="21"/>
                <w:szCs w:val="21"/>
                <w:highlight w:val="none"/>
                <w:lang w:val="en-US" w:eastAsia="zh-CN"/>
              </w:rPr>
              <w:t>6.3.26</w:t>
            </w:r>
          </w:p>
        </w:tc>
      </w:tr>
      <w:tr w14:paraId="3FA29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628AE4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1799" w:type="pct"/>
            <w:tcBorders>
              <w:tl2br w:val="nil"/>
              <w:tr2bl w:val="nil"/>
            </w:tcBorders>
            <w:vAlign w:val="center"/>
          </w:tcPr>
          <w:p w14:paraId="37C1B5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《土壤质量 总汞、总砷、总铅的测定 原子荧光法 第1部分：土壤中总汞的测定》</w:t>
            </w:r>
          </w:p>
          <w:p w14:paraId="53111C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GB/T 22105.1-2008</w:t>
            </w:r>
          </w:p>
        </w:tc>
        <w:tc>
          <w:tcPr>
            <w:tcW w:w="835" w:type="pct"/>
            <w:tcBorders>
              <w:tl2br w:val="nil"/>
              <w:tr2bl w:val="nil"/>
            </w:tcBorders>
            <w:vAlign w:val="center"/>
          </w:tcPr>
          <w:p w14:paraId="76FC29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0.002mg/kg</w:t>
            </w:r>
          </w:p>
        </w:tc>
        <w:tc>
          <w:tcPr>
            <w:tcW w:w="1103" w:type="pct"/>
            <w:tcBorders>
              <w:tl2br w:val="nil"/>
              <w:tr2bl w:val="nil"/>
            </w:tcBorders>
            <w:vAlign w:val="center"/>
          </w:tcPr>
          <w:p w14:paraId="057DE5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AFS-11B原子荧光光度计</w:t>
            </w:r>
            <w:r>
              <w:rPr>
                <w:rFonts w:hint="default" w:ascii="Times New Roman" w:hAnsi="Times New Roman" w:eastAsia="宋体" w:cs="Times New Roman"/>
                <w:color w:val="auto"/>
                <w:kern w:val="0"/>
                <w:sz w:val="21"/>
                <w:szCs w:val="21"/>
                <w:highlight w:val="none"/>
                <w:lang w:bidi="ar"/>
              </w:rPr>
              <w:t>（ZRLHB</w:t>
            </w:r>
            <w:r>
              <w:rPr>
                <w:rFonts w:hint="eastAsia" w:ascii="Times New Roman" w:hAnsi="Times New Roman" w:eastAsia="宋体" w:cs="Times New Roman"/>
                <w:color w:val="auto"/>
                <w:kern w:val="0"/>
                <w:sz w:val="21"/>
                <w:szCs w:val="21"/>
                <w:highlight w:val="none"/>
                <w:lang w:val="en-US" w:eastAsia="zh-CN" w:bidi="ar"/>
              </w:rPr>
              <w:t>-277</w:t>
            </w:r>
            <w:r>
              <w:rPr>
                <w:rFonts w:hint="default" w:ascii="Times New Roman" w:hAnsi="Times New Roman" w:eastAsia="宋体" w:cs="Times New Roman"/>
                <w:color w:val="auto"/>
                <w:kern w:val="0"/>
                <w:sz w:val="21"/>
                <w:szCs w:val="21"/>
                <w:highlight w:val="none"/>
                <w:lang w:bidi="ar"/>
              </w:rPr>
              <w:t>）</w:t>
            </w:r>
          </w:p>
        </w:tc>
        <w:tc>
          <w:tcPr>
            <w:tcW w:w="818" w:type="pct"/>
            <w:tcBorders>
              <w:tl2br w:val="nil"/>
              <w:tr2bl w:val="nil"/>
            </w:tcBorders>
            <w:vAlign w:val="center"/>
          </w:tcPr>
          <w:p w14:paraId="4A6CEA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202</w:t>
            </w:r>
            <w:r>
              <w:rPr>
                <w:rFonts w:hint="eastAsia" w:ascii="Times New Roman" w:hAnsi="Times New Roman" w:cs="Times New Roman"/>
                <w:color w:val="auto"/>
                <w:kern w:val="0"/>
                <w:sz w:val="21"/>
                <w:szCs w:val="21"/>
                <w:highlight w:val="none"/>
                <w:lang w:val="en-US" w:eastAsia="zh-CN" w:bidi="ar"/>
              </w:rPr>
              <w:t>6.11.13</w:t>
            </w:r>
          </w:p>
        </w:tc>
      </w:tr>
      <w:tr w14:paraId="1014D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433391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砷</w:t>
            </w:r>
          </w:p>
        </w:tc>
        <w:tc>
          <w:tcPr>
            <w:tcW w:w="1799" w:type="pct"/>
            <w:tcBorders>
              <w:tl2br w:val="nil"/>
              <w:tr2bl w:val="nil"/>
            </w:tcBorders>
            <w:vAlign w:val="center"/>
          </w:tcPr>
          <w:p w14:paraId="2CC1D6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《土壤质量 总汞、总砷、总铅的测定 原子荧光法 第2部分：土壤中总砷的测定》</w:t>
            </w:r>
          </w:p>
          <w:p w14:paraId="76ABE4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GB/T 22105.2-2008</w:t>
            </w:r>
          </w:p>
        </w:tc>
        <w:tc>
          <w:tcPr>
            <w:tcW w:w="835" w:type="pct"/>
            <w:tcBorders>
              <w:tl2br w:val="nil"/>
              <w:tr2bl w:val="nil"/>
            </w:tcBorders>
            <w:vAlign w:val="center"/>
          </w:tcPr>
          <w:p w14:paraId="180013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0.01mg/kg</w:t>
            </w:r>
          </w:p>
        </w:tc>
        <w:tc>
          <w:tcPr>
            <w:tcW w:w="1103" w:type="pct"/>
            <w:tcBorders>
              <w:tl2br w:val="nil"/>
              <w:tr2bl w:val="nil"/>
            </w:tcBorders>
            <w:vAlign w:val="center"/>
          </w:tcPr>
          <w:p w14:paraId="2FB631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AFS-933原子荧光光度计（ZRLHB-051）</w:t>
            </w:r>
          </w:p>
        </w:tc>
        <w:tc>
          <w:tcPr>
            <w:tcW w:w="818" w:type="pct"/>
            <w:tcBorders>
              <w:tl2br w:val="nil"/>
              <w:tr2bl w:val="nil"/>
            </w:tcBorders>
            <w:vAlign w:val="center"/>
          </w:tcPr>
          <w:p w14:paraId="4FDAF6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202</w:t>
            </w:r>
            <w:r>
              <w:rPr>
                <w:rFonts w:hint="eastAsia" w:ascii="Times New Roman" w:hAnsi="Times New Roman" w:cs="Times New Roman"/>
                <w:color w:val="auto"/>
                <w:kern w:val="0"/>
                <w:sz w:val="21"/>
                <w:szCs w:val="21"/>
                <w:highlight w:val="none"/>
                <w:lang w:val="en-US" w:eastAsia="zh-CN" w:bidi="ar"/>
              </w:rPr>
              <w:t>6.4.14</w:t>
            </w:r>
          </w:p>
        </w:tc>
      </w:tr>
      <w:tr w14:paraId="772D5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0D5783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铜</w:t>
            </w:r>
          </w:p>
        </w:tc>
        <w:tc>
          <w:tcPr>
            <w:tcW w:w="1799" w:type="pct"/>
            <w:vMerge w:val="restart"/>
            <w:tcBorders>
              <w:tl2br w:val="nil"/>
              <w:tr2bl w:val="nil"/>
            </w:tcBorders>
            <w:vAlign w:val="center"/>
          </w:tcPr>
          <w:p w14:paraId="4EC153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《土壤和沉积物 铜、锌、铅、镍、铬的测定 火焰原子吸收分光光度法》HJ 491-2019</w:t>
            </w:r>
          </w:p>
        </w:tc>
        <w:tc>
          <w:tcPr>
            <w:tcW w:w="835" w:type="pct"/>
            <w:tcBorders>
              <w:tl2br w:val="nil"/>
              <w:tr2bl w:val="nil"/>
            </w:tcBorders>
            <w:vAlign w:val="center"/>
          </w:tcPr>
          <w:p w14:paraId="010316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1mg/kg</w:t>
            </w:r>
          </w:p>
        </w:tc>
        <w:tc>
          <w:tcPr>
            <w:tcW w:w="1103" w:type="pct"/>
            <w:vMerge w:val="restart"/>
            <w:tcBorders>
              <w:tl2br w:val="nil"/>
              <w:tr2bl w:val="nil"/>
            </w:tcBorders>
            <w:vAlign w:val="center"/>
          </w:tcPr>
          <w:p w14:paraId="04F927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AA 6880原子吸收分光光度计（ZRLHB-052）</w:t>
            </w:r>
          </w:p>
        </w:tc>
        <w:tc>
          <w:tcPr>
            <w:tcW w:w="818" w:type="pct"/>
            <w:vMerge w:val="restart"/>
            <w:tcBorders>
              <w:tl2br w:val="nil"/>
              <w:tr2bl w:val="nil"/>
            </w:tcBorders>
            <w:vAlign w:val="center"/>
          </w:tcPr>
          <w:p w14:paraId="6439A2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202</w:t>
            </w:r>
            <w:r>
              <w:rPr>
                <w:rFonts w:hint="eastAsia" w:ascii="Times New Roman" w:hAnsi="Times New Roman" w:cs="Times New Roman"/>
                <w:color w:val="auto"/>
                <w:kern w:val="0"/>
                <w:sz w:val="21"/>
                <w:szCs w:val="21"/>
                <w:highlight w:val="none"/>
                <w:lang w:val="en-US" w:eastAsia="zh-CN" w:bidi="ar"/>
              </w:rPr>
              <w:t>6.4.22</w:t>
            </w:r>
          </w:p>
        </w:tc>
      </w:tr>
      <w:tr w14:paraId="3D564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2A6AB8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w:t>
            </w:r>
          </w:p>
        </w:tc>
        <w:tc>
          <w:tcPr>
            <w:tcW w:w="1799" w:type="pct"/>
            <w:vMerge w:val="continue"/>
            <w:tcBorders>
              <w:tl2br w:val="nil"/>
              <w:tr2bl w:val="nil"/>
            </w:tcBorders>
            <w:vAlign w:val="center"/>
          </w:tcPr>
          <w:p w14:paraId="5CA92B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835" w:type="pct"/>
            <w:tcBorders>
              <w:tl2br w:val="nil"/>
              <w:tr2bl w:val="nil"/>
            </w:tcBorders>
            <w:vAlign w:val="center"/>
          </w:tcPr>
          <w:p w14:paraId="2CBC9E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10mg/kg</w:t>
            </w:r>
          </w:p>
        </w:tc>
        <w:tc>
          <w:tcPr>
            <w:tcW w:w="1103" w:type="pct"/>
            <w:vMerge w:val="continue"/>
            <w:tcBorders>
              <w:tl2br w:val="nil"/>
              <w:tr2bl w:val="nil"/>
            </w:tcBorders>
            <w:vAlign w:val="center"/>
          </w:tcPr>
          <w:p w14:paraId="1EB51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818" w:type="pct"/>
            <w:vMerge w:val="continue"/>
            <w:tcBorders>
              <w:tl2br w:val="nil"/>
              <w:tr2bl w:val="nil"/>
            </w:tcBorders>
            <w:vAlign w:val="center"/>
          </w:tcPr>
          <w:p w14:paraId="02821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r>
      <w:tr w14:paraId="7BEE0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2A7520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镍</w:t>
            </w:r>
          </w:p>
        </w:tc>
        <w:tc>
          <w:tcPr>
            <w:tcW w:w="1799" w:type="pct"/>
            <w:vMerge w:val="continue"/>
            <w:tcBorders>
              <w:tl2br w:val="nil"/>
              <w:tr2bl w:val="nil"/>
            </w:tcBorders>
            <w:vAlign w:val="center"/>
          </w:tcPr>
          <w:p w14:paraId="15467E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835" w:type="pct"/>
            <w:tcBorders>
              <w:tl2br w:val="nil"/>
              <w:tr2bl w:val="nil"/>
            </w:tcBorders>
            <w:vAlign w:val="center"/>
          </w:tcPr>
          <w:p w14:paraId="296656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3mg/kg</w:t>
            </w:r>
          </w:p>
        </w:tc>
        <w:tc>
          <w:tcPr>
            <w:tcW w:w="1103" w:type="pct"/>
            <w:vMerge w:val="continue"/>
            <w:tcBorders>
              <w:tl2br w:val="nil"/>
              <w:tr2bl w:val="nil"/>
            </w:tcBorders>
            <w:vAlign w:val="center"/>
          </w:tcPr>
          <w:p w14:paraId="43A8C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818" w:type="pct"/>
            <w:vMerge w:val="continue"/>
            <w:tcBorders>
              <w:tl2br w:val="nil"/>
              <w:tr2bl w:val="nil"/>
            </w:tcBorders>
            <w:vAlign w:val="center"/>
          </w:tcPr>
          <w:p w14:paraId="56A36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r>
      <w:tr w14:paraId="05496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56585F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锌</w:t>
            </w:r>
          </w:p>
        </w:tc>
        <w:tc>
          <w:tcPr>
            <w:tcW w:w="1799" w:type="pct"/>
            <w:vMerge w:val="continue"/>
            <w:tcBorders>
              <w:tl2br w:val="nil"/>
              <w:tr2bl w:val="nil"/>
            </w:tcBorders>
            <w:vAlign w:val="center"/>
          </w:tcPr>
          <w:p w14:paraId="0F3296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835" w:type="pct"/>
            <w:tcBorders>
              <w:tl2br w:val="nil"/>
              <w:tr2bl w:val="nil"/>
            </w:tcBorders>
            <w:vAlign w:val="center"/>
          </w:tcPr>
          <w:p w14:paraId="2222B6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mg/kg</w:t>
            </w:r>
          </w:p>
        </w:tc>
        <w:tc>
          <w:tcPr>
            <w:tcW w:w="1103" w:type="pct"/>
            <w:vMerge w:val="continue"/>
            <w:tcBorders>
              <w:tl2br w:val="nil"/>
              <w:tr2bl w:val="nil"/>
            </w:tcBorders>
            <w:vAlign w:val="center"/>
          </w:tcPr>
          <w:p w14:paraId="21BA41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bidi="ar"/>
              </w:rPr>
            </w:pPr>
          </w:p>
        </w:tc>
        <w:tc>
          <w:tcPr>
            <w:tcW w:w="818" w:type="pct"/>
            <w:vMerge w:val="continue"/>
            <w:tcBorders>
              <w:tl2br w:val="nil"/>
              <w:tr2bl w:val="nil"/>
            </w:tcBorders>
            <w:vAlign w:val="center"/>
          </w:tcPr>
          <w:p w14:paraId="5FDDF6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bidi="ar"/>
              </w:rPr>
            </w:pPr>
          </w:p>
        </w:tc>
      </w:tr>
      <w:tr w14:paraId="3C7CD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3" w:type="pct"/>
            <w:tcBorders>
              <w:tl2br w:val="nil"/>
              <w:tr2bl w:val="nil"/>
            </w:tcBorders>
            <w:vAlign w:val="center"/>
          </w:tcPr>
          <w:p w14:paraId="1C0A23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铬</w:t>
            </w:r>
          </w:p>
        </w:tc>
        <w:tc>
          <w:tcPr>
            <w:tcW w:w="1799" w:type="pct"/>
            <w:vMerge w:val="continue"/>
            <w:tcBorders>
              <w:tl2br w:val="nil"/>
              <w:tr2bl w:val="nil"/>
            </w:tcBorders>
            <w:vAlign w:val="center"/>
          </w:tcPr>
          <w:p w14:paraId="32457B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835" w:type="pct"/>
            <w:tcBorders>
              <w:tl2br w:val="nil"/>
              <w:tr2bl w:val="nil"/>
            </w:tcBorders>
            <w:vAlign w:val="center"/>
          </w:tcPr>
          <w:p w14:paraId="25D4CB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mg/kg</w:t>
            </w:r>
          </w:p>
        </w:tc>
        <w:tc>
          <w:tcPr>
            <w:tcW w:w="1103" w:type="pct"/>
            <w:vMerge w:val="continue"/>
            <w:tcBorders>
              <w:tl2br w:val="nil"/>
              <w:tr2bl w:val="nil"/>
            </w:tcBorders>
            <w:vAlign w:val="center"/>
          </w:tcPr>
          <w:p w14:paraId="16FBA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818" w:type="pct"/>
            <w:vMerge w:val="continue"/>
            <w:tcBorders>
              <w:tl2br w:val="nil"/>
              <w:tr2bl w:val="nil"/>
            </w:tcBorders>
            <w:vAlign w:val="center"/>
          </w:tcPr>
          <w:p w14:paraId="70A7E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r>
    </w:tbl>
    <w:p w14:paraId="20C41D1E">
      <w:pPr>
        <w:bidi w:val="0"/>
        <w:outlineLvl w:val="9"/>
        <w:rPr>
          <w:rFonts w:hint="default" w:ascii="Times New Roman" w:hAnsi="Times New Roman" w:cs="Times New Roman"/>
          <w:color w:val="auto"/>
          <w:sz w:val="24"/>
          <w:szCs w:val="24"/>
          <w:highlight w:val="none"/>
          <w:lang w:val="en-US" w:eastAsia="zh-CN"/>
        </w:rPr>
        <w:sectPr>
          <w:pgSz w:w="11910" w:h="16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0" w:num="1"/>
          <w:rtlGutter w:val="0"/>
          <w:docGrid w:type="lines" w:linePitch="312" w:charSpace="0"/>
        </w:sectPr>
      </w:pPr>
    </w:p>
    <w:p w14:paraId="3615EA46">
      <w:pPr>
        <w:spacing w:line="480" w:lineRule="exact"/>
        <w:ind w:left="0" w:leftChars="0" w:firstLine="0" w:firstLineChars="0"/>
        <w:jc w:val="center"/>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表5.4-</w:t>
      </w:r>
      <w:r>
        <w:rPr>
          <w:rFonts w:hint="eastAsia" w:ascii="Times New Roman" w:hAnsi="Times New Roman" w:cs="Times New Roman"/>
          <w:b/>
          <w:bCs/>
          <w:color w:val="auto"/>
          <w:sz w:val="24"/>
          <w:szCs w:val="24"/>
          <w:highlight w:val="none"/>
          <w:lang w:val="en-US" w:eastAsia="zh-CN"/>
        </w:rPr>
        <w:t>3 底泥、土壤监测结果</w:t>
      </w:r>
      <w:r>
        <w:rPr>
          <w:rFonts w:hint="default" w:ascii="Times New Roman" w:hAnsi="Times New Roman" w:cs="Times New Roman"/>
          <w:b/>
          <w:bCs/>
          <w:color w:val="auto"/>
          <w:sz w:val="24"/>
          <w:szCs w:val="24"/>
          <w:highlight w:val="none"/>
          <w:lang w:val="en-US" w:eastAsia="zh-CN"/>
        </w:rPr>
        <w:t>一览表</w:t>
      </w:r>
    </w:p>
    <w:tbl>
      <w:tblPr>
        <w:tblStyle w:val="3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87"/>
        <w:gridCol w:w="2208"/>
        <w:gridCol w:w="2208"/>
        <w:gridCol w:w="1205"/>
        <w:gridCol w:w="1261"/>
        <w:gridCol w:w="1381"/>
        <w:gridCol w:w="3841"/>
      </w:tblGrid>
      <w:tr w14:paraId="20872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tcBorders>
              <w:tl2br w:val="nil"/>
              <w:tr2bl w:val="nil"/>
            </w:tcBorders>
            <w:shd w:val="clear" w:color="auto" w:fill="auto"/>
            <w:noWrap/>
            <w:vAlign w:val="center"/>
          </w:tcPr>
          <w:p w14:paraId="65F669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检测</w:t>
            </w:r>
            <w:r>
              <w:rPr>
                <w:rFonts w:hint="default" w:ascii="Times New Roman" w:hAnsi="Times New Roman" w:eastAsia="宋体" w:cs="Times New Roman"/>
                <w:b/>
                <w:bCs/>
                <w:color w:val="auto"/>
                <w:sz w:val="21"/>
                <w:szCs w:val="21"/>
                <w:highlight w:val="none"/>
                <w:lang w:val="en-US" w:eastAsia="zh-CN"/>
              </w:rPr>
              <w:t>因子</w:t>
            </w:r>
          </w:p>
        </w:tc>
        <w:tc>
          <w:tcPr>
            <w:tcW w:w="348" w:type="pct"/>
            <w:tcBorders>
              <w:tl2br w:val="nil"/>
              <w:tr2bl w:val="nil"/>
            </w:tcBorders>
            <w:vAlign w:val="center"/>
          </w:tcPr>
          <w:p w14:paraId="56940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单位</w:t>
            </w:r>
          </w:p>
        </w:tc>
        <w:tc>
          <w:tcPr>
            <w:tcW w:w="779" w:type="pct"/>
            <w:tcBorders>
              <w:tl2br w:val="nil"/>
              <w:tr2bl w:val="nil"/>
            </w:tcBorders>
            <w:vAlign w:val="center"/>
          </w:tcPr>
          <w:p w14:paraId="4B1BF8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eastAsia" w:ascii="Times New Roman" w:hAnsi="Times New Roman" w:cs="Times New Roman"/>
                <w:b/>
                <w:bCs w:val="0"/>
                <w:color w:val="auto"/>
                <w:spacing w:val="0"/>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石头崾岘水库底泥1</w:t>
            </w:r>
            <w:r>
              <w:rPr>
                <w:rFonts w:hint="eastAsia" w:cs="Times New Roman"/>
                <w:b/>
                <w:bCs/>
                <w:color w:val="auto"/>
                <w:sz w:val="21"/>
                <w:szCs w:val="21"/>
                <w:highlight w:val="none"/>
                <w:vertAlign w:val="superscript"/>
                <w:lang w:val="en-US" w:eastAsia="zh-CN"/>
              </w:rPr>
              <w:t>#</w:t>
            </w:r>
          </w:p>
        </w:tc>
        <w:tc>
          <w:tcPr>
            <w:tcW w:w="779" w:type="pct"/>
            <w:tcBorders>
              <w:tl2br w:val="nil"/>
              <w:tr2bl w:val="nil"/>
            </w:tcBorders>
            <w:vAlign w:val="center"/>
          </w:tcPr>
          <w:p w14:paraId="69604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default" w:ascii="Times New Roman" w:hAnsi="Times New Roman" w:cs="Times New Roman"/>
                <w:b/>
                <w:bCs w:val="0"/>
                <w:color w:val="auto"/>
                <w:spacing w:val="0"/>
                <w:sz w:val="21"/>
                <w:szCs w:val="21"/>
                <w:highlight w:val="none"/>
                <w:lang w:val="en-US" w:eastAsia="zh-CN"/>
              </w:rPr>
            </w:pPr>
            <w:r>
              <w:rPr>
                <w:rFonts w:hint="eastAsia" w:ascii="Times New Roman" w:hAnsi="Times New Roman" w:cs="Times New Roman"/>
                <w:b/>
                <w:bCs w:val="0"/>
                <w:color w:val="auto"/>
                <w:spacing w:val="0"/>
                <w:sz w:val="21"/>
                <w:szCs w:val="21"/>
                <w:highlight w:val="none"/>
                <w:lang w:val="en-US" w:eastAsia="zh-CN"/>
              </w:rPr>
              <w:t>茹河河道底泥2</w:t>
            </w:r>
            <w:r>
              <w:rPr>
                <w:rFonts w:hint="eastAsia" w:cs="Times New Roman"/>
                <w:b/>
                <w:bCs w:val="0"/>
                <w:color w:val="auto"/>
                <w:spacing w:val="0"/>
                <w:sz w:val="21"/>
                <w:szCs w:val="21"/>
                <w:highlight w:val="none"/>
                <w:vertAlign w:val="superscript"/>
                <w:lang w:val="en-US" w:eastAsia="zh-CN"/>
              </w:rPr>
              <w:t>#</w:t>
            </w:r>
          </w:p>
        </w:tc>
        <w:tc>
          <w:tcPr>
            <w:tcW w:w="425" w:type="pct"/>
            <w:tcBorders>
              <w:tl2br w:val="nil"/>
              <w:tr2bl w:val="nil"/>
            </w:tcBorders>
            <w:vAlign w:val="center"/>
          </w:tcPr>
          <w:p w14:paraId="0B0B3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default" w:ascii="Times New Roman" w:hAnsi="Times New Roman" w:cs="Times New Roman"/>
                <w:b/>
                <w:bCs w:val="0"/>
                <w:color w:val="auto"/>
                <w:spacing w:val="0"/>
                <w:sz w:val="21"/>
                <w:szCs w:val="21"/>
                <w:highlight w:val="none"/>
                <w:lang w:val="en-US" w:eastAsia="zh-CN"/>
              </w:rPr>
            </w:pPr>
            <w:r>
              <w:rPr>
                <w:rFonts w:hint="eastAsia" w:ascii="Times New Roman" w:hAnsi="Times New Roman" w:cs="Times New Roman"/>
                <w:b/>
                <w:bCs w:val="0"/>
                <w:color w:val="auto"/>
                <w:spacing w:val="0"/>
                <w:sz w:val="21"/>
                <w:szCs w:val="21"/>
                <w:highlight w:val="none"/>
                <w:lang w:val="en-US" w:eastAsia="zh-CN"/>
              </w:rPr>
              <w:t>土壤1</w:t>
            </w:r>
            <w:r>
              <w:rPr>
                <w:rFonts w:hint="eastAsia" w:cs="Times New Roman"/>
                <w:b/>
                <w:bCs w:val="0"/>
                <w:color w:val="auto"/>
                <w:spacing w:val="0"/>
                <w:sz w:val="21"/>
                <w:szCs w:val="21"/>
                <w:highlight w:val="none"/>
                <w:vertAlign w:val="superscript"/>
                <w:lang w:val="en-US" w:eastAsia="zh-CN"/>
              </w:rPr>
              <w:t>#</w:t>
            </w:r>
          </w:p>
        </w:tc>
        <w:tc>
          <w:tcPr>
            <w:tcW w:w="445" w:type="pct"/>
            <w:tcBorders>
              <w:tl2br w:val="nil"/>
              <w:tr2bl w:val="nil"/>
            </w:tcBorders>
            <w:vAlign w:val="center"/>
          </w:tcPr>
          <w:p w14:paraId="5925B3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eastAsia" w:ascii="Times New Roman" w:hAnsi="Times New Roman" w:cs="Times New Roman"/>
                <w:b/>
                <w:bCs w:val="0"/>
                <w:color w:val="auto"/>
                <w:spacing w:val="0"/>
                <w:sz w:val="21"/>
                <w:szCs w:val="21"/>
                <w:highlight w:val="none"/>
                <w:lang w:val="en-US" w:eastAsia="zh-CN"/>
              </w:rPr>
            </w:pPr>
            <w:r>
              <w:rPr>
                <w:rFonts w:hint="eastAsia" w:ascii="Times New Roman" w:hAnsi="Times New Roman" w:cs="Times New Roman"/>
                <w:b/>
                <w:bCs w:val="0"/>
                <w:color w:val="auto"/>
                <w:spacing w:val="0"/>
                <w:sz w:val="21"/>
                <w:szCs w:val="21"/>
                <w:highlight w:val="none"/>
                <w:lang w:val="en-US" w:eastAsia="zh-CN"/>
              </w:rPr>
              <w:t>土壤2</w:t>
            </w:r>
            <w:r>
              <w:rPr>
                <w:rFonts w:hint="eastAsia" w:cs="Times New Roman"/>
                <w:b/>
                <w:bCs w:val="0"/>
                <w:color w:val="auto"/>
                <w:spacing w:val="0"/>
                <w:sz w:val="21"/>
                <w:szCs w:val="21"/>
                <w:highlight w:val="none"/>
                <w:vertAlign w:val="superscript"/>
                <w:lang w:val="en-US" w:eastAsia="zh-CN"/>
              </w:rPr>
              <w:t>#</w:t>
            </w:r>
          </w:p>
        </w:tc>
        <w:tc>
          <w:tcPr>
            <w:tcW w:w="487" w:type="pct"/>
            <w:tcBorders>
              <w:tl2br w:val="nil"/>
              <w:tr2bl w:val="nil"/>
            </w:tcBorders>
            <w:vAlign w:val="center"/>
          </w:tcPr>
          <w:p w14:paraId="7E4E4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eastAsia" w:ascii="Times New Roman" w:hAnsi="Times New Roman" w:cs="Times New Roman"/>
                <w:b/>
                <w:bCs w:val="0"/>
                <w:color w:val="auto"/>
                <w:spacing w:val="0"/>
                <w:sz w:val="21"/>
                <w:szCs w:val="21"/>
                <w:highlight w:val="none"/>
                <w:lang w:val="en-US" w:eastAsia="zh-CN"/>
              </w:rPr>
            </w:pPr>
            <w:r>
              <w:rPr>
                <w:rFonts w:hint="eastAsia" w:ascii="Times New Roman" w:hAnsi="Times New Roman" w:cs="Times New Roman"/>
                <w:b/>
                <w:bCs w:val="0"/>
                <w:color w:val="auto"/>
                <w:spacing w:val="0"/>
                <w:sz w:val="21"/>
                <w:szCs w:val="21"/>
                <w:highlight w:val="none"/>
                <w:lang w:val="en-US" w:eastAsia="zh-CN"/>
              </w:rPr>
              <w:t>土壤3</w:t>
            </w:r>
            <w:r>
              <w:rPr>
                <w:rFonts w:hint="eastAsia" w:cs="Times New Roman"/>
                <w:b/>
                <w:bCs w:val="0"/>
                <w:color w:val="auto"/>
                <w:spacing w:val="0"/>
                <w:sz w:val="21"/>
                <w:szCs w:val="21"/>
                <w:highlight w:val="none"/>
                <w:vertAlign w:val="superscript"/>
                <w:lang w:val="en-US" w:eastAsia="zh-CN"/>
              </w:rPr>
              <w:t>#</w:t>
            </w:r>
          </w:p>
        </w:tc>
        <w:tc>
          <w:tcPr>
            <w:tcW w:w="1355" w:type="pct"/>
            <w:tcBorders>
              <w:tl2br w:val="nil"/>
              <w:tr2bl w:val="nil"/>
            </w:tcBorders>
            <w:vAlign w:val="center"/>
          </w:tcPr>
          <w:p w14:paraId="69BF8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eastAsia" w:ascii="Times New Roman" w:hAnsi="Times New Roman"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GB</w:t>
            </w:r>
            <w:r>
              <w:rPr>
                <w:rFonts w:hint="eastAsia" w:ascii="Times New Roman" w:hAnsi="Times New Roman" w:cs="Times New Roman"/>
                <w:b/>
                <w:bCs/>
                <w:i w:val="0"/>
                <w:iCs w:val="0"/>
                <w:color w:val="auto"/>
                <w:kern w:val="0"/>
                <w:sz w:val="21"/>
                <w:szCs w:val="21"/>
                <w:highlight w:val="none"/>
                <w:u w:val="none"/>
                <w:lang w:val="en-US" w:eastAsia="zh-CN" w:bidi="ar"/>
              </w:rPr>
              <w:t>15618-2018</w:t>
            </w:r>
            <w:r>
              <w:rPr>
                <w:rFonts w:hint="eastAsia" w:cs="Times New Roman"/>
                <w:b/>
                <w:bCs/>
                <w:i w:val="0"/>
                <w:iCs w:val="0"/>
                <w:color w:val="auto"/>
                <w:kern w:val="0"/>
                <w:sz w:val="21"/>
                <w:szCs w:val="21"/>
                <w:highlight w:val="none"/>
                <w:u w:val="none"/>
                <w:lang w:val="en-US" w:eastAsia="zh-CN" w:bidi="ar"/>
              </w:rPr>
              <w:t>）</w:t>
            </w:r>
            <w:r>
              <w:rPr>
                <w:rFonts w:hint="eastAsia" w:ascii="Times New Roman" w:hAnsi="Times New Roman" w:cs="Times New Roman"/>
                <w:b/>
                <w:bCs/>
                <w:i w:val="0"/>
                <w:iCs w:val="0"/>
                <w:color w:val="auto"/>
                <w:kern w:val="0"/>
                <w:sz w:val="21"/>
                <w:szCs w:val="21"/>
                <w:highlight w:val="none"/>
                <w:u w:val="none"/>
                <w:lang w:val="en-US" w:eastAsia="zh-CN" w:bidi="ar"/>
              </w:rPr>
              <w:t>表1农</w:t>
            </w:r>
            <w:r>
              <w:rPr>
                <w:rFonts w:hint="default" w:ascii="Times New Roman" w:hAnsi="Times New Roman" w:eastAsia="宋体" w:cs="Times New Roman"/>
                <w:b/>
                <w:bCs/>
                <w:i w:val="0"/>
                <w:iCs w:val="0"/>
                <w:color w:val="auto"/>
                <w:kern w:val="0"/>
                <w:sz w:val="21"/>
                <w:szCs w:val="21"/>
                <w:highlight w:val="none"/>
                <w:u w:val="none"/>
                <w:lang w:val="en-US" w:eastAsia="zh-CN" w:bidi="ar"/>
              </w:rPr>
              <w:t>用地</w:t>
            </w:r>
            <w:r>
              <w:rPr>
                <w:rFonts w:hint="eastAsia" w:ascii="Times New Roman" w:hAnsi="Times New Roman" w:cs="Times New Roman"/>
                <w:b/>
                <w:bCs/>
                <w:i w:val="0"/>
                <w:iCs w:val="0"/>
                <w:color w:val="auto"/>
                <w:kern w:val="0"/>
                <w:sz w:val="21"/>
                <w:szCs w:val="21"/>
                <w:highlight w:val="none"/>
                <w:u w:val="none"/>
                <w:lang w:val="en-US" w:eastAsia="zh-CN" w:bidi="ar"/>
              </w:rPr>
              <w:t>土壤污染</w:t>
            </w:r>
          </w:p>
          <w:p w14:paraId="647D3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rPr>
                <w:rFonts w:hint="eastAsia" w:ascii="Times New Roman" w:hAnsi="Times New Roman" w:cs="Times New Roman"/>
                <w:b/>
                <w:bCs w:val="0"/>
                <w:color w:val="auto"/>
                <w:spacing w:val="0"/>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筛选值</w:t>
            </w:r>
            <w:r>
              <w:rPr>
                <w:rFonts w:hint="eastAsia" w:ascii="Times New Roman" w:hAnsi="Times New Roman" w:cs="Times New Roman"/>
                <w:b/>
                <w:bCs/>
                <w:i w:val="0"/>
                <w:iCs w:val="0"/>
                <w:color w:val="auto"/>
                <w:kern w:val="0"/>
                <w:sz w:val="21"/>
                <w:szCs w:val="21"/>
                <w:highlight w:val="none"/>
                <w:u w:val="none"/>
                <w:lang w:val="en-US" w:eastAsia="zh-CN" w:bidi="ar"/>
              </w:rPr>
              <w:t>（</w:t>
            </w:r>
            <w:r>
              <w:rPr>
                <w:rFonts w:hint="eastAsia" w:cs="Times New Roman"/>
                <w:b/>
                <w:bCs/>
                <w:i w:val="0"/>
                <w:iCs w:val="0"/>
                <w:color w:val="auto"/>
                <w:kern w:val="0"/>
                <w:sz w:val="21"/>
                <w:szCs w:val="21"/>
                <w:highlight w:val="none"/>
                <w:u w:val="none"/>
                <w:lang w:val="en-US" w:eastAsia="zh-CN" w:bidi="ar"/>
              </w:rPr>
              <w:t>基本项目</w:t>
            </w:r>
            <w:r>
              <w:rPr>
                <w:rFonts w:hint="eastAsia" w:ascii="Times New Roman" w:hAnsi="Times New Roman" w:cs="Times New Roman"/>
                <w:b/>
                <w:bCs/>
                <w:i w:val="0"/>
                <w:iCs w:val="0"/>
                <w:color w:val="auto"/>
                <w:kern w:val="0"/>
                <w:sz w:val="21"/>
                <w:szCs w:val="21"/>
                <w:highlight w:val="none"/>
                <w:u w:val="none"/>
                <w:lang w:val="en-US" w:eastAsia="zh-CN" w:bidi="ar"/>
              </w:rPr>
              <w:t>）</w:t>
            </w:r>
          </w:p>
        </w:tc>
      </w:tr>
      <w:tr w14:paraId="3BB0D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7C8C70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pH值</w:t>
            </w:r>
          </w:p>
        </w:tc>
        <w:tc>
          <w:tcPr>
            <w:tcW w:w="348" w:type="pct"/>
            <w:tcBorders>
              <w:tl2br w:val="nil"/>
              <w:tr2bl w:val="nil"/>
            </w:tcBorders>
            <w:vAlign w:val="center"/>
          </w:tcPr>
          <w:p w14:paraId="73B3E6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无量纲</w:t>
            </w:r>
          </w:p>
        </w:tc>
        <w:tc>
          <w:tcPr>
            <w:tcW w:w="2208" w:type="dxa"/>
            <w:tcBorders>
              <w:tl2br w:val="nil"/>
              <w:tr2bl w:val="nil"/>
            </w:tcBorders>
            <w:vAlign w:val="center"/>
          </w:tcPr>
          <w:p w14:paraId="4D69A2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8.57</w:t>
            </w:r>
          </w:p>
        </w:tc>
        <w:tc>
          <w:tcPr>
            <w:tcW w:w="779" w:type="pct"/>
            <w:tcBorders>
              <w:tl2br w:val="nil"/>
              <w:tr2bl w:val="nil"/>
            </w:tcBorders>
            <w:vAlign w:val="center"/>
          </w:tcPr>
          <w:p w14:paraId="1B9BE7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8.85</w:t>
            </w:r>
          </w:p>
        </w:tc>
        <w:tc>
          <w:tcPr>
            <w:tcW w:w="425" w:type="pct"/>
            <w:tcBorders>
              <w:tl2br w:val="nil"/>
              <w:tr2bl w:val="nil"/>
            </w:tcBorders>
            <w:vAlign w:val="center"/>
          </w:tcPr>
          <w:p w14:paraId="08D031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8.72</w:t>
            </w:r>
          </w:p>
        </w:tc>
        <w:tc>
          <w:tcPr>
            <w:tcW w:w="445" w:type="pct"/>
            <w:tcBorders>
              <w:tl2br w:val="nil"/>
              <w:tr2bl w:val="nil"/>
            </w:tcBorders>
            <w:vAlign w:val="center"/>
          </w:tcPr>
          <w:p w14:paraId="25A458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8.79</w:t>
            </w:r>
          </w:p>
        </w:tc>
        <w:tc>
          <w:tcPr>
            <w:tcW w:w="487" w:type="pct"/>
            <w:tcBorders>
              <w:tl2br w:val="nil"/>
              <w:tr2bl w:val="nil"/>
            </w:tcBorders>
            <w:vAlign w:val="center"/>
          </w:tcPr>
          <w:p w14:paraId="44CAFB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8.90</w:t>
            </w:r>
          </w:p>
        </w:tc>
        <w:tc>
          <w:tcPr>
            <w:tcW w:w="1355" w:type="pct"/>
            <w:tcBorders>
              <w:tl2br w:val="nil"/>
              <w:tr2bl w:val="nil"/>
            </w:tcBorders>
            <w:vAlign w:val="center"/>
          </w:tcPr>
          <w:p w14:paraId="75FBFB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252EC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60720C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铜</w:t>
            </w:r>
          </w:p>
        </w:tc>
        <w:tc>
          <w:tcPr>
            <w:tcW w:w="348" w:type="pct"/>
            <w:tcBorders>
              <w:tl2br w:val="nil"/>
              <w:tr2bl w:val="nil"/>
            </w:tcBorders>
            <w:vAlign w:val="center"/>
          </w:tcPr>
          <w:p w14:paraId="2BA78B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mg/kg</w:t>
            </w:r>
          </w:p>
        </w:tc>
        <w:tc>
          <w:tcPr>
            <w:tcW w:w="2208" w:type="dxa"/>
            <w:tcBorders>
              <w:tl2br w:val="nil"/>
              <w:tr2bl w:val="nil"/>
            </w:tcBorders>
            <w:vAlign w:val="center"/>
          </w:tcPr>
          <w:p w14:paraId="1913DD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779" w:type="pct"/>
            <w:tcBorders>
              <w:tl2br w:val="nil"/>
              <w:tr2bl w:val="nil"/>
            </w:tcBorders>
            <w:vAlign w:val="center"/>
          </w:tcPr>
          <w:p w14:paraId="3BCEAC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425" w:type="pct"/>
            <w:tcBorders>
              <w:tl2br w:val="nil"/>
              <w:tr2bl w:val="nil"/>
            </w:tcBorders>
            <w:shd w:val="clear" w:color="auto" w:fill="auto"/>
            <w:vAlign w:val="center"/>
          </w:tcPr>
          <w:p w14:paraId="7760C2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445" w:type="pct"/>
            <w:tcBorders>
              <w:tl2br w:val="nil"/>
              <w:tr2bl w:val="nil"/>
            </w:tcBorders>
            <w:vAlign w:val="center"/>
          </w:tcPr>
          <w:p w14:paraId="18D7CE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487" w:type="pct"/>
            <w:tcBorders>
              <w:tl2br w:val="nil"/>
              <w:tr2bl w:val="nil"/>
            </w:tcBorders>
            <w:vAlign w:val="center"/>
          </w:tcPr>
          <w:p w14:paraId="5D7EA3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1355" w:type="pct"/>
            <w:tcBorders>
              <w:tl2br w:val="nil"/>
              <w:tr2bl w:val="nil"/>
            </w:tcBorders>
            <w:shd w:val="clear" w:color="auto" w:fill="auto"/>
            <w:vAlign w:val="center"/>
          </w:tcPr>
          <w:p w14:paraId="5717DC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w:t>
            </w:r>
          </w:p>
        </w:tc>
      </w:tr>
      <w:tr w14:paraId="1833F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536AD5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砷</w:t>
            </w:r>
          </w:p>
        </w:tc>
        <w:tc>
          <w:tcPr>
            <w:tcW w:w="348" w:type="pct"/>
            <w:tcBorders>
              <w:tl2br w:val="nil"/>
              <w:tr2bl w:val="nil"/>
            </w:tcBorders>
            <w:vAlign w:val="center"/>
          </w:tcPr>
          <w:p w14:paraId="104C09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mg/kg</w:t>
            </w:r>
          </w:p>
        </w:tc>
        <w:tc>
          <w:tcPr>
            <w:tcW w:w="2208" w:type="dxa"/>
            <w:tcBorders>
              <w:tl2br w:val="nil"/>
              <w:tr2bl w:val="nil"/>
            </w:tcBorders>
            <w:vAlign w:val="center"/>
          </w:tcPr>
          <w:p w14:paraId="0AC598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12.4</w:t>
            </w:r>
          </w:p>
        </w:tc>
        <w:tc>
          <w:tcPr>
            <w:tcW w:w="779" w:type="pct"/>
            <w:tcBorders>
              <w:tl2br w:val="nil"/>
              <w:tr2bl w:val="nil"/>
            </w:tcBorders>
            <w:vAlign w:val="center"/>
          </w:tcPr>
          <w:p w14:paraId="785E1F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12.4</w:t>
            </w:r>
          </w:p>
        </w:tc>
        <w:tc>
          <w:tcPr>
            <w:tcW w:w="425" w:type="pct"/>
            <w:tcBorders>
              <w:tl2br w:val="nil"/>
              <w:tr2bl w:val="nil"/>
            </w:tcBorders>
            <w:shd w:val="clear" w:color="auto" w:fill="auto"/>
            <w:vAlign w:val="center"/>
          </w:tcPr>
          <w:p w14:paraId="21DB0B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14.2</w:t>
            </w:r>
          </w:p>
        </w:tc>
        <w:tc>
          <w:tcPr>
            <w:tcW w:w="445" w:type="pct"/>
            <w:tcBorders>
              <w:tl2br w:val="nil"/>
              <w:tr2bl w:val="nil"/>
            </w:tcBorders>
            <w:vAlign w:val="center"/>
          </w:tcPr>
          <w:p w14:paraId="248B63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12.7</w:t>
            </w:r>
          </w:p>
        </w:tc>
        <w:tc>
          <w:tcPr>
            <w:tcW w:w="487" w:type="pct"/>
            <w:tcBorders>
              <w:tl2br w:val="nil"/>
              <w:tr2bl w:val="nil"/>
            </w:tcBorders>
            <w:vAlign w:val="center"/>
          </w:tcPr>
          <w:p w14:paraId="7480B9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w:t>
            </w:r>
          </w:p>
        </w:tc>
        <w:tc>
          <w:tcPr>
            <w:tcW w:w="1355" w:type="pct"/>
            <w:tcBorders>
              <w:tl2br w:val="nil"/>
              <w:tr2bl w:val="nil"/>
            </w:tcBorders>
            <w:shd w:val="clear" w:color="auto" w:fill="auto"/>
            <w:vAlign w:val="center"/>
          </w:tcPr>
          <w:p w14:paraId="777F2F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r>
      <w:tr w14:paraId="4535A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3EF739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镉</w:t>
            </w:r>
          </w:p>
        </w:tc>
        <w:tc>
          <w:tcPr>
            <w:tcW w:w="348" w:type="pct"/>
            <w:tcBorders>
              <w:tl2br w:val="nil"/>
              <w:tr2bl w:val="nil"/>
            </w:tcBorders>
            <w:vAlign w:val="center"/>
          </w:tcPr>
          <w:p w14:paraId="37B94E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g/kg</w:t>
            </w:r>
          </w:p>
        </w:tc>
        <w:tc>
          <w:tcPr>
            <w:tcW w:w="2208" w:type="dxa"/>
            <w:tcBorders>
              <w:tl2br w:val="nil"/>
              <w:tr2bl w:val="nil"/>
            </w:tcBorders>
            <w:vAlign w:val="center"/>
          </w:tcPr>
          <w:p w14:paraId="6AEA92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w:t>
            </w:r>
          </w:p>
        </w:tc>
        <w:tc>
          <w:tcPr>
            <w:tcW w:w="779" w:type="pct"/>
            <w:tcBorders>
              <w:tl2br w:val="nil"/>
              <w:tr2bl w:val="nil"/>
            </w:tcBorders>
            <w:vAlign w:val="center"/>
          </w:tcPr>
          <w:p w14:paraId="44000B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p>
        </w:tc>
        <w:tc>
          <w:tcPr>
            <w:tcW w:w="425" w:type="pct"/>
            <w:tcBorders>
              <w:tl2br w:val="nil"/>
              <w:tr2bl w:val="nil"/>
            </w:tcBorders>
            <w:shd w:val="clear" w:color="auto" w:fill="auto"/>
            <w:vAlign w:val="center"/>
          </w:tcPr>
          <w:p w14:paraId="3A596D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w:t>
            </w:r>
          </w:p>
        </w:tc>
        <w:tc>
          <w:tcPr>
            <w:tcW w:w="445" w:type="pct"/>
            <w:tcBorders>
              <w:tl2br w:val="nil"/>
              <w:tr2bl w:val="nil"/>
            </w:tcBorders>
            <w:vAlign w:val="center"/>
          </w:tcPr>
          <w:p w14:paraId="3751A3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w:t>
            </w:r>
          </w:p>
        </w:tc>
        <w:tc>
          <w:tcPr>
            <w:tcW w:w="487" w:type="pct"/>
            <w:tcBorders>
              <w:tl2br w:val="nil"/>
              <w:tr2bl w:val="nil"/>
            </w:tcBorders>
            <w:vAlign w:val="center"/>
          </w:tcPr>
          <w:p w14:paraId="03A57C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w:t>
            </w:r>
          </w:p>
        </w:tc>
        <w:tc>
          <w:tcPr>
            <w:tcW w:w="1355" w:type="pct"/>
            <w:tcBorders>
              <w:tl2br w:val="nil"/>
              <w:tr2bl w:val="nil"/>
            </w:tcBorders>
            <w:shd w:val="clear" w:color="auto" w:fill="auto"/>
            <w:vAlign w:val="center"/>
          </w:tcPr>
          <w:p w14:paraId="5D4F81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w:t>
            </w:r>
          </w:p>
        </w:tc>
      </w:tr>
      <w:tr w14:paraId="7D2B4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51695B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铅</w:t>
            </w:r>
          </w:p>
        </w:tc>
        <w:tc>
          <w:tcPr>
            <w:tcW w:w="348" w:type="pct"/>
            <w:tcBorders>
              <w:tl2br w:val="nil"/>
              <w:tr2bl w:val="nil"/>
            </w:tcBorders>
            <w:vAlign w:val="center"/>
          </w:tcPr>
          <w:p w14:paraId="5EE153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mg/kg</w:t>
            </w:r>
          </w:p>
        </w:tc>
        <w:tc>
          <w:tcPr>
            <w:tcW w:w="2208" w:type="dxa"/>
            <w:tcBorders>
              <w:tl2br w:val="nil"/>
              <w:tr2bl w:val="nil"/>
            </w:tcBorders>
            <w:vAlign w:val="center"/>
          </w:tcPr>
          <w:p w14:paraId="16C832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c>
          <w:tcPr>
            <w:tcW w:w="779" w:type="pct"/>
            <w:tcBorders>
              <w:tl2br w:val="nil"/>
              <w:tr2bl w:val="nil"/>
            </w:tcBorders>
            <w:vAlign w:val="center"/>
          </w:tcPr>
          <w:p w14:paraId="3F2377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425" w:type="pct"/>
            <w:tcBorders>
              <w:tl2br w:val="nil"/>
              <w:tr2bl w:val="nil"/>
            </w:tcBorders>
            <w:shd w:val="clear" w:color="auto" w:fill="auto"/>
            <w:vAlign w:val="center"/>
          </w:tcPr>
          <w:p w14:paraId="516C43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445" w:type="pct"/>
            <w:tcBorders>
              <w:tl2br w:val="nil"/>
              <w:tr2bl w:val="nil"/>
            </w:tcBorders>
            <w:vAlign w:val="center"/>
          </w:tcPr>
          <w:p w14:paraId="510DDC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487" w:type="pct"/>
            <w:tcBorders>
              <w:tl2br w:val="nil"/>
              <w:tr2bl w:val="nil"/>
            </w:tcBorders>
            <w:vAlign w:val="center"/>
          </w:tcPr>
          <w:p w14:paraId="6EC45F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355" w:type="pct"/>
            <w:tcBorders>
              <w:tl2br w:val="nil"/>
              <w:tr2bl w:val="nil"/>
            </w:tcBorders>
            <w:shd w:val="clear" w:color="auto" w:fill="auto"/>
            <w:vAlign w:val="center"/>
          </w:tcPr>
          <w:p w14:paraId="45E16D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170</w:t>
            </w:r>
          </w:p>
        </w:tc>
      </w:tr>
      <w:tr w14:paraId="3E3D8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35D81A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镍</w:t>
            </w:r>
          </w:p>
        </w:tc>
        <w:tc>
          <w:tcPr>
            <w:tcW w:w="348" w:type="pct"/>
            <w:tcBorders>
              <w:tl2br w:val="nil"/>
              <w:tr2bl w:val="nil"/>
            </w:tcBorders>
            <w:shd w:val="clear" w:color="auto" w:fill="auto"/>
            <w:vAlign w:val="center"/>
          </w:tcPr>
          <w:p w14:paraId="6E40E6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mg/kg</w:t>
            </w:r>
          </w:p>
        </w:tc>
        <w:tc>
          <w:tcPr>
            <w:tcW w:w="2208" w:type="dxa"/>
            <w:tcBorders>
              <w:tl2br w:val="nil"/>
              <w:tr2bl w:val="nil"/>
            </w:tcBorders>
            <w:vAlign w:val="center"/>
          </w:tcPr>
          <w:p w14:paraId="5D4404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0.0199</w:t>
            </w:r>
          </w:p>
        </w:tc>
        <w:tc>
          <w:tcPr>
            <w:tcW w:w="779" w:type="pct"/>
            <w:tcBorders>
              <w:tl2br w:val="nil"/>
              <w:tr2bl w:val="nil"/>
            </w:tcBorders>
            <w:vAlign w:val="center"/>
          </w:tcPr>
          <w:p w14:paraId="05D4C1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425" w:type="pct"/>
            <w:tcBorders>
              <w:tl2br w:val="nil"/>
              <w:tr2bl w:val="nil"/>
            </w:tcBorders>
            <w:vAlign w:val="center"/>
          </w:tcPr>
          <w:p w14:paraId="598E07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w:t>
            </w:r>
          </w:p>
        </w:tc>
        <w:tc>
          <w:tcPr>
            <w:tcW w:w="445" w:type="pct"/>
            <w:tcBorders>
              <w:tl2br w:val="nil"/>
              <w:tr2bl w:val="nil"/>
            </w:tcBorders>
            <w:vAlign w:val="center"/>
          </w:tcPr>
          <w:p w14:paraId="56AA11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487" w:type="pct"/>
            <w:tcBorders>
              <w:tl2br w:val="nil"/>
              <w:tr2bl w:val="nil"/>
            </w:tcBorders>
            <w:vAlign w:val="center"/>
          </w:tcPr>
          <w:p w14:paraId="1CB4DC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w:t>
            </w:r>
          </w:p>
        </w:tc>
        <w:tc>
          <w:tcPr>
            <w:tcW w:w="1355" w:type="pct"/>
            <w:tcBorders>
              <w:tl2br w:val="nil"/>
              <w:tr2bl w:val="nil"/>
            </w:tcBorders>
            <w:shd w:val="clear" w:color="auto" w:fill="auto"/>
            <w:vAlign w:val="center"/>
          </w:tcPr>
          <w:p w14:paraId="248D3D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w:t>
            </w:r>
          </w:p>
        </w:tc>
      </w:tr>
      <w:tr w14:paraId="6D71C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640755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铬</w:t>
            </w:r>
          </w:p>
        </w:tc>
        <w:tc>
          <w:tcPr>
            <w:tcW w:w="348" w:type="pct"/>
            <w:tcBorders>
              <w:tl2br w:val="nil"/>
              <w:tr2bl w:val="nil"/>
            </w:tcBorders>
            <w:shd w:val="clear" w:color="auto" w:fill="auto"/>
            <w:vAlign w:val="center"/>
          </w:tcPr>
          <w:p w14:paraId="3A7D03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mg/kg</w:t>
            </w:r>
          </w:p>
        </w:tc>
        <w:tc>
          <w:tcPr>
            <w:tcW w:w="2208" w:type="dxa"/>
            <w:tcBorders>
              <w:tl2br w:val="nil"/>
              <w:tr2bl w:val="nil"/>
            </w:tcBorders>
            <w:vAlign w:val="center"/>
          </w:tcPr>
          <w:p w14:paraId="22E8DF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779" w:type="pct"/>
            <w:tcBorders>
              <w:tl2br w:val="nil"/>
              <w:tr2bl w:val="nil"/>
            </w:tcBorders>
            <w:vAlign w:val="center"/>
          </w:tcPr>
          <w:p w14:paraId="309D85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425" w:type="pct"/>
            <w:tcBorders>
              <w:tl2br w:val="nil"/>
              <w:tr2bl w:val="nil"/>
            </w:tcBorders>
            <w:vAlign w:val="center"/>
          </w:tcPr>
          <w:p w14:paraId="695916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445" w:type="pct"/>
            <w:tcBorders>
              <w:tl2br w:val="nil"/>
              <w:tr2bl w:val="nil"/>
            </w:tcBorders>
            <w:vAlign w:val="center"/>
          </w:tcPr>
          <w:p w14:paraId="494A00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487" w:type="pct"/>
            <w:tcBorders>
              <w:tl2br w:val="nil"/>
              <w:tr2bl w:val="nil"/>
            </w:tcBorders>
            <w:vAlign w:val="center"/>
          </w:tcPr>
          <w:p w14:paraId="047377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w:t>
            </w:r>
          </w:p>
        </w:tc>
        <w:tc>
          <w:tcPr>
            <w:tcW w:w="1355" w:type="pct"/>
            <w:tcBorders>
              <w:tl2br w:val="nil"/>
              <w:tr2bl w:val="nil"/>
            </w:tcBorders>
            <w:shd w:val="clear" w:color="auto" w:fill="auto"/>
            <w:vAlign w:val="center"/>
          </w:tcPr>
          <w:p w14:paraId="54FC51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r>
      <w:tr w14:paraId="44D35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3426E1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锌</w:t>
            </w:r>
          </w:p>
        </w:tc>
        <w:tc>
          <w:tcPr>
            <w:tcW w:w="348" w:type="pct"/>
            <w:tcBorders>
              <w:tl2br w:val="nil"/>
              <w:tr2bl w:val="nil"/>
            </w:tcBorders>
            <w:shd w:val="clear" w:color="auto" w:fill="auto"/>
            <w:vAlign w:val="center"/>
          </w:tcPr>
          <w:p w14:paraId="39576E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mg/kg</w:t>
            </w:r>
          </w:p>
        </w:tc>
        <w:tc>
          <w:tcPr>
            <w:tcW w:w="2208" w:type="dxa"/>
            <w:tcBorders>
              <w:tl2br w:val="nil"/>
              <w:tr2bl w:val="nil"/>
            </w:tcBorders>
            <w:vAlign w:val="center"/>
          </w:tcPr>
          <w:p w14:paraId="59CE1A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c>
          <w:tcPr>
            <w:tcW w:w="779" w:type="pct"/>
            <w:tcBorders>
              <w:tl2br w:val="nil"/>
              <w:tr2bl w:val="nil"/>
            </w:tcBorders>
            <w:vAlign w:val="center"/>
          </w:tcPr>
          <w:p w14:paraId="0E8265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425" w:type="pct"/>
            <w:tcBorders>
              <w:tl2br w:val="nil"/>
              <w:tr2bl w:val="nil"/>
            </w:tcBorders>
            <w:vAlign w:val="center"/>
          </w:tcPr>
          <w:p w14:paraId="0AF411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w:t>
            </w:r>
          </w:p>
        </w:tc>
        <w:tc>
          <w:tcPr>
            <w:tcW w:w="445" w:type="pct"/>
            <w:tcBorders>
              <w:tl2br w:val="nil"/>
              <w:tr2bl w:val="nil"/>
            </w:tcBorders>
            <w:vAlign w:val="center"/>
          </w:tcPr>
          <w:p w14:paraId="303CB6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c>
          <w:tcPr>
            <w:tcW w:w="487" w:type="pct"/>
            <w:tcBorders>
              <w:tl2br w:val="nil"/>
              <w:tr2bl w:val="nil"/>
            </w:tcBorders>
            <w:vAlign w:val="center"/>
          </w:tcPr>
          <w:p w14:paraId="33C09A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1355" w:type="pct"/>
            <w:tcBorders>
              <w:tl2br w:val="nil"/>
              <w:tr2bl w:val="nil"/>
            </w:tcBorders>
            <w:shd w:val="clear" w:color="auto" w:fill="auto"/>
            <w:vAlign w:val="center"/>
          </w:tcPr>
          <w:p w14:paraId="3306EB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r>
      <w:tr w14:paraId="4BFA3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shd w:val="clear" w:color="auto" w:fill="auto"/>
            <w:noWrap/>
            <w:vAlign w:val="center"/>
          </w:tcPr>
          <w:p w14:paraId="254A41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汞</w:t>
            </w:r>
          </w:p>
        </w:tc>
        <w:tc>
          <w:tcPr>
            <w:tcW w:w="348" w:type="pct"/>
            <w:tcBorders>
              <w:tl2br w:val="nil"/>
              <w:tr2bl w:val="nil"/>
            </w:tcBorders>
            <w:vAlign w:val="center"/>
          </w:tcPr>
          <w:p w14:paraId="05354B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mg/kg</w:t>
            </w:r>
          </w:p>
        </w:tc>
        <w:tc>
          <w:tcPr>
            <w:tcW w:w="2208" w:type="dxa"/>
            <w:tcBorders>
              <w:tl2br w:val="nil"/>
              <w:tr2bl w:val="nil"/>
            </w:tcBorders>
            <w:shd w:val="clear" w:color="auto" w:fill="auto"/>
            <w:vAlign w:val="center"/>
          </w:tcPr>
          <w:p w14:paraId="4770A3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w:t>
            </w:r>
          </w:p>
        </w:tc>
        <w:tc>
          <w:tcPr>
            <w:tcW w:w="779" w:type="pct"/>
            <w:tcBorders>
              <w:tl2br w:val="nil"/>
              <w:tr2bl w:val="nil"/>
            </w:tcBorders>
            <w:shd w:val="clear" w:color="auto" w:fill="auto"/>
            <w:vAlign w:val="center"/>
          </w:tcPr>
          <w:p w14:paraId="5D023A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0.0320</w:t>
            </w:r>
          </w:p>
        </w:tc>
        <w:tc>
          <w:tcPr>
            <w:tcW w:w="425" w:type="pct"/>
            <w:tcBorders>
              <w:tl2br w:val="nil"/>
              <w:tr2bl w:val="nil"/>
            </w:tcBorders>
            <w:shd w:val="clear" w:color="auto" w:fill="auto"/>
            <w:vAlign w:val="center"/>
          </w:tcPr>
          <w:p w14:paraId="436072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0.0224</w:t>
            </w:r>
          </w:p>
        </w:tc>
        <w:tc>
          <w:tcPr>
            <w:tcW w:w="445" w:type="pct"/>
            <w:tcBorders>
              <w:tl2br w:val="nil"/>
              <w:tr2bl w:val="nil"/>
            </w:tcBorders>
            <w:shd w:val="clear" w:color="auto" w:fill="auto"/>
            <w:vAlign w:val="center"/>
          </w:tcPr>
          <w:p w14:paraId="3579BC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0.0224</w:t>
            </w:r>
          </w:p>
        </w:tc>
        <w:tc>
          <w:tcPr>
            <w:tcW w:w="487" w:type="pct"/>
            <w:tcBorders>
              <w:tl2br w:val="nil"/>
              <w:tr2bl w:val="nil"/>
            </w:tcBorders>
            <w:shd w:val="clear" w:color="auto" w:fill="auto"/>
            <w:vAlign w:val="center"/>
          </w:tcPr>
          <w:p w14:paraId="562537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0.0211</w:t>
            </w:r>
          </w:p>
        </w:tc>
        <w:tc>
          <w:tcPr>
            <w:tcW w:w="1355" w:type="pct"/>
            <w:tcBorders>
              <w:tl2br w:val="nil"/>
              <w:tr2bl w:val="nil"/>
            </w:tcBorders>
            <w:shd w:val="clear" w:color="auto" w:fill="auto"/>
            <w:vAlign w:val="center"/>
          </w:tcPr>
          <w:p w14:paraId="0A94CB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w:t>
            </w:r>
          </w:p>
        </w:tc>
      </w:tr>
    </w:tbl>
    <w:p w14:paraId="31F4ABFA">
      <w:pPr>
        <w:numPr>
          <w:ilvl w:val="0"/>
          <w:numId w:val="6"/>
        </w:numPr>
        <w:bidi w:val="0"/>
        <w:ind w:left="0" w:leftChars="0" w:firstLine="480" w:firstLineChars="20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检测结果</w:t>
      </w:r>
    </w:p>
    <w:p w14:paraId="32ECF480">
      <w:pPr>
        <w:bidi w:val="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由下表5.4-3检测结果可知：</w:t>
      </w:r>
      <w:r>
        <w:rPr>
          <w:rFonts w:hint="eastAsia"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石</w:t>
      </w:r>
      <w:r>
        <w:rPr>
          <w:rFonts w:hint="eastAsia" w:ascii="Times New Roman" w:hAnsi="Times New Roman" w:eastAsia="宋体" w:cs="Times New Roman"/>
          <w:color w:val="auto"/>
          <w:sz w:val="24"/>
          <w:szCs w:val="24"/>
          <w:highlight w:val="none"/>
          <w:lang w:val="en-US" w:eastAsia="zh-CN"/>
        </w:rPr>
        <w:t>头崾岘水库底泥、茹河河道底泥及项目两侧土壤监测结果均满足</w:t>
      </w:r>
      <w:r>
        <w:rPr>
          <w:rFonts w:hint="default" w:ascii="Times New Roman" w:hAnsi="Times New Roman" w:eastAsia="宋体" w:cs="Times New Roman"/>
          <w:color w:val="auto"/>
          <w:sz w:val="24"/>
          <w:szCs w:val="24"/>
          <w:highlight w:val="none"/>
          <w:lang w:val="en-US" w:eastAsia="zh-CN"/>
        </w:rPr>
        <w:t>《土壤环境质量 农用地土壤污染风险管控标准（试行）》（GB15618-2018）表1限值</w:t>
      </w:r>
    </w:p>
    <w:p w14:paraId="62BFDDBF">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b w:val="0"/>
          <w:bCs w:val="0"/>
          <w:color w:val="auto"/>
          <w:sz w:val="24"/>
          <w:szCs w:val="24"/>
          <w:highlight w:val="none"/>
          <w:lang w:val="en-US" w:eastAsia="zh-CN"/>
        </w:rPr>
      </w:pPr>
    </w:p>
    <w:p w14:paraId="2CA4FA30">
      <w:pPr>
        <w:pStyle w:val="41"/>
        <w:outlineLvl w:val="9"/>
        <w:rPr>
          <w:rFonts w:hint="default" w:ascii="Times New Roman" w:hAnsi="Times New Roman" w:cs="Times New Roman"/>
          <w:color w:val="auto"/>
          <w:highlight w:val="none"/>
          <w:lang w:val="en-US" w:eastAsia="zh-CN"/>
        </w:rPr>
        <w:sectPr>
          <w:pgSz w:w="16840" w:h="11910" w:orient="landscape"/>
          <w:pgMar w:top="1800" w:right="1440" w:bottom="1800" w:left="144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14:paraId="563B6EEA">
      <w:pPr>
        <w:pStyle w:val="4"/>
        <w:bidi w:val="0"/>
        <w:rPr>
          <w:rFonts w:hint="default" w:ascii="Times New Roman" w:hAnsi="Times New Roman" w:cs="Times New Roman"/>
          <w:color w:val="auto"/>
          <w:sz w:val="28"/>
          <w:szCs w:val="28"/>
          <w:highlight w:val="none"/>
          <w:lang w:val="en-US" w:eastAsia="zh-CN"/>
        </w:rPr>
      </w:pPr>
      <w:bookmarkStart w:id="4366" w:name="_Toc12929"/>
      <w:bookmarkStart w:id="4367" w:name="_Toc11208"/>
      <w:bookmarkStart w:id="4368" w:name="_Toc14311"/>
      <w:bookmarkStart w:id="4369" w:name="_Toc32014"/>
      <w:r>
        <w:rPr>
          <w:rFonts w:hint="default" w:ascii="Times New Roman" w:hAnsi="Times New Roman" w:cs="Times New Roman"/>
          <w:color w:val="auto"/>
          <w:sz w:val="28"/>
          <w:szCs w:val="28"/>
          <w:highlight w:val="none"/>
          <w:lang w:val="en-US" w:eastAsia="zh-CN"/>
        </w:rPr>
        <w:t>5.5声环境质量现状评价</w:t>
      </w:r>
      <w:bookmarkEnd w:id="4366"/>
      <w:bookmarkEnd w:id="4367"/>
      <w:bookmarkEnd w:id="4368"/>
      <w:bookmarkEnd w:id="4369"/>
      <w:r>
        <w:rPr>
          <w:rFonts w:hint="default" w:ascii="Times New Roman" w:hAnsi="Times New Roman" w:cs="Times New Roman"/>
          <w:color w:val="auto"/>
          <w:sz w:val="28"/>
          <w:szCs w:val="28"/>
          <w:highlight w:val="none"/>
          <w:lang w:val="en-US" w:eastAsia="zh-CN"/>
        </w:rPr>
        <w:t xml:space="preserve"> </w:t>
      </w:r>
    </w:p>
    <w:p w14:paraId="4FDC2F4E">
      <w:pPr>
        <w:spacing w:line="360" w:lineRule="auto"/>
        <w:ind w:firstLine="480" w:firstLineChars="200"/>
        <w:jc w:val="left"/>
        <w:outlineLvl w:val="9"/>
        <w:rPr>
          <w:rFonts w:hint="default" w:ascii="Times New Roman" w:hAnsi="Times New Roman" w:cs="Times New Roman"/>
          <w:snapToGrid w:val="0"/>
          <w:color w:val="auto"/>
          <w:sz w:val="24"/>
          <w:szCs w:val="24"/>
          <w:highlight w:val="none"/>
        </w:rPr>
      </w:pPr>
      <w:r>
        <w:rPr>
          <w:rFonts w:hint="eastAsia" w:cs="Times New Roman"/>
          <w:snapToGrid w:val="0"/>
          <w:color w:val="auto"/>
          <w:sz w:val="24"/>
          <w:szCs w:val="24"/>
          <w:highlight w:val="none"/>
          <w:lang w:eastAsia="zh-CN"/>
        </w:rPr>
        <w:t>本工程</w:t>
      </w:r>
      <w:r>
        <w:rPr>
          <w:rFonts w:hint="default" w:ascii="Times New Roman" w:hAnsi="Times New Roman" w:cs="Times New Roman"/>
          <w:snapToGrid w:val="0"/>
          <w:color w:val="auto"/>
          <w:sz w:val="24"/>
          <w:szCs w:val="24"/>
          <w:highlight w:val="none"/>
        </w:rPr>
        <w:t>声环境质量现状委托</w:t>
      </w:r>
      <w:r>
        <w:rPr>
          <w:rFonts w:hint="default" w:ascii="Times New Roman" w:hAnsi="Times New Roman" w:cs="Times New Roman"/>
          <w:color w:val="auto"/>
          <w:sz w:val="24"/>
          <w:szCs w:val="24"/>
          <w:highlight w:val="none"/>
          <w:lang w:val="en-US" w:eastAsia="zh-CN"/>
        </w:rPr>
        <w:t>宁夏泽瑞隆环保技术有限公司</w:t>
      </w:r>
      <w:r>
        <w:rPr>
          <w:rFonts w:hint="default" w:ascii="Times New Roman" w:hAnsi="Times New Roman" w:cs="Times New Roman"/>
          <w:color w:val="auto"/>
          <w:sz w:val="24"/>
          <w:szCs w:val="24"/>
          <w:highlight w:val="none"/>
        </w:rPr>
        <w:t>于202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月</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日</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202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年1</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月9日进行现场监测，每天昼夜各1次，监测时间均为20min。</w:t>
      </w:r>
    </w:p>
    <w:p w14:paraId="5A5633B6">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（1）监测因子</w:t>
      </w:r>
    </w:p>
    <w:p w14:paraId="1A8B2578">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等效连续A声级。</w:t>
      </w:r>
    </w:p>
    <w:p w14:paraId="4F53EC8A">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（2）监测时间及频次</w:t>
      </w:r>
    </w:p>
    <w:p w14:paraId="1B72D585">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color w:val="auto"/>
          <w:sz w:val="24"/>
          <w:szCs w:val="24"/>
          <w:highlight w:val="none"/>
        </w:rPr>
        <w:t>202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月</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日</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202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年1</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月9日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snapToGrid w:val="0"/>
          <w:color w:val="auto"/>
          <w:sz w:val="24"/>
          <w:szCs w:val="24"/>
          <w:highlight w:val="none"/>
        </w:rPr>
        <w:t>连续监测2天</w:t>
      </w:r>
    </w:p>
    <w:p w14:paraId="57F51E5F">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监测频次：每天昼、夜间各监测一次。</w:t>
      </w:r>
    </w:p>
    <w:p w14:paraId="4C1EA1DE">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（3）监测点位</w:t>
      </w:r>
    </w:p>
    <w:p w14:paraId="313745D7">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color w:val="auto"/>
          <w:sz w:val="24"/>
          <w:szCs w:val="24"/>
          <w:highlight w:val="none"/>
        </w:rPr>
        <w:t>项目在</w:t>
      </w:r>
      <w:r>
        <w:rPr>
          <w:rFonts w:hint="eastAsia" w:cs="Times New Roman"/>
          <w:color w:val="auto"/>
          <w:sz w:val="24"/>
          <w:szCs w:val="24"/>
          <w:highlight w:val="none"/>
          <w:lang w:val="en-US" w:eastAsia="zh-CN"/>
        </w:rPr>
        <w:t>河道沿岸敏感点布设噪声监测点位，共布设14处</w:t>
      </w:r>
      <w:r>
        <w:rPr>
          <w:rFonts w:hint="default" w:ascii="Times New Roman" w:hAnsi="Times New Roman" w:cs="Times New Roman"/>
          <w:snapToGrid w:val="0"/>
          <w:color w:val="auto"/>
          <w:sz w:val="24"/>
          <w:szCs w:val="24"/>
          <w:highlight w:val="none"/>
        </w:rPr>
        <w:t>。</w:t>
      </w:r>
    </w:p>
    <w:p w14:paraId="3EAE7582">
      <w:pPr>
        <w:pStyle w:val="2"/>
        <w:outlineLvl w:val="9"/>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表5.5-1  噪声</w:t>
      </w:r>
      <w:r>
        <w:rPr>
          <w:rFonts w:hint="eastAsia" w:cs="Times New Roman"/>
          <w:b/>
          <w:bCs/>
          <w:color w:val="auto"/>
          <w:sz w:val="24"/>
          <w:szCs w:val="24"/>
          <w:highlight w:val="none"/>
          <w:lang w:val="en-US" w:eastAsia="zh-CN"/>
        </w:rPr>
        <w:t>监测点位</w:t>
      </w:r>
      <w:r>
        <w:rPr>
          <w:rFonts w:hint="default" w:ascii="Times New Roman" w:hAnsi="Times New Roman" w:eastAsia="宋体" w:cs="Times New Roman"/>
          <w:b/>
          <w:bCs/>
          <w:color w:val="auto"/>
          <w:sz w:val="24"/>
          <w:szCs w:val="24"/>
          <w:highlight w:val="none"/>
          <w:lang w:val="en-US" w:eastAsia="zh-CN"/>
        </w:rPr>
        <w:t>一览表</w:t>
      </w:r>
    </w:p>
    <w:tbl>
      <w:tblPr>
        <w:tblStyle w:val="31"/>
        <w:tblW w:w="87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3753"/>
        <w:gridCol w:w="2072"/>
        <w:gridCol w:w="1708"/>
      </w:tblGrid>
      <w:tr w14:paraId="2D29A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6C3D47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编号</w:t>
            </w:r>
          </w:p>
        </w:tc>
        <w:tc>
          <w:tcPr>
            <w:tcW w:w="3753" w:type="dxa"/>
            <w:noWrap w:val="0"/>
            <w:vAlign w:val="center"/>
          </w:tcPr>
          <w:p w14:paraId="18E1F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检测点名称</w:t>
            </w:r>
          </w:p>
        </w:tc>
        <w:tc>
          <w:tcPr>
            <w:tcW w:w="2072" w:type="dxa"/>
            <w:noWrap w:val="0"/>
            <w:vAlign w:val="center"/>
          </w:tcPr>
          <w:p w14:paraId="027C6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检测项目</w:t>
            </w:r>
          </w:p>
        </w:tc>
        <w:tc>
          <w:tcPr>
            <w:tcW w:w="1708" w:type="dxa"/>
            <w:noWrap w:val="0"/>
            <w:vAlign w:val="center"/>
          </w:tcPr>
          <w:p w14:paraId="1AE67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检测频次</w:t>
            </w:r>
          </w:p>
        </w:tc>
      </w:tr>
      <w:tr w14:paraId="17ED8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4D422D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vertAlign w:val="superscript"/>
                <w:lang w:val="en-US" w:eastAsia="zh-CN"/>
              </w:rPr>
              <w:t>#</w:t>
            </w:r>
          </w:p>
        </w:tc>
        <w:tc>
          <w:tcPr>
            <w:tcW w:w="3753" w:type="dxa"/>
            <w:noWrap w:val="0"/>
            <w:vAlign w:val="center"/>
          </w:tcPr>
          <w:p w14:paraId="47D0420A">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史崾蚬村</w:t>
            </w:r>
          </w:p>
        </w:tc>
        <w:tc>
          <w:tcPr>
            <w:tcW w:w="2072" w:type="dxa"/>
            <w:vMerge w:val="restart"/>
            <w:noWrap w:val="0"/>
            <w:vAlign w:val="center"/>
          </w:tcPr>
          <w:p w14:paraId="17D674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708" w:type="dxa"/>
            <w:vMerge w:val="restart"/>
            <w:noWrap w:val="0"/>
            <w:vAlign w:val="center"/>
          </w:tcPr>
          <w:p w14:paraId="0CCC0C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r>
              <w:rPr>
                <w:rFonts w:hint="default" w:ascii="Times New Roman" w:hAnsi="Times New Roman" w:eastAsia="宋体" w:cs="Times New Roman"/>
                <w:color w:val="auto"/>
                <w:sz w:val="21"/>
                <w:szCs w:val="21"/>
                <w:highlight w:val="none"/>
                <w:lang w:eastAsia="zh-CN"/>
              </w:rPr>
              <w:t>检</w:t>
            </w:r>
            <w:r>
              <w:rPr>
                <w:rFonts w:hint="default" w:ascii="Times New Roman" w:hAnsi="Times New Roman" w:eastAsia="宋体" w:cs="Times New Roman"/>
                <w:color w:val="auto"/>
                <w:sz w:val="21"/>
                <w:szCs w:val="21"/>
                <w:highlight w:val="none"/>
              </w:rPr>
              <w:t>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r>
              <w:rPr>
                <w:rFonts w:hint="default" w:ascii="Times New Roman" w:hAnsi="Times New Roman" w:eastAsia="宋体" w:cs="Times New Roman"/>
                <w:color w:val="auto"/>
                <w:sz w:val="21"/>
                <w:szCs w:val="21"/>
                <w:highlight w:val="none"/>
                <w:lang w:eastAsia="zh-CN"/>
              </w:rPr>
              <w:t>昼夜各</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p>
        </w:tc>
      </w:tr>
      <w:tr w14:paraId="1FDA4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7FD80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vertAlign w:val="superscript"/>
                <w:lang w:val="en-US" w:eastAsia="zh-CN"/>
              </w:rPr>
              <w:t>#</w:t>
            </w:r>
          </w:p>
        </w:tc>
        <w:tc>
          <w:tcPr>
            <w:tcW w:w="3753" w:type="dxa"/>
            <w:noWrap w:val="0"/>
            <w:vAlign w:val="center"/>
          </w:tcPr>
          <w:p w14:paraId="568B454A">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李洼村</w:t>
            </w:r>
          </w:p>
        </w:tc>
        <w:tc>
          <w:tcPr>
            <w:tcW w:w="2072" w:type="dxa"/>
            <w:vMerge w:val="continue"/>
            <w:noWrap w:val="0"/>
            <w:vAlign w:val="center"/>
          </w:tcPr>
          <w:p w14:paraId="3F233C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5D01FC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221E4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0284A4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vertAlign w:val="superscript"/>
                <w:lang w:val="en-US" w:eastAsia="zh-CN"/>
              </w:rPr>
              <w:t>#</w:t>
            </w:r>
          </w:p>
        </w:tc>
        <w:tc>
          <w:tcPr>
            <w:tcW w:w="3753" w:type="dxa"/>
            <w:noWrap w:val="0"/>
            <w:vAlign w:val="center"/>
          </w:tcPr>
          <w:p w14:paraId="30AB9447">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罗堡村</w:t>
            </w:r>
          </w:p>
        </w:tc>
        <w:tc>
          <w:tcPr>
            <w:tcW w:w="2072" w:type="dxa"/>
            <w:vMerge w:val="continue"/>
            <w:noWrap w:val="0"/>
            <w:vAlign w:val="center"/>
          </w:tcPr>
          <w:p w14:paraId="1BED30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79CC3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5A268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10283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vertAlign w:val="superscript"/>
                <w:lang w:val="en-US" w:eastAsia="zh-CN"/>
              </w:rPr>
              <w:t>#</w:t>
            </w:r>
          </w:p>
        </w:tc>
        <w:tc>
          <w:tcPr>
            <w:tcW w:w="3753" w:type="dxa"/>
            <w:noWrap w:val="0"/>
            <w:vAlign w:val="center"/>
          </w:tcPr>
          <w:p w14:paraId="23CED89A">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沙河村</w:t>
            </w:r>
          </w:p>
        </w:tc>
        <w:tc>
          <w:tcPr>
            <w:tcW w:w="2072" w:type="dxa"/>
            <w:vMerge w:val="continue"/>
            <w:noWrap w:val="0"/>
            <w:vAlign w:val="center"/>
          </w:tcPr>
          <w:p w14:paraId="4BCAE2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4EF5D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446B9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2E187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vertAlign w:val="superscript"/>
                <w:lang w:val="en-US" w:eastAsia="zh-CN"/>
              </w:rPr>
              <w:t>#</w:t>
            </w:r>
          </w:p>
        </w:tc>
        <w:tc>
          <w:tcPr>
            <w:tcW w:w="3753" w:type="dxa"/>
            <w:noWrap w:val="0"/>
            <w:vAlign w:val="center"/>
          </w:tcPr>
          <w:p w14:paraId="64FACEA6">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袁穆公路两侧居民区</w:t>
            </w:r>
          </w:p>
        </w:tc>
        <w:tc>
          <w:tcPr>
            <w:tcW w:w="2072" w:type="dxa"/>
            <w:vMerge w:val="continue"/>
            <w:noWrap w:val="0"/>
            <w:vAlign w:val="center"/>
          </w:tcPr>
          <w:p w14:paraId="41EB56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0CE9C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07D70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742ECA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r>
              <w:rPr>
                <w:rFonts w:hint="eastAsia" w:cs="Times New Roman"/>
                <w:color w:val="auto"/>
                <w:sz w:val="21"/>
                <w:szCs w:val="21"/>
                <w:highlight w:val="none"/>
                <w:vertAlign w:val="superscript"/>
                <w:lang w:val="en-US" w:eastAsia="zh-CN"/>
              </w:rPr>
              <w:t>#</w:t>
            </w:r>
          </w:p>
        </w:tc>
        <w:tc>
          <w:tcPr>
            <w:tcW w:w="3753" w:type="dxa"/>
            <w:noWrap w:val="0"/>
            <w:vAlign w:val="center"/>
          </w:tcPr>
          <w:p w14:paraId="7301C86A">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郑庄村</w:t>
            </w:r>
          </w:p>
        </w:tc>
        <w:tc>
          <w:tcPr>
            <w:tcW w:w="2072" w:type="dxa"/>
            <w:vMerge w:val="continue"/>
            <w:noWrap w:val="0"/>
            <w:vAlign w:val="center"/>
          </w:tcPr>
          <w:p w14:paraId="6455DE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31CF97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083AE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7D3833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r>
              <w:rPr>
                <w:rFonts w:hint="eastAsia" w:cs="Times New Roman"/>
                <w:color w:val="auto"/>
                <w:sz w:val="21"/>
                <w:szCs w:val="21"/>
                <w:highlight w:val="none"/>
                <w:vertAlign w:val="superscript"/>
                <w:lang w:val="en-US" w:eastAsia="zh-CN"/>
              </w:rPr>
              <w:t>#</w:t>
            </w:r>
          </w:p>
        </w:tc>
        <w:tc>
          <w:tcPr>
            <w:tcW w:w="3753" w:type="dxa"/>
            <w:noWrap w:val="0"/>
            <w:vAlign w:val="center"/>
          </w:tcPr>
          <w:p w14:paraId="4BC44407">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党沟村</w:t>
            </w:r>
          </w:p>
        </w:tc>
        <w:tc>
          <w:tcPr>
            <w:tcW w:w="2072" w:type="dxa"/>
            <w:vMerge w:val="continue"/>
            <w:noWrap w:val="0"/>
            <w:vAlign w:val="center"/>
          </w:tcPr>
          <w:p w14:paraId="4C1120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1997E0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18136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5D4AAB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r>
              <w:rPr>
                <w:rFonts w:hint="eastAsia" w:cs="Times New Roman"/>
                <w:color w:val="auto"/>
                <w:sz w:val="21"/>
                <w:szCs w:val="21"/>
                <w:highlight w:val="none"/>
                <w:vertAlign w:val="superscript"/>
                <w:lang w:val="en-US" w:eastAsia="zh-CN"/>
              </w:rPr>
              <w:t>#</w:t>
            </w:r>
          </w:p>
        </w:tc>
        <w:tc>
          <w:tcPr>
            <w:tcW w:w="3753" w:type="dxa"/>
            <w:noWrap w:val="0"/>
            <w:vAlign w:val="center"/>
          </w:tcPr>
          <w:p w14:paraId="6E7527C4">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田庄村</w:t>
            </w:r>
          </w:p>
        </w:tc>
        <w:tc>
          <w:tcPr>
            <w:tcW w:w="2072" w:type="dxa"/>
            <w:vMerge w:val="continue"/>
            <w:noWrap w:val="0"/>
            <w:vAlign w:val="center"/>
          </w:tcPr>
          <w:p w14:paraId="6A366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7BE12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1C3CE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354C08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r>
              <w:rPr>
                <w:rFonts w:hint="eastAsia" w:cs="Times New Roman"/>
                <w:color w:val="auto"/>
                <w:sz w:val="21"/>
                <w:szCs w:val="21"/>
                <w:highlight w:val="none"/>
                <w:vertAlign w:val="superscript"/>
                <w:lang w:val="en-US" w:eastAsia="zh-CN"/>
              </w:rPr>
              <w:t>#</w:t>
            </w:r>
          </w:p>
        </w:tc>
        <w:tc>
          <w:tcPr>
            <w:tcW w:w="3753" w:type="dxa"/>
            <w:noWrap w:val="0"/>
            <w:vAlign w:val="center"/>
          </w:tcPr>
          <w:p w14:paraId="596FCADA">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焦家湾村</w:t>
            </w:r>
          </w:p>
        </w:tc>
        <w:tc>
          <w:tcPr>
            <w:tcW w:w="2072" w:type="dxa"/>
            <w:vMerge w:val="continue"/>
            <w:noWrap w:val="0"/>
            <w:vAlign w:val="center"/>
          </w:tcPr>
          <w:p w14:paraId="181EFD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6FE758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0D3FE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shd w:val="clear" w:color="auto" w:fill="auto"/>
            <w:noWrap w:val="0"/>
            <w:vAlign w:val="center"/>
          </w:tcPr>
          <w:p w14:paraId="088CAA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w:t>
            </w:r>
          </w:p>
        </w:tc>
        <w:tc>
          <w:tcPr>
            <w:tcW w:w="3753" w:type="dxa"/>
            <w:noWrap w:val="0"/>
            <w:vAlign w:val="center"/>
          </w:tcPr>
          <w:p w14:paraId="7A10F376">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川口村</w:t>
            </w:r>
          </w:p>
        </w:tc>
        <w:tc>
          <w:tcPr>
            <w:tcW w:w="2072" w:type="dxa"/>
            <w:vMerge w:val="continue"/>
            <w:noWrap w:val="0"/>
            <w:vAlign w:val="center"/>
          </w:tcPr>
          <w:p w14:paraId="3663B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423CA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4AA51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shd w:val="clear" w:color="auto" w:fill="auto"/>
            <w:noWrap w:val="0"/>
            <w:vAlign w:val="center"/>
          </w:tcPr>
          <w:p w14:paraId="3BD50D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r>
              <w:rPr>
                <w:rFonts w:hint="eastAsia" w:cs="Times New Roman"/>
                <w:color w:val="auto"/>
                <w:sz w:val="21"/>
                <w:szCs w:val="21"/>
                <w:highlight w:val="none"/>
                <w:vertAlign w:val="superscript"/>
                <w:lang w:val="en-US" w:eastAsia="zh-CN"/>
              </w:rPr>
              <w:t>#</w:t>
            </w:r>
          </w:p>
        </w:tc>
        <w:tc>
          <w:tcPr>
            <w:tcW w:w="3753" w:type="dxa"/>
            <w:noWrap w:val="0"/>
            <w:vAlign w:val="center"/>
          </w:tcPr>
          <w:p w14:paraId="23189D45">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刘门沟村</w:t>
            </w:r>
          </w:p>
        </w:tc>
        <w:tc>
          <w:tcPr>
            <w:tcW w:w="2072" w:type="dxa"/>
            <w:vMerge w:val="continue"/>
            <w:noWrap w:val="0"/>
            <w:vAlign w:val="center"/>
          </w:tcPr>
          <w:p w14:paraId="6B9DC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62CD5E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02F82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2A092F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12</w:t>
            </w:r>
            <w:r>
              <w:rPr>
                <w:rFonts w:hint="eastAsia" w:cs="Times New Roman"/>
                <w:color w:val="auto"/>
                <w:sz w:val="21"/>
                <w:szCs w:val="21"/>
                <w:highlight w:val="none"/>
                <w:vertAlign w:val="superscript"/>
                <w:lang w:val="en-US" w:eastAsia="zh-CN"/>
              </w:rPr>
              <w:t>#</w:t>
            </w:r>
          </w:p>
        </w:tc>
        <w:tc>
          <w:tcPr>
            <w:tcW w:w="3753" w:type="dxa"/>
            <w:noWrap w:val="0"/>
            <w:vAlign w:val="center"/>
          </w:tcPr>
          <w:p w14:paraId="5E8C1141">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白杨庄</w:t>
            </w:r>
          </w:p>
        </w:tc>
        <w:tc>
          <w:tcPr>
            <w:tcW w:w="2072" w:type="dxa"/>
            <w:vMerge w:val="continue"/>
            <w:noWrap w:val="0"/>
            <w:vAlign w:val="center"/>
          </w:tcPr>
          <w:p w14:paraId="2CFABF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32D65F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7F060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679164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13</w:t>
            </w:r>
            <w:r>
              <w:rPr>
                <w:rFonts w:hint="eastAsia" w:cs="Times New Roman"/>
                <w:color w:val="auto"/>
                <w:sz w:val="21"/>
                <w:szCs w:val="21"/>
                <w:highlight w:val="none"/>
                <w:vertAlign w:val="superscript"/>
                <w:lang w:val="en-US" w:eastAsia="zh-CN"/>
              </w:rPr>
              <w:t>#</w:t>
            </w:r>
          </w:p>
        </w:tc>
        <w:tc>
          <w:tcPr>
            <w:tcW w:w="3753" w:type="dxa"/>
            <w:noWrap w:val="0"/>
            <w:vAlign w:val="center"/>
          </w:tcPr>
          <w:p w14:paraId="0AF5E5EF">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甘海村</w:t>
            </w:r>
          </w:p>
        </w:tc>
        <w:tc>
          <w:tcPr>
            <w:tcW w:w="2072" w:type="dxa"/>
            <w:vMerge w:val="continue"/>
            <w:noWrap w:val="0"/>
            <w:vAlign w:val="center"/>
          </w:tcPr>
          <w:p w14:paraId="5ABE01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44BDE6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r w14:paraId="3FFD9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4" w:type="dxa"/>
            <w:noWrap w:val="0"/>
            <w:vAlign w:val="center"/>
          </w:tcPr>
          <w:p w14:paraId="163B17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14</w:t>
            </w:r>
            <w:r>
              <w:rPr>
                <w:rFonts w:hint="eastAsia" w:cs="Times New Roman"/>
                <w:color w:val="auto"/>
                <w:sz w:val="21"/>
                <w:szCs w:val="21"/>
                <w:highlight w:val="none"/>
                <w:vertAlign w:val="superscript"/>
                <w:lang w:val="en-US" w:eastAsia="zh-CN"/>
              </w:rPr>
              <w:t>#</w:t>
            </w:r>
          </w:p>
        </w:tc>
        <w:tc>
          <w:tcPr>
            <w:tcW w:w="3753" w:type="dxa"/>
            <w:noWrap w:val="0"/>
            <w:vAlign w:val="center"/>
          </w:tcPr>
          <w:p w14:paraId="35608DB8">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杨庄村</w:t>
            </w:r>
          </w:p>
        </w:tc>
        <w:tc>
          <w:tcPr>
            <w:tcW w:w="2072" w:type="dxa"/>
            <w:vMerge w:val="continue"/>
            <w:noWrap w:val="0"/>
            <w:vAlign w:val="center"/>
          </w:tcPr>
          <w:p w14:paraId="02E460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c>
          <w:tcPr>
            <w:tcW w:w="1708" w:type="dxa"/>
            <w:vMerge w:val="continue"/>
            <w:noWrap w:val="0"/>
            <w:vAlign w:val="center"/>
          </w:tcPr>
          <w:p w14:paraId="441A6C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rPr>
            </w:pPr>
          </w:p>
        </w:tc>
      </w:tr>
    </w:tbl>
    <w:p w14:paraId="30B63B3E">
      <w:pPr>
        <w:spacing w:line="360" w:lineRule="auto"/>
        <w:ind w:firstLine="480" w:firstLineChars="200"/>
        <w:outlineLvl w:val="9"/>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（4）监测结果统计分析</w:t>
      </w:r>
    </w:p>
    <w:p w14:paraId="6EC7D31E">
      <w:pPr>
        <w:spacing w:line="360" w:lineRule="auto"/>
        <w:ind w:firstLine="480" w:firstLineChars="200"/>
        <w:outlineLvl w:val="9"/>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噪声监测结果分析见表</w:t>
      </w:r>
      <w:r>
        <w:rPr>
          <w:rFonts w:hint="default" w:ascii="Times New Roman" w:hAnsi="Times New Roman" w:cs="Times New Roman"/>
          <w:snapToGrid w:val="0"/>
          <w:color w:val="auto"/>
          <w:sz w:val="24"/>
          <w:szCs w:val="24"/>
          <w:highlight w:val="none"/>
          <w:lang w:val="en-US" w:eastAsia="zh-CN"/>
        </w:rPr>
        <w:t>5.5-2</w:t>
      </w:r>
      <w:r>
        <w:rPr>
          <w:rFonts w:hint="default" w:ascii="Times New Roman" w:hAnsi="Times New Roman" w:cs="Times New Roman"/>
          <w:snapToGrid w:val="0"/>
          <w:color w:val="auto"/>
          <w:sz w:val="24"/>
          <w:szCs w:val="24"/>
          <w:highlight w:val="none"/>
        </w:rPr>
        <w:t>。</w:t>
      </w:r>
    </w:p>
    <w:p w14:paraId="698E6068">
      <w:pPr>
        <w:jc w:val="center"/>
        <w:outlineLvl w:val="9"/>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default" w:ascii="Times New Roman" w:hAnsi="Times New Roman" w:cs="Times New Roman"/>
          <w:b/>
          <w:color w:val="auto"/>
          <w:sz w:val="24"/>
          <w:szCs w:val="24"/>
          <w:highlight w:val="none"/>
          <w:lang w:val="en-US" w:eastAsia="zh-CN"/>
        </w:rPr>
        <w:t>5.5-2</w:t>
      </w:r>
      <w:r>
        <w:rPr>
          <w:rFonts w:hint="default" w:ascii="Times New Roman" w:hAnsi="Times New Roman" w:cs="Times New Roman"/>
          <w:b/>
          <w:color w:val="auto"/>
          <w:sz w:val="24"/>
          <w:szCs w:val="24"/>
          <w:highlight w:val="none"/>
        </w:rPr>
        <w:t>声环境质量现状监测结果表（单位Leq：dB(A</w:t>
      </w:r>
      <w:r>
        <w:rPr>
          <w:rFonts w:hint="eastAsia" w:cs="Times New Roman"/>
          <w:b/>
          <w:color w:val="auto"/>
          <w:sz w:val="24"/>
          <w:szCs w:val="24"/>
          <w:highlight w:val="none"/>
          <w:lang w:eastAsia="zh-CN"/>
        </w:rPr>
        <w:t>）</w:t>
      </w:r>
      <w:r>
        <w:rPr>
          <w:rFonts w:hint="default" w:ascii="Times New Roman" w:hAnsi="Times New Roman" w:cs="Times New Roman"/>
          <w:b/>
          <w:color w:val="auto"/>
          <w:sz w:val="24"/>
          <w:szCs w:val="24"/>
          <w:highlight w:val="none"/>
        </w:rPr>
        <w:t>）</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2060"/>
        <w:gridCol w:w="1319"/>
        <w:gridCol w:w="1319"/>
        <w:gridCol w:w="584"/>
        <w:gridCol w:w="1011"/>
        <w:gridCol w:w="584"/>
        <w:gridCol w:w="1011"/>
      </w:tblGrid>
      <w:tr w14:paraId="7ED5C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0" w:type="auto"/>
            <w:vMerge w:val="restart"/>
            <w:tcBorders>
              <w:left w:val="nil"/>
            </w:tcBorders>
            <w:noWrap w:val="0"/>
            <w:vAlign w:val="center"/>
          </w:tcPr>
          <w:p w14:paraId="652E9449">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bookmarkStart w:id="4370" w:name="_Toc19653"/>
            <w:bookmarkStart w:id="4371" w:name="_Toc22497"/>
            <w:r>
              <w:rPr>
                <w:rFonts w:hint="default" w:ascii="Times New Roman" w:hAnsi="Times New Roman" w:cs="Times New Roman"/>
                <w:b/>
                <w:bCs/>
                <w:color w:val="auto"/>
                <w:sz w:val="21"/>
                <w:szCs w:val="21"/>
                <w:highlight w:val="none"/>
              </w:rPr>
              <w:t>编号</w:t>
            </w:r>
            <w:bookmarkEnd w:id="4370"/>
            <w:bookmarkEnd w:id="4371"/>
          </w:p>
        </w:tc>
        <w:tc>
          <w:tcPr>
            <w:tcW w:w="0" w:type="auto"/>
            <w:vMerge w:val="restart"/>
            <w:noWrap w:val="0"/>
            <w:vAlign w:val="center"/>
          </w:tcPr>
          <w:p w14:paraId="62F999DB">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bookmarkStart w:id="4372" w:name="_Toc26759"/>
            <w:bookmarkStart w:id="4373" w:name="_Toc12417"/>
            <w:r>
              <w:rPr>
                <w:rFonts w:hint="default" w:ascii="Times New Roman" w:hAnsi="Times New Roman" w:cs="Times New Roman"/>
                <w:b/>
                <w:bCs/>
                <w:color w:val="auto"/>
                <w:sz w:val="21"/>
                <w:szCs w:val="21"/>
                <w:highlight w:val="none"/>
                <w:lang w:eastAsia="zh-CN"/>
              </w:rPr>
              <w:t>检</w:t>
            </w:r>
            <w:r>
              <w:rPr>
                <w:rFonts w:hint="default" w:ascii="Times New Roman" w:hAnsi="Times New Roman" w:cs="Times New Roman"/>
                <w:b/>
                <w:bCs/>
                <w:color w:val="auto"/>
                <w:sz w:val="21"/>
                <w:szCs w:val="21"/>
                <w:highlight w:val="none"/>
              </w:rPr>
              <w:t>测点位置</w:t>
            </w:r>
            <w:bookmarkEnd w:id="4372"/>
            <w:bookmarkEnd w:id="4373"/>
          </w:p>
        </w:tc>
        <w:tc>
          <w:tcPr>
            <w:tcW w:w="0" w:type="auto"/>
            <w:gridSpan w:val="2"/>
            <w:noWrap w:val="0"/>
            <w:vAlign w:val="center"/>
          </w:tcPr>
          <w:p w14:paraId="3ADAFB09">
            <w:pPr>
              <w:pStyle w:val="29"/>
              <w:suppressLineNumbers w:val="0"/>
              <w:bidi w:val="0"/>
              <w:spacing w:beforeAutospacing="0" w:afterAutospacing="0"/>
              <w:ind w:left="0" w:right="0"/>
              <w:outlineLvl w:val="9"/>
              <w:rPr>
                <w:rFonts w:hint="eastAsia" w:cs="Times New Roman"/>
                <w:b/>
                <w:bCs/>
                <w:color w:val="auto"/>
                <w:sz w:val="21"/>
                <w:szCs w:val="21"/>
                <w:highlight w:val="none"/>
                <w:lang w:eastAsia="zh-CN"/>
              </w:rPr>
            </w:pPr>
            <w:bookmarkStart w:id="4374" w:name="_Toc24882"/>
            <w:bookmarkStart w:id="4375" w:name="_Toc7807"/>
            <w:r>
              <w:rPr>
                <w:rFonts w:hint="eastAsia" w:cs="Times New Roman"/>
                <w:b/>
                <w:bCs/>
                <w:color w:val="auto"/>
                <w:sz w:val="21"/>
                <w:szCs w:val="21"/>
                <w:highlight w:val="none"/>
                <w:lang w:eastAsia="zh-CN"/>
              </w:rPr>
              <w:t>坐标</w:t>
            </w:r>
          </w:p>
        </w:tc>
        <w:tc>
          <w:tcPr>
            <w:tcW w:w="0" w:type="auto"/>
            <w:gridSpan w:val="2"/>
            <w:noWrap w:val="0"/>
            <w:vAlign w:val="center"/>
          </w:tcPr>
          <w:p w14:paraId="6F7D8C03">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bookmarkEnd w:id="4374"/>
            <w:bookmarkEnd w:id="4375"/>
          </w:p>
        </w:tc>
        <w:tc>
          <w:tcPr>
            <w:tcW w:w="0" w:type="auto"/>
            <w:gridSpan w:val="2"/>
            <w:tcBorders>
              <w:right w:val="nil"/>
            </w:tcBorders>
            <w:noWrap w:val="0"/>
            <w:vAlign w:val="center"/>
          </w:tcPr>
          <w:p w14:paraId="2DA24B4A">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bookmarkStart w:id="4376" w:name="_Toc10742"/>
            <w:bookmarkStart w:id="4377" w:name="_Toc12429"/>
            <w:r>
              <w:rPr>
                <w:rFonts w:hint="default" w:ascii="Times New Roman" w:hAnsi="Times New Roman" w:cs="Times New Roman"/>
                <w:b/>
                <w:bCs/>
                <w:color w:val="auto"/>
                <w:sz w:val="21"/>
                <w:szCs w:val="21"/>
                <w:highlight w:val="none"/>
              </w:rPr>
              <w:t>夜间</w:t>
            </w:r>
            <w:bookmarkEnd w:id="4376"/>
            <w:bookmarkEnd w:id="4377"/>
          </w:p>
        </w:tc>
      </w:tr>
      <w:tr w14:paraId="6C2E0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0" w:type="auto"/>
            <w:vMerge w:val="continue"/>
            <w:tcBorders>
              <w:left w:val="nil"/>
            </w:tcBorders>
            <w:noWrap w:val="0"/>
            <w:vAlign w:val="center"/>
          </w:tcPr>
          <w:p w14:paraId="57F5D3DD">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0" w:type="auto"/>
            <w:vMerge w:val="continue"/>
            <w:noWrap w:val="0"/>
            <w:vAlign w:val="center"/>
          </w:tcPr>
          <w:p w14:paraId="7EBA3815">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rPr>
            </w:pPr>
          </w:p>
        </w:tc>
        <w:tc>
          <w:tcPr>
            <w:tcW w:w="0" w:type="auto"/>
            <w:noWrap w:val="0"/>
            <w:vAlign w:val="center"/>
          </w:tcPr>
          <w:p w14:paraId="2F7FB808">
            <w:pPr>
              <w:pStyle w:val="29"/>
              <w:suppressLineNumbers w:val="0"/>
              <w:bidi w:val="0"/>
              <w:spacing w:beforeAutospacing="0" w:afterAutospacing="0"/>
              <w:ind w:left="0" w:leftChars="0" w:right="0" w:rightChars="0" w:firstLine="0" w:firstLineChars="0"/>
              <w:rPr>
                <w:rFonts w:hint="default" w:ascii="Times New Roman" w:hAnsi="Times New Roman" w:cs="Times New Roman"/>
                <w:b/>
                <w:bCs/>
                <w:color w:val="auto"/>
                <w:sz w:val="21"/>
                <w:szCs w:val="21"/>
                <w:highlight w:val="none"/>
              </w:rPr>
            </w:pPr>
            <w:bookmarkStart w:id="4378" w:name="_Toc29055"/>
            <w:bookmarkStart w:id="4379" w:name="_Toc12008"/>
            <w:r>
              <w:rPr>
                <w:rFonts w:hint="default" w:ascii="Times New Roman" w:hAnsi="Times New Roman" w:eastAsia="宋体" w:cs="Times New Roman"/>
                <w:b/>
                <w:bCs/>
                <w:color w:val="auto"/>
                <w:sz w:val="21"/>
                <w:szCs w:val="21"/>
                <w:highlight w:val="none"/>
                <w:lang w:val="en-US" w:eastAsia="zh-CN"/>
              </w:rPr>
              <w:t>经度</w:t>
            </w:r>
            <w:bookmarkEnd w:id="4378"/>
            <w:bookmarkEnd w:id="4379"/>
          </w:p>
        </w:tc>
        <w:tc>
          <w:tcPr>
            <w:tcW w:w="0" w:type="auto"/>
            <w:noWrap w:val="0"/>
            <w:vAlign w:val="center"/>
          </w:tcPr>
          <w:p w14:paraId="2BD3FEB3">
            <w:pPr>
              <w:pStyle w:val="29"/>
              <w:suppressLineNumbers w:val="0"/>
              <w:bidi w:val="0"/>
              <w:spacing w:beforeAutospacing="0" w:afterAutospacing="0"/>
              <w:ind w:left="0" w:leftChars="0" w:right="0" w:rightChars="0" w:firstLine="0" w:firstLineChars="0"/>
              <w:rPr>
                <w:rFonts w:hint="default" w:ascii="Times New Roman" w:hAnsi="Times New Roman" w:cs="Times New Roman"/>
                <w:b/>
                <w:bCs/>
                <w:color w:val="auto"/>
                <w:sz w:val="21"/>
                <w:szCs w:val="21"/>
                <w:highlight w:val="none"/>
              </w:rPr>
            </w:pPr>
            <w:bookmarkStart w:id="4380" w:name="_Toc3172"/>
            <w:bookmarkStart w:id="4381" w:name="_Toc22706"/>
            <w:r>
              <w:rPr>
                <w:rFonts w:hint="default" w:ascii="Times New Roman" w:hAnsi="Times New Roman" w:eastAsia="宋体" w:cs="Times New Roman"/>
                <w:b/>
                <w:bCs/>
                <w:color w:val="auto"/>
                <w:sz w:val="21"/>
                <w:szCs w:val="21"/>
                <w:highlight w:val="none"/>
                <w:lang w:val="en-US" w:eastAsia="zh-CN"/>
              </w:rPr>
              <w:t>纬度</w:t>
            </w:r>
            <w:bookmarkEnd w:id="4380"/>
            <w:bookmarkEnd w:id="4381"/>
          </w:p>
        </w:tc>
        <w:tc>
          <w:tcPr>
            <w:tcW w:w="0" w:type="auto"/>
            <w:noWrap w:val="0"/>
            <w:vAlign w:val="center"/>
          </w:tcPr>
          <w:p w14:paraId="4C20A543">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rPr>
            </w:pPr>
            <w:r>
              <w:rPr>
                <w:rFonts w:hint="eastAsia" w:cs="Times New Roman"/>
                <w:b/>
                <w:bCs/>
                <w:color w:val="auto"/>
                <w:sz w:val="21"/>
                <w:szCs w:val="21"/>
                <w:highlight w:val="none"/>
                <w:lang w:val="en-US" w:eastAsia="zh-CN"/>
              </w:rPr>
              <w:t>11.8</w:t>
            </w:r>
          </w:p>
        </w:tc>
        <w:tc>
          <w:tcPr>
            <w:tcW w:w="0" w:type="auto"/>
            <w:noWrap w:val="0"/>
            <w:vAlign w:val="center"/>
          </w:tcPr>
          <w:p w14:paraId="412EF117">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rPr>
            </w:pPr>
            <w:r>
              <w:rPr>
                <w:rFonts w:hint="eastAsia" w:cs="Times New Roman"/>
                <w:b/>
                <w:bCs/>
                <w:color w:val="auto"/>
                <w:sz w:val="21"/>
                <w:szCs w:val="21"/>
                <w:highlight w:val="none"/>
                <w:lang w:val="en-US" w:eastAsia="zh-CN"/>
              </w:rPr>
              <w:t>11.7-11.8</w:t>
            </w:r>
          </w:p>
        </w:tc>
        <w:tc>
          <w:tcPr>
            <w:tcW w:w="0" w:type="auto"/>
            <w:noWrap w:val="0"/>
            <w:vAlign w:val="center"/>
          </w:tcPr>
          <w:p w14:paraId="6D85036E">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11.8</w:t>
            </w:r>
          </w:p>
        </w:tc>
        <w:tc>
          <w:tcPr>
            <w:tcW w:w="0" w:type="auto"/>
            <w:tcBorders>
              <w:right w:val="nil"/>
            </w:tcBorders>
            <w:noWrap w:val="0"/>
            <w:vAlign w:val="center"/>
          </w:tcPr>
          <w:p w14:paraId="5C2F6025">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11.8-11.9</w:t>
            </w:r>
          </w:p>
        </w:tc>
      </w:tr>
      <w:tr w14:paraId="7C31F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197EBA3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382" w:name="_Toc17240"/>
            <w:bookmarkStart w:id="4383" w:name="_Toc12428"/>
            <w:r>
              <w:rPr>
                <w:rFonts w:hint="default" w:ascii="Times New Roman" w:hAnsi="Times New Roman" w:cs="Times New Roman"/>
                <w:color w:val="auto"/>
                <w:sz w:val="21"/>
                <w:szCs w:val="21"/>
                <w:highlight w:val="none"/>
                <w:lang w:val="en-US" w:eastAsia="zh-CN"/>
              </w:rPr>
              <w:t>1</w:t>
            </w:r>
            <w:bookmarkEnd w:id="4382"/>
            <w:bookmarkEnd w:id="4383"/>
            <w:r>
              <w:rPr>
                <w:rFonts w:hint="eastAsia" w:cs="Times New Roman"/>
                <w:color w:val="auto"/>
                <w:sz w:val="21"/>
                <w:szCs w:val="21"/>
                <w:highlight w:val="none"/>
                <w:vertAlign w:val="superscript"/>
                <w:lang w:val="en-US" w:eastAsia="zh-CN"/>
              </w:rPr>
              <w:t>#</w:t>
            </w:r>
          </w:p>
        </w:tc>
        <w:tc>
          <w:tcPr>
            <w:tcW w:w="0" w:type="auto"/>
            <w:noWrap w:val="0"/>
            <w:vAlign w:val="center"/>
          </w:tcPr>
          <w:p w14:paraId="648C2BB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史崾蚬村</w:t>
            </w:r>
          </w:p>
        </w:tc>
        <w:tc>
          <w:tcPr>
            <w:tcW w:w="0" w:type="auto"/>
            <w:noWrap w:val="0"/>
            <w:vAlign w:val="center"/>
          </w:tcPr>
          <w:p w14:paraId="6394723E">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384" w:name="_Toc29059"/>
            <w:bookmarkStart w:id="4385" w:name="_Toc5060"/>
            <w:r>
              <w:rPr>
                <w:rFonts w:hint="default" w:ascii="Times New Roman" w:hAnsi="Times New Roman" w:eastAsia="宋体" w:cs="Times New Roman"/>
                <w:color w:val="auto"/>
                <w:sz w:val="21"/>
                <w:szCs w:val="21"/>
                <w:highlight w:val="none"/>
                <w:lang w:val="en-US" w:eastAsia="zh-CN"/>
              </w:rPr>
              <w:t>106.6382645</w:t>
            </w:r>
            <w:bookmarkEnd w:id="4384"/>
            <w:bookmarkEnd w:id="4385"/>
          </w:p>
        </w:tc>
        <w:tc>
          <w:tcPr>
            <w:tcW w:w="0" w:type="auto"/>
            <w:noWrap w:val="0"/>
            <w:vAlign w:val="center"/>
          </w:tcPr>
          <w:p w14:paraId="4D93676F">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386" w:name="_Toc29530"/>
            <w:bookmarkStart w:id="4387" w:name="_Toc4390"/>
            <w:r>
              <w:rPr>
                <w:rFonts w:hint="default" w:ascii="Times New Roman" w:hAnsi="Times New Roman" w:eastAsia="宋体" w:cs="Times New Roman"/>
                <w:color w:val="auto"/>
                <w:sz w:val="21"/>
                <w:szCs w:val="21"/>
                <w:highlight w:val="none"/>
                <w:lang w:val="en-US" w:eastAsia="zh-CN"/>
              </w:rPr>
              <w:t>35.87125719</w:t>
            </w:r>
            <w:bookmarkEnd w:id="4386"/>
            <w:bookmarkEnd w:id="4387"/>
          </w:p>
        </w:tc>
        <w:tc>
          <w:tcPr>
            <w:tcW w:w="0" w:type="auto"/>
            <w:noWrap w:val="0"/>
            <w:vAlign w:val="center"/>
          </w:tcPr>
          <w:p w14:paraId="4C8CF09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0" w:type="auto"/>
            <w:noWrap w:val="0"/>
            <w:vAlign w:val="center"/>
          </w:tcPr>
          <w:p w14:paraId="1F52476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0" w:type="auto"/>
            <w:noWrap w:val="0"/>
            <w:vAlign w:val="center"/>
          </w:tcPr>
          <w:p w14:paraId="1A5144A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0" w:type="auto"/>
            <w:tcBorders>
              <w:right w:val="nil"/>
            </w:tcBorders>
            <w:noWrap w:val="0"/>
            <w:vAlign w:val="center"/>
          </w:tcPr>
          <w:p w14:paraId="094B38A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r>
      <w:tr w14:paraId="5CFC6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19A0683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388" w:name="_Toc30698"/>
            <w:bookmarkStart w:id="4389" w:name="_Toc28037"/>
            <w:r>
              <w:rPr>
                <w:rFonts w:hint="default" w:ascii="Times New Roman" w:hAnsi="Times New Roman" w:cs="Times New Roman"/>
                <w:color w:val="auto"/>
                <w:sz w:val="21"/>
                <w:szCs w:val="21"/>
                <w:highlight w:val="none"/>
                <w:lang w:val="en-US" w:eastAsia="zh-CN"/>
              </w:rPr>
              <w:t>2</w:t>
            </w:r>
            <w:bookmarkEnd w:id="4388"/>
            <w:bookmarkEnd w:id="4389"/>
            <w:r>
              <w:rPr>
                <w:rFonts w:hint="eastAsia" w:cs="Times New Roman"/>
                <w:color w:val="auto"/>
                <w:sz w:val="21"/>
                <w:szCs w:val="21"/>
                <w:highlight w:val="none"/>
                <w:vertAlign w:val="superscript"/>
                <w:lang w:val="en-US" w:eastAsia="zh-CN"/>
              </w:rPr>
              <w:t>#</w:t>
            </w:r>
          </w:p>
        </w:tc>
        <w:tc>
          <w:tcPr>
            <w:tcW w:w="0" w:type="auto"/>
            <w:noWrap w:val="0"/>
            <w:vAlign w:val="center"/>
          </w:tcPr>
          <w:p w14:paraId="77AA7D9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李洼村</w:t>
            </w:r>
          </w:p>
        </w:tc>
        <w:tc>
          <w:tcPr>
            <w:tcW w:w="0" w:type="auto"/>
            <w:noWrap w:val="0"/>
            <w:vAlign w:val="center"/>
          </w:tcPr>
          <w:p w14:paraId="432702FA">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390" w:name="_Toc13288"/>
            <w:bookmarkStart w:id="4391" w:name="_Toc0"/>
            <w:r>
              <w:rPr>
                <w:rFonts w:hint="default" w:ascii="Times New Roman" w:hAnsi="Times New Roman" w:eastAsia="宋体" w:cs="Times New Roman"/>
                <w:color w:val="auto"/>
                <w:sz w:val="21"/>
                <w:szCs w:val="21"/>
                <w:highlight w:val="none"/>
                <w:lang w:val="en-US" w:eastAsia="zh-CN"/>
              </w:rPr>
              <w:t>106.6331388</w:t>
            </w:r>
            <w:bookmarkEnd w:id="4390"/>
            <w:bookmarkEnd w:id="4391"/>
          </w:p>
        </w:tc>
        <w:tc>
          <w:tcPr>
            <w:tcW w:w="0" w:type="auto"/>
            <w:noWrap w:val="0"/>
            <w:vAlign w:val="center"/>
          </w:tcPr>
          <w:p w14:paraId="26F5AAD5">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392" w:name="_Toc28942"/>
            <w:bookmarkStart w:id="4393" w:name="_Toc21245"/>
            <w:r>
              <w:rPr>
                <w:rFonts w:hint="default" w:ascii="Times New Roman" w:hAnsi="Times New Roman" w:eastAsia="宋体" w:cs="Times New Roman"/>
                <w:color w:val="auto"/>
                <w:sz w:val="21"/>
                <w:szCs w:val="21"/>
                <w:highlight w:val="none"/>
                <w:lang w:val="en-US" w:eastAsia="zh-CN"/>
              </w:rPr>
              <w:t>35.87418079</w:t>
            </w:r>
            <w:bookmarkEnd w:id="4392"/>
            <w:bookmarkEnd w:id="4393"/>
          </w:p>
        </w:tc>
        <w:tc>
          <w:tcPr>
            <w:tcW w:w="0" w:type="auto"/>
            <w:noWrap w:val="0"/>
            <w:vAlign w:val="center"/>
          </w:tcPr>
          <w:p w14:paraId="738A48B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0" w:type="auto"/>
            <w:noWrap w:val="0"/>
            <w:vAlign w:val="center"/>
          </w:tcPr>
          <w:p w14:paraId="3E79C45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0" w:type="auto"/>
            <w:noWrap w:val="0"/>
            <w:vAlign w:val="center"/>
          </w:tcPr>
          <w:p w14:paraId="15BD888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0" w:type="auto"/>
            <w:tcBorders>
              <w:right w:val="nil"/>
            </w:tcBorders>
            <w:noWrap w:val="0"/>
            <w:vAlign w:val="center"/>
          </w:tcPr>
          <w:p w14:paraId="53CB56E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r>
      <w:tr w14:paraId="6A924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78FA43E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394" w:name="_Toc12996"/>
            <w:bookmarkStart w:id="4395" w:name="_Toc8889"/>
            <w:r>
              <w:rPr>
                <w:rFonts w:hint="default" w:ascii="Times New Roman" w:hAnsi="Times New Roman" w:cs="Times New Roman"/>
                <w:color w:val="auto"/>
                <w:sz w:val="21"/>
                <w:szCs w:val="21"/>
                <w:highlight w:val="none"/>
                <w:lang w:val="en-US" w:eastAsia="zh-CN"/>
              </w:rPr>
              <w:t>3</w:t>
            </w:r>
            <w:bookmarkEnd w:id="4394"/>
            <w:bookmarkEnd w:id="4395"/>
            <w:r>
              <w:rPr>
                <w:rFonts w:hint="eastAsia" w:cs="Times New Roman"/>
                <w:color w:val="auto"/>
                <w:sz w:val="21"/>
                <w:szCs w:val="21"/>
                <w:highlight w:val="none"/>
                <w:vertAlign w:val="superscript"/>
                <w:lang w:val="en-US" w:eastAsia="zh-CN"/>
              </w:rPr>
              <w:t>#</w:t>
            </w:r>
          </w:p>
        </w:tc>
        <w:tc>
          <w:tcPr>
            <w:tcW w:w="0" w:type="auto"/>
            <w:noWrap w:val="0"/>
            <w:vAlign w:val="center"/>
          </w:tcPr>
          <w:p w14:paraId="472B904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罗堡村</w:t>
            </w:r>
          </w:p>
        </w:tc>
        <w:tc>
          <w:tcPr>
            <w:tcW w:w="0" w:type="auto"/>
            <w:noWrap w:val="0"/>
            <w:vAlign w:val="center"/>
          </w:tcPr>
          <w:p w14:paraId="180D187B">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396" w:name="_Toc5997"/>
            <w:bookmarkStart w:id="4397" w:name="_Toc16360"/>
            <w:r>
              <w:rPr>
                <w:rFonts w:hint="default" w:ascii="Times New Roman" w:hAnsi="Times New Roman" w:eastAsia="宋体" w:cs="Times New Roman"/>
                <w:color w:val="auto"/>
                <w:sz w:val="21"/>
                <w:szCs w:val="21"/>
                <w:highlight w:val="none"/>
                <w:lang w:val="en-US" w:eastAsia="zh-CN"/>
              </w:rPr>
              <w:t>106.6183866</w:t>
            </w:r>
            <w:bookmarkEnd w:id="4396"/>
            <w:bookmarkEnd w:id="4397"/>
          </w:p>
        </w:tc>
        <w:tc>
          <w:tcPr>
            <w:tcW w:w="0" w:type="auto"/>
            <w:noWrap w:val="0"/>
            <w:vAlign w:val="center"/>
          </w:tcPr>
          <w:p w14:paraId="567E12D2">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398" w:name="_Toc31419"/>
            <w:bookmarkStart w:id="4399" w:name="_Toc22848"/>
            <w:r>
              <w:rPr>
                <w:rFonts w:hint="default" w:ascii="Times New Roman" w:hAnsi="Times New Roman" w:eastAsia="宋体" w:cs="Times New Roman"/>
                <w:color w:val="auto"/>
                <w:sz w:val="21"/>
                <w:szCs w:val="21"/>
                <w:highlight w:val="none"/>
                <w:lang w:val="en-US" w:eastAsia="zh-CN"/>
              </w:rPr>
              <w:t>35.87970883</w:t>
            </w:r>
            <w:bookmarkEnd w:id="4398"/>
            <w:bookmarkEnd w:id="4399"/>
          </w:p>
        </w:tc>
        <w:tc>
          <w:tcPr>
            <w:tcW w:w="0" w:type="auto"/>
            <w:noWrap w:val="0"/>
            <w:vAlign w:val="center"/>
          </w:tcPr>
          <w:p w14:paraId="2F6F677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0" w:type="auto"/>
            <w:noWrap w:val="0"/>
            <w:vAlign w:val="center"/>
          </w:tcPr>
          <w:p w14:paraId="14B434B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0" w:type="auto"/>
            <w:noWrap w:val="0"/>
            <w:vAlign w:val="center"/>
          </w:tcPr>
          <w:p w14:paraId="2C411E3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0" w:type="auto"/>
            <w:tcBorders>
              <w:right w:val="nil"/>
            </w:tcBorders>
            <w:noWrap w:val="0"/>
            <w:vAlign w:val="center"/>
          </w:tcPr>
          <w:p w14:paraId="3CCB96F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38</w:t>
            </w:r>
          </w:p>
        </w:tc>
      </w:tr>
      <w:tr w14:paraId="73CA5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32A337B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00" w:name="_Toc11154"/>
            <w:bookmarkStart w:id="4401" w:name="_Toc22130"/>
            <w:r>
              <w:rPr>
                <w:rFonts w:hint="default" w:ascii="Times New Roman" w:hAnsi="Times New Roman" w:cs="Times New Roman"/>
                <w:color w:val="auto"/>
                <w:sz w:val="21"/>
                <w:szCs w:val="21"/>
                <w:highlight w:val="none"/>
                <w:lang w:val="en-US" w:eastAsia="zh-CN"/>
              </w:rPr>
              <w:t>4</w:t>
            </w:r>
            <w:bookmarkEnd w:id="4400"/>
            <w:bookmarkEnd w:id="4401"/>
            <w:r>
              <w:rPr>
                <w:rFonts w:hint="eastAsia" w:cs="Times New Roman"/>
                <w:color w:val="auto"/>
                <w:sz w:val="21"/>
                <w:szCs w:val="21"/>
                <w:highlight w:val="none"/>
                <w:vertAlign w:val="superscript"/>
                <w:lang w:val="en-US" w:eastAsia="zh-CN"/>
              </w:rPr>
              <w:t>#</w:t>
            </w:r>
          </w:p>
        </w:tc>
        <w:tc>
          <w:tcPr>
            <w:tcW w:w="0" w:type="auto"/>
            <w:noWrap w:val="0"/>
            <w:vAlign w:val="center"/>
          </w:tcPr>
          <w:p w14:paraId="65BB62F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沙河村</w:t>
            </w:r>
          </w:p>
        </w:tc>
        <w:tc>
          <w:tcPr>
            <w:tcW w:w="0" w:type="auto"/>
            <w:noWrap w:val="0"/>
            <w:vAlign w:val="center"/>
          </w:tcPr>
          <w:p w14:paraId="1B82F723">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02" w:name="_Toc18897"/>
            <w:bookmarkStart w:id="4403" w:name="_Toc27595"/>
            <w:r>
              <w:rPr>
                <w:rFonts w:hint="default" w:ascii="Times New Roman" w:hAnsi="Times New Roman" w:eastAsia="宋体" w:cs="Times New Roman"/>
                <w:color w:val="auto"/>
                <w:sz w:val="21"/>
                <w:szCs w:val="21"/>
                <w:highlight w:val="none"/>
                <w:lang w:val="en-US" w:eastAsia="zh-CN"/>
              </w:rPr>
              <w:t>106.6015209</w:t>
            </w:r>
            <w:bookmarkEnd w:id="4402"/>
            <w:bookmarkEnd w:id="4403"/>
          </w:p>
        </w:tc>
        <w:tc>
          <w:tcPr>
            <w:tcW w:w="0" w:type="auto"/>
            <w:noWrap w:val="0"/>
            <w:vAlign w:val="center"/>
          </w:tcPr>
          <w:p w14:paraId="24A4BE22">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04" w:name="_Toc27568"/>
            <w:bookmarkStart w:id="4405" w:name="_Toc11505"/>
            <w:r>
              <w:rPr>
                <w:rFonts w:hint="default" w:ascii="Times New Roman" w:hAnsi="Times New Roman" w:eastAsia="宋体" w:cs="Times New Roman"/>
                <w:color w:val="auto"/>
                <w:sz w:val="21"/>
                <w:szCs w:val="21"/>
                <w:highlight w:val="none"/>
                <w:lang w:val="en-US" w:eastAsia="zh-CN"/>
              </w:rPr>
              <w:t>35.88338882</w:t>
            </w:r>
            <w:bookmarkEnd w:id="4404"/>
            <w:bookmarkEnd w:id="4405"/>
          </w:p>
        </w:tc>
        <w:tc>
          <w:tcPr>
            <w:tcW w:w="0" w:type="auto"/>
            <w:noWrap w:val="0"/>
            <w:vAlign w:val="center"/>
          </w:tcPr>
          <w:p w14:paraId="0BB4D91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0" w:type="auto"/>
            <w:noWrap w:val="0"/>
            <w:vAlign w:val="center"/>
          </w:tcPr>
          <w:p w14:paraId="792C6A0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0" w:type="auto"/>
            <w:noWrap w:val="0"/>
            <w:vAlign w:val="center"/>
          </w:tcPr>
          <w:p w14:paraId="563DE67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0" w:type="auto"/>
            <w:tcBorders>
              <w:right w:val="nil"/>
            </w:tcBorders>
            <w:noWrap w:val="0"/>
            <w:vAlign w:val="center"/>
          </w:tcPr>
          <w:p w14:paraId="3079621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r>
      <w:tr w14:paraId="2C06F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4C03106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06" w:name="_Toc2560"/>
            <w:bookmarkStart w:id="4407" w:name="_Toc20782"/>
            <w:r>
              <w:rPr>
                <w:rFonts w:hint="default" w:ascii="Times New Roman" w:hAnsi="Times New Roman" w:cs="Times New Roman"/>
                <w:color w:val="auto"/>
                <w:sz w:val="21"/>
                <w:szCs w:val="21"/>
                <w:highlight w:val="none"/>
                <w:lang w:val="en-US" w:eastAsia="zh-CN"/>
              </w:rPr>
              <w:t>5</w:t>
            </w:r>
            <w:bookmarkEnd w:id="4406"/>
            <w:bookmarkEnd w:id="4407"/>
            <w:r>
              <w:rPr>
                <w:rFonts w:hint="eastAsia" w:cs="Times New Roman"/>
                <w:color w:val="auto"/>
                <w:sz w:val="21"/>
                <w:szCs w:val="21"/>
                <w:highlight w:val="none"/>
                <w:vertAlign w:val="superscript"/>
                <w:lang w:val="en-US" w:eastAsia="zh-CN"/>
              </w:rPr>
              <w:t>#</w:t>
            </w:r>
          </w:p>
        </w:tc>
        <w:tc>
          <w:tcPr>
            <w:tcW w:w="0" w:type="auto"/>
            <w:noWrap w:val="0"/>
            <w:vAlign w:val="center"/>
          </w:tcPr>
          <w:p w14:paraId="40AAEC0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袁穆公路两侧居民区</w:t>
            </w:r>
          </w:p>
        </w:tc>
        <w:tc>
          <w:tcPr>
            <w:tcW w:w="0" w:type="auto"/>
            <w:noWrap w:val="0"/>
            <w:vAlign w:val="center"/>
          </w:tcPr>
          <w:p w14:paraId="3EDE6624">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08" w:name="_Toc10827"/>
            <w:bookmarkStart w:id="4409" w:name="_Toc435"/>
            <w:r>
              <w:rPr>
                <w:rFonts w:hint="default" w:ascii="Times New Roman" w:hAnsi="Times New Roman" w:eastAsia="宋体" w:cs="Times New Roman"/>
                <w:color w:val="auto"/>
                <w:sz w:val="21"/>
                <w:szCs w:val="21"/>
                <w:highlight w:val="none"/>
                <w:lang w:val="en-US" w:eastAsia="zh-CN"/>
              </w:rPr>
              <w:t>106.5551133</w:t>
            </w:r>
            <w:bookmarkEnd w:id="4408"/>
            <w:bookmarkEnd w:id="4409"/>
          </w:p>
        </w:tc>
        <w:tc>
          <w:tcPr>
            <w:tcW w:w="0" w:type="auto"/>
            <w:noWrap w:val="0"/>
            <w:vAlign w:val="center"/>
          </w:tcPr>
          <w:p w14:paraId="152D3D9F">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10" w:name="_Toc31549"/>
            <w:bookmarkStart w:id="4411" w:name="_Toc17669"/>
            <w:r>
              <w:rPr>
                <w:rFonts w:hint="default" w:ascii="Times New Roman" w:hAnsi="Times New Roman" w:eastAsia="宋体" w:cs="Times New Roman"/>
                <w:color w:val="auto"/>
                <w:sz w:val="21"/>
                <w:szCs w:val="21"/>
                <w:highlight w:val="none"/>
                <w:lang w:val="en-US" w:eastAsia="zh-CN"/>
              </w:rPr>
              <w:t>35.90066263</w:t>
            </w:r>
            <w:bookmarkEnd w:id="4410"/>
            <w:bookmarkEnd w:id="4411"/>
          </w:p>
        </w:tc>
        <w:tc>
          <w:tcPr>
            <w:tcW w:w="0" w:type="auto"/>
            <w:noWrap w:val="0"/>
            <w:vAlign w:val="center"/>
          </w:tcPr>
          <w:p w14:paraId="63A9C50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0" w:type="auto"/>
            <w:noWrap w:val="0"/>
            <w:vAlign w:val="center"/>
          </w:tcPr>
          <w:p w14:paraId="477EC1E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0" w:type="auto"/>
            <w:noWrap w:val="0"/>
            <w:vAlign w:val="center"/>
          </w:tcPr>
          <w:p w14:paraId="4139205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0" w:type="auto"/>
            <w:tcBorders>
              <w:right w:val="nil"/>
            </w:tcBorders>
            <w:noWrap w:val="0"/>
            <w:vAlign w:val="center"/>
          </w:tcPr>
          <w:p w14:paraId="5FC9AD5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r>
      <w:tr w14:paraId="0A728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570DD63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12" w:name="_Toc11852"/>
            <w:bookmarkStart w:id="4413" w:name="_Toc23178"/>
            <w:r>
              <w:rPr>
                <w:rFonts w:hint="default" w:ascii="Times New Roman" w:hAnsi="Times New Roman" w:cs="Times New Roman"/>
                <w:color w:val="auto"/>
                <w:sz w:val="21"/>
                <w:szCs w:val="21"/>
                <w:highlight w:val="none"/>
                <w:lang w:val="en-US" w:eastAsia="zh-CN"/>
              </w:rPr>
              <w:t>6</w:t>
            </w:r>
            <w:bookmarkEnd w:id="4412"/>
            <w:bookmarkEnd w:id="4413"/>
            <w:r>
              <w:rPr>
                <w:rFonts w:hint="eastAsia" w:cs="Times New Roman"/>
                <w:color w:val="auto"/>
                <w:sz w:val="21"/>
                <w:szCs w:val="21"/>
                <w:highlight w:val="none"/>
                <w:vertAlign w:val="superscript"/>
                <w:lang w:val="en-US" w:eastAsia="zh-CN"/>
              </w:rPr>
              <w:t>#</w:t>
            </w:r>
          </w:p>
        </w:tc>
        <w:tc>
          <w:tcPr>
            <w:tcW w:w="0" w:type="auto"/>
            <w:noWrap w:val="0"/>
            <w:vAlign w:val="center"/>
          </w:tcPr>
          <w:p w14:paraId="4CF9B0B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郑庄村</w:t>
            </w:r>
          </w:p>
        </w:tc>
        <w:tc>
          <w:tcPr>
            <w:tcW w:w="0" w:type="auto"/>
            <w:noWrap w:val="0"/>
            <w:vAlign w:val="center"/>
          </w:tcPr>
          <w:p w14:paraId="1577362C">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14" w:name="_Toc9695"/>
            <w:bookmarkStart w:id="4415" w:name="_Toc1026"/>
            <w:r>
              <w:rPr>
                <w:rFonts w:hint="default" w:ascii="Times New Roman" w:hAnsi="Times New Roman" w:eastAsia="宋体" w:cs="Times New Roman"/>
                <w:color w:val="auto"/>
                <w:sz w:val="21"/>
                <w:szCs w:val="21"/>
                <w:highlight w:val="none"/>
                <w:lang w:val="en-US" w:eastAsia="zh-CN"/>
              </w:rPr>
              <w:t>106.5381296</w:t>
            </w:r>
            <w:bookmarkEnd w:id="4414"/>
            <w:bookmarkEnd w:id="4415"/>
          </w:p>
        </w:tc>
        <w:tc>
          <w:tcPr>
            <w:tcW w:w="0" w:type="auto"/>
            <w:noWrap w:val="0"/>
            <w:vAlign w:val="center"/>
          </w:tcPr>
          <w:p w14:paraId="652A12B8">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16" w:name="_Toc9256"/>
            <w:bookmarkStart w:id="4417" w:name="_Toc19484"/>
            <w:r>
              <w:rPr>
                <w:rFonts w:hint="default" w:ascii="Times New Roman" w:hAnsi="Times New Roman" w:eastAsia="宋体" w:cs="Times New Roman"/>
                <w:color w:val="auto"/>
                <w:sz w:val="21"/>
                <w:szCs w:val="21"/>
                <w:highlight w:val="none"/>
                <w:lang w:val="en-US" w:eastAsia="zh-CN"/>
              </w:rPr>
              <w:t>35.90898285</w:t>
            </w:r>
            <w:bookmarkEnd w:id="4416"/>
            <w:bookmarkEnd w:id="4417"/>
          </w:p>
        </w:tc>
        <w:tc>
          <w:tcPr>
            <w:tcW w:w="0" w:type="auto"/>
            <w:noWrap w:val="0"/>
            <w:vAlign w:val="center"/>
          </w:tcPr>
          <w:p w14:paraId="2B9CEB1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0" w:type="auto"/>
            <w:noWrap w:val="0"/>
            <w:vAlign w:val="center"/>
          </w:tcPr>
          <w:p w14:paraId="5541BE1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0" w:type="auto"/>
            <w:noWrap w:val="0"/>
            <w:vAlign w:val="center"/>
          </w:tcPr>
          <w:p w14:paraId="06ABDA4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0" w:type="auto"/>
            <w:tcBorders>
              <w:right w:val="nil"/>
            </w:tcBorders>
            <w:noWrap w:val="0"/>
            <w:vAlign w:val="center"/>
          </w:tcPr>
          <w:p w14:paraId="4C8E2C3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38</w:t>
            </w:r>
          </w:p>
        </w:tc>
      </w:tr>
      <w:tr w14:paraId="55AF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681AA84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18" w:name="_Toc25293"/>
            <w:bookmarkStart w:id="4419" w:name="_Toc10731"/>
            <w:r>
              <w:rPr>
                <w:rFonts w:hint="default" w:ascii="Times New Roman" w:hAnsi="Times New Roman" w:cs="Times New Roman"/>
                <w:color w:val="auto"/>
                <w:sz w:val="21"/>
                <w:szCs w:val="21"/>
                <w:highlight w:val="none"/>
                <w:lang w:val="en-US" w:eastAsia="zh-CN"/>
              </w:rPr>
              <w:t>7</w:t>
            </w:r>
            <w:bookmarkEnd w:id="4418"/>
            <w:bookmarkEnd w:id="4419"/>
            <w:r>
              <w:rPr>
                <w:rFonts w:hint="eastAsia" w:cs="Times New Roman"/>
                <w:color w:val="auto"/>
                <w:sz w:val="21"/>
                <w:szCs w:val="21"/>
                <w:highlight w:val="none"/>
                <w:vertAlign w:val="superscript"/>
                <w:lang w:val="en-US" w:eastAsia="zh-CN"/>
              </w:rPr>
              <w:t>#</w:t>
            </w:r>
          </w:p>
        </w:tc>
        <w:tc>
          <w:tcPr>
            <w:tcW w:w="0" w:type="auto"/>
            <w:noWrap w:val="0"/>
            <w:vAlign w:val="center"/>
          </w:tcPr>
          <w:p w14:paraId="357FBA1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党沟村</w:t>
            </w:r>
          </w:p>
        </w:tc>
        <w:tc>
          <w:tcPr>
            <w:tcW w:w="0" w:type="auto"/>
            <w:noWrap w:val="0"/>
            <w:vAlign w:val="center"/>
          </w:tcPr>
          <w:p w14:paraId="03520C4D">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20" w:name="_Toc24189"/>
            <w:bookmarkStart w:id="4421" w:name="_Toc8945"/>
            <w:r>
              <w:rPr>
                <w:rFonts w:hint="default" w:ascii="Times New Roman" w:hAnsi="Times New Roman" w:eastAsia="宋体" w:cs="Times New Roman"/>
                <w:color w:val="auto"/>
                <w:sz w:val="21"/>
                <w:szCs w:val="21"/>
                <w:highlight w:val="none"/>
                <w:lang w:val="en-US" w:eastAsia="zh-CN"/>
              </w:rPr>
              <w:t>106.5390818</w:t>
            </w:r>
            <w:bookmarkEnd w:id="4420"/>
            <w:bookmarkEnd w:id="4421"/>
          </w:p>
        </w:tc>
        <w:tc>
          <w:tcPr>
            <w:tcW w:w="0" w:type="auto"/>
            <w:noWrap w:val="0"/>
            <w:vAlign w:val="center"/>
          </w:tcPr>
          <w:p w14:paraId="4D6919D1">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22" w:name="_Toc24764"/>
            <w:bookmarkStart w:id="4423" w:name="_Toc24741"/>
            <w:r>
              <w:rPr>
                <w:rFonts w:hint="default" w:ascii="Times New Roman" w:hAnsi="Times New Roman" w:eastAsia="宋体" w:cs="Times New Roman"/>
                <w:color w:val="auto"/>
                <w:sz w:val="21"/>
                <w:szCs w:val="21"/>
                <w:highlight w:val="none"/>
                <w:lang w:val="en-US" w:eastAsia="zh-CN"/>
              </w:rPr>
              <w:t>35.9043909</w:t>
            </w:r>
            <w:bookmarkEnd w:id="4422"/>
            <w:bookmarkEnd w:id="4423"/>
          </w:p>
        </w:tc>
        <w:tc>
          <w:tcPr>
            <w:tcW w:w="0" w:type="auto"/>
            <w:noWrap w:val="0"/>
            <w:vAlign w:val="center"/>
          </w:tcPr>
          <w:p w14:paraId="1C1593E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0" w:type="auto"/>
            <w:noWrap w:val="0"/>
            <w:vAlign w:val="center"/>
          </w:tcPr>
          <w:p w14:paraId="4062A45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0" w:type="auto"/>
            <w:noWrap w:val="0"/>
            <w:vAlign w:val="center"/>
          </w:tcPr>
          <w:p w14:paraId="12A13AF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0" w:type="auto"/>
            <w:tcBorders>
              <w:right w:val="nil"/>
            </w:tcBorders>
            <w:noWrap w:val="0"/>
            <w:vAlign w:val="center"/>
          </w:tcPr>
          <w:p w14:paraId="021C128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r>
      <w:tr w14:paraId="0E812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596EC34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24" w:name="_Toc30743"/>
            <w:bookmarkStart w:id="4425" w:name="_Toc27411"/>
            <w:r>
              <w:rPr>
                <w:rFonts w:hint="default" w:ascii="Times New Roman" w:hAnsi="Times New Roman" w:cs="Times New Roman"/>
                <w:color w:val="auto"/>
                <w:sz w:val="21"/>
                <w:szCs w:val="21"/>
                <w:highlight w:val="none"/>
                <w:lang w:val="en-US" w:eastAsia="zh-CN"/>
              </w:rPr>
              <w:t>8</w:t>
            </w:r>
            <w:bookmarkEnd w:id="4424"/>
            <w:bookmarkEnd w:id="4425"/>
            <w:r>
              <w:rPr>
                <w:rFonts w:hint="eastAsia" w:cs="Times New Roman"/>
                <w:color w:val="auto"/>
                <w:sz w:val="21"/>
                <w:szCs w:val="21"/>
                <w:highlight w:val="none"/>
                <w:vertAlign w:val="superscript"/>
                <w:lang w:val="en-US" w:eastAsia="zh-CN"/>
              </w:rPr>
              <w:t>#</w:t>
            </w:r>
          </w:p>
        </w:tc>
        <w:tc>
          <w:tcPr>
            <w:tcW w:w="0" w:type="auto"/>
            <w:noWrap w:val="0"/>
            <w:vAlign w:val="center"/>
          </w:tcPr>
          <w:p w14:paraId="18EC422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田庄村</w:t>
            </w:r>
          </w:p>
        </w:tc>
        <w:tc>
          <w:tcPr>
            <w:tcW w:w="0" w:type="auto"/>
            <w:noWrap w:val="0"/>
            <w:vAlign w:val="center"/>
          </w:tcPr>
          <w:p w14:paraId="63FCF734">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26" w:name="_Toc395"/>
            <w:bookmarkStart w:id="4427" w:name="_Toc32459"/>
            <w:r>
              <w:rPr>
                <w:rFonts w:hint="default" w:ascii="Times New Roman" w:hAnsi="Times New Roman" w:eastAsia="宋体" w:cs="Times New Roman"/>
                <w:color w:val="auto"/>
                <w:sz w:val="21"/>
                <w:szCs w:val="21"/>
                <w:highlight w:val="none"/>
                <w:lang w:val="en-US" w:eastAsia="zh-CN"/>
              </w:rPr>
              <w:t>106.514856</w:t>
            </w:r>
            <w:bookmarkEnd w:id="4426"/>
            <w:bookmarkEnd w:id="4427"/>
          </w:p>
        </w:tc>
        <w:tc>
          <w:tcPr>
            <w:tcW w:w="0" w:type="auto"/>
            <w:noWrap w:val="0"/>
            <w:vAlign w:val="center"/>
          </w:tcPr>
          <w:p w14:paraId="3371685D">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28" w:name="_Toc31975"/>
            <w:bookmarkStart w:id="4429" w:name="_Toc12321"/>
            <w:r>
              <w:rPr>
                <w:rFonts w:hint="default" w:ascii="Times New Roman" w:hAnsi="Times New Roman" w:eastAsia="宋体" w:cs="Times New Roman"/>
                <w:color w:val="auto"/>
                <w:sz w:val="21"/>
                <w:szCs w:val="21"/>
                <w:highlight w:val="none"/>
                <w:lang w:val="en-US" w:eastAsia="zh-CN"/>
              </w:rPr>
              <w:t>35.92027495</w:t>
            </w:r>
            <w:bookmarkEnd w:id="4428"/>
            <w:bookmarkEnd w:id="4429"/>
          </w:p>
        </w:tc>
        <w:tc>
          <w:tcPr>
            <w:tcW w:w="0" w:type="auto"/>
            <w:noWrap w:val="0"/>
            <w:vAlign w:val="center"/>
          </w:tcPr>
          <w:p w14:paraId="0425816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c>
          <w:tcPr>
            <w:tcW w:w="0" w:type="auto"/>
            <w:noWrap w:val="0"/>
            <w:vAlign w:val="center"/>
          </w:tcPr>
          <w:p w14:paraId="68C1FFA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0" w:type="auto"/>
            <w:noWrap w:val="0"/>
            <w:vAlign w:val="center"/>
          </w:tcPr>
          <w:p w14:paraId="5F069B2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c>
          <w:tcPr>
            <w:tcW w:w="0" w:type="auto"/>
            <w:tcBorders>
              <w:right w:val="nil"/>
            </w:tcBorders>
            <w:noWrap w:val="0"/>
            <w:vAlign w:val="center"/>
          </w:tcPr>
          <w:p w14:paraId="376A825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r>
      <w:tr w14:paraId="3E874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61D6EAB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30" w:name="_Toc11999"/>
            <w:bookmarkStart w:id="4431" w:name="_Toc7670"/>
            <w:r>
              <w:rPr>
                <w:rFonts w:hint="default" w:ascii="Times New Roman" w:hAnsi="Times New Roman" w:cs="Times New Roman"/>
                <w:color w:val="auto"/>
                <w:sz w:val="21"/>
                <w:szCs w:val="21"/>
                <w:highlight w:val="none"/>
                <w:lang w:val="en-US" w:eastAsia="zh-CN"/>
              </w:rPr>
              <w:t>9</w:t>
            </w:r>
            <w:bookmarkEnd w:id="4430"/>
            <w:bookmarkEnd w:id="4431"/>
            <w:r>
              <w:rPr>
                <w:rFonts w:hint="eastAsia" w:cs="Times New Roman"/>
                <w:color w:val="auto"/>
                <w:sz w:val="21"/>
                <w:szCs w:val="21"/>
                <w:highlight w:val="none"/>
                <w:vertAlign w:val="superscript"/>
                <w:lang w:val="en-US" w:eastAsia="zh-CN"/>
              </w:rPr>
              <w:t>#</w:t>
            </w:r>
          </w:p>
        </w:tc>
        <w:tc>
          <w:tcPr>
            <w:tcW w:w="0" w:type="auto"/>
            <w:noWrap w:val="0"/>
            <w:vAlign w:val="center"/>
          </w:tcPr>
          <w:p w14:paraId="5822B11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焦家湾村</w:t>
            </w:r>
          </w:p>
        </w:tc>
        <w:tc>
          <w:tcPr>
            <w:tcW w:w="0" w:type="auto"/>
            <w:noWrap w:val="0"/>
            <w:vAlign w:val="center"/>
          </w:tcPr>
          <w:p w14:paraId="7512DD1F">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32" w:name="_Toc16758"/>
            <w:bookmarkStart w:id="4433" w:name="_Toc22819"/>
            <w:r>
              <w:rPr>
                <w:rFonts w:hint="default" w:ascii="Times New Roman" w:hAnsi="Times New Roman" w:eastAsia="宋体" w:cs="Times New Roman"/>
                <w:color w:val="auto"/>
                <w:sz w:val="21"/>
                <w:szCs w:val="21"/>
                <w:highlight w:val="none"/>
                <w:lang w:val="en-US" w:eastAsia="zh-CN"/>
              </w:rPr>
              <w:t>106.4998249</w:t>
            </w:r>
            <w:bookmarkEnd w:id="4432"/>
            <w:bookmarkEnd w:id="4433"/>
          </w:p>
        </w:tc>
        <w:tc>
          <w:tcPr>
            <w:tcW w:w="0" w:type="auto"/>
            <w:noWrap w:val="0"/>
            <w:vAlign w:val="center"/>
          </w:tcPr>
          <w:p w14:paraId="3D0F90D0">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34" w:name="_Toc31658"/>
            <w:bookmarkStart w:id="4435" w:name="_Toc3610"/>
            <w:r>
              <w:rPr>
                <w:rFonts w:hint="default" w:ascii="Times New Roman" w:hAnsi="Times New Roman" w:eastAsia="宋体" w:cs="Times New Roman"/>
                <w:color w:val="auto"/>
                <w:sz w:val="21"/>
                <w:szCs w:val="21"/>
                <w:highlight w:val="none"/>
                <w:lang w:val="en-US" w:eastAsia="zh-CN"/>
              </w:rPr>
              <w:t>35.92104206</w:t>
            </w:r>
            <w:bookmarkEnd w:id="4434"/>
            <w:bookmarkEnd w:id="4435"/>
          </w:p>
        </w:tc>
        <w:tc>
          <w:tcPr>
            <w:tcW w:w="0" w:type="auto"/>
            <w:noWrap w:val="0"/>
            <w:vAlign w:val="center"/>
          </w:tcPr>
          <w:p w14:paraId="208B39B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0" w:type="auto"/>
            <w:noWrap w:val="0"/>
            <w:vAlign w:val="center"/>
          </w:tcPr>
          <w:p w14:paraId="1EBB5BF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0" w:type="auto"/>
            <w:noWrap w:val="0"/>
            <w:vAlign w:val="center"/>
          </w:tcPr>
          <w:p w14:paraId="5D57AC0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0" w:type="auto"/>
            <w:tcBorders>
              <w:right w:val="nil"/>
            </w:tcBorders>
            <w:noWrap w:val="0"/>
            <w:vAlign w:val="center"/>
          </w:tcPr>
          <w:p w14:paraId="52D8B35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r>
      <w:tr w14:paraId="1DD60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37B2B68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36" w:name="_Toc9739"/>
            <w:bookmarkStart w:id="4437" w:name="_Toc6008"/>
            <w:r>
              <w:rPr>
                <w:rFonts w:hint="default" w:ascii="Times New Roman" w:hAnsi="Times New Roman" w:cs="Times New Roman"/>
                <w:color w:val="auto"/>
                <w:sz w:val="21"/>
                <w:szCs w:val="21"/>
                <w:highlight w:val="none"/>
                <w:lang w:val="en-US" w:eastAsia="zh-CN"/>
              </w:rPr>
              <w:t>10</w:t>
            </w:r>
            <w:bookmarkEnd w:id="4436"/>
            <w:bookmarkEnd w:id="4437"/>
            <w:r>
              <w:rPr>
                <w:rFonts w:hint="eastAsia" w:cs="Times New Roman"/>
                <w:color w:val="auto"/>
                <w:sz w:val="21"/>
                <w:szCs w:val="21"/>
                <w:highlight w:val="none"/>
                <w:vertAlign w:val="superscript"/>
                <w:lang w:val="en-US" w:eastAsia="zh-CN"/>
              </w:rPr>
              <w:t>#</w:t>
            </w:r>
          </w:p>
        </w:tc>
        <w:tc>
          <w:tcPr>
            <w:tcW w:w="0" w:type="auto"/>
            <w:noWrap w:val="0"/>
            <w:vAlign w:val="center"/>
          </w:tcPr>
          <w:p w14:paraId="29D53A5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川口村</w:t>
            </w:r>
          </w:p>
        </w:tc>
        <w:tc>
          <w:tcPr>
            <w:tcW w:w="0" w:type="auto"/>
            <w:noWrap w:val="0"/>
            <w:vAlign w:val="center"/>
          </w:tcPr>
          <w:p w14:paraId="113EA916">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38" w:name="_Toc21604"/>
            <w:bookmarkStart w:id="4439" w:name="_Toc21093"/>
            <w:r>
              <w:rPr>
                <w:rFonts w:hint="default" w:ascii="Times New Roman" w:hAnsi="Times New Roman" w:eastAsia="宋体" w:cs="Times New Roman"/>
                <w:color w:val="auto"/>
                <w:sz w:val="21"/>
                <w:szCs w:val="21"/>
                <w:highlight w:val="none"/>
                <w:lang w:val="en-US" w:eastAsia="zh-CN"/>
              </w:rPr>
              <w:t>106.4876638</w:t>
            </w:r>
            <w:bookmarkEnd w:id="4438"/>
            <w:bookmarkEnd w:id="4439"/>
          </w:p>
        </w:tc>
        <w:tc>
          <w:tcPr>
            <w:tcW w:w="0" w:type="auto"/>
            <w:noWrap w:val="0"/>
            <w:vAlign w:val="center"/>
          </w:tcPr>
          <w:p w14:paraId="63E36077">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40" w:name="_Toc19301"/>
            <w:bookmarkStart w:id="4441" w:name="_Toc3682"/>
            <w:r>
              <w:rPr>
                <w:rFonts w:hint="default" w:ascii="Times New Roman" w:hAnsi="Times New Roman" w:eastAsia="宋体" w:cs="Times New Roman"/>
                <w:color w:val="auto"/>
                <w:sz w:val="21"/>
                <w:szCs w:val="21"/>
                <w:highlight w:val="none"/>
                <w:lang w:val="en-US" w:eastAsia="zh-CN"/>
              </w:rPr>
              <w:t>35.917523</w:t>
            </w:r>
            <w:bookmarkEnd w:id="4440"/>
            <w:bookmarkEnd w:id="4441"/>
          </w:p>
        </w:tc>
        <w:tc>
          <w:tcPr>
            <w:tcW w:w="0" w:type="auto"/>
            <w:noWrap w:val="0"/>
            <w:vAlign w:val="center"/>
          </w:tcPr>
          <w:p w14:paraId="1D6B4BF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0" w:type="auto"/>
            <w:noWrap w:val="0"/>
            <w:vAlign w:val="center"/>
          </w:tcPr>
          <w:p w14:paraId="1757AF1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0" w:type="auto"/>
            <w:noWrap w:val="0"/>
            <w:vAlign w:val="center"/>
          </w:tcPr>
          <w:p w14:paraId="53452D8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0" w:type="auto"/>
            <w:tcBorders>
              <w:right w:val="nil"/>
            </w:tcBorders>
            <w:noWrap w:val="0"/>
            <w:vAlign w:val="center"/>
          </w:tcPr>
          <w:p w14:paraId="36A8051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r>
      <w:tr w14:paraId="39B24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253EDEE2">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42" w:name="_Toc12202"/>
            <w:bookmarkStart w:id="4443" w:name="_Toc10722"/>
            <w:r>
              <w:rPr>
                <w:rFonts w:hint="default" w:ascii="Times New Roman" w:hAnsi="Times New Roman" w:cs="Times New Roman"/>
                <w:color w:val="auto"/>
                <w:sz w:val="21"/>
                <w:szCs w:val="21"/>
                <w:highlight w:val="none"/>
                <w:lang w:val="en-US" w:eastAsia="zh-CN"/>
              </w:rPr>
              <w:t>11</w:t>
            </w:r>
            <w:bookmarkEnd w:id="4442"/>
            <w:bookmarkEnd w:id="4443"/>
            <w:r>
              <w:rPr>
                <w:rFonts w:hint="eastAsia" w:cs="Times New Roman"/>
                <w:color w:val="auto"/>
                <w:sz w:val="21"/>
                <w:szCs w:val="21"/>
                <w:highlight w:val="none"/>
                <w:vertAlign w:val="superscript"/>
                <w:lang w:val="en-US" w:eastAsia="zh-CN"/>
              </w:rPr>
              <w:t>#</w:t>
            </w:r>
          </w:p>
        </w:tc>
        <w:tc>
          <w:tcPr>
            <w:tcW w:w="0" w:type="auto"/>
            <w:noWrap w:val="0"/>
            <w:vAlign w:val="center"/>
          </w:tcPr>
          <w:p w14:paraId="59E4DC6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刘门沟村</w:t>
            </w:r>
          </w:p>
        </w:tc>
        <w:tc>
          <w:tcPr>
            <w:tcW w:w="0" w:type="auto"/>
            <w:noWrap w:val="0"/>
            <w:vAlign w:val="center"/>
          </w:tcPr>
          <w:p w14:paraId="27AB231B">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44" w:name="_Toc26962"/>
            <w:bookmarkStart w:id="4445" w:name="_Toc23663"/>
            <w:r>
              <w:rPr>
                <w:rFonts w:hint="default" w:ascii="Times New Roman" w:hAnsi="Times New Roman" w:eastAsia="宋体" w:cs="Times New Roman"/>
                <w:color w:val="auto"/>
                <w:sz w:val="21"/>
                <w:szCs w:val="21"/>
                <w:highlight w:val="none"/>
                <w:lang w:val="en-US" w:eastAsia="zh-CN"/>
              </w:rPr>
              <w:t>106.4716376</w:t>
            </w:r>
            <w:bookmarkEnd w:id="4444"/>
            <w:bookmarkEnd w:id="4445"/>
          </w:p>
        </w:tc>
        <w:tc>
          <w:tcPr>
            <w:tcW w:w="0" w:type="auto"/>
            <w:noWrap w:val="0"/>
            <w:vAlign w:val="center"/>
          </w:tcPr>
          <w:p w14:paraId="7BBC7BD0">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46" w:name="_Toc32119"/>
            <w:bookmarkStart w:id="4447" w:name="_Toc3099"/>
            <w:r>
              <w:rPr>
                <w:rFonts w:hint="default" w:ascii="Times New Roman" w:hAnsi="Times New Roman" w:eastAsia="宋体" w:cs="Times New Roman"/>
                <w:color w:val="auto"/>
                <w:sz w:val="21"/>
                <w:szCs w:val="21"/>
                <w:highlight w:val="none"/>
                <w:lang w:val="en-US" w:eastAsia="zh-CN"/>
              </w:rPr>
              <w:t>35.9137317</w:t>
            </w:r>
            <w:bookmarkEnd w:id="4446"/>
            <w:bookmarkEnd w:id="4447"/>
          </w:p>
        </w:tc>
        <w:tc>
          <w:tcPr>
            <w:tcW w:w="0" w:type="auto"/>
            <w:noWrap w:val="0"/>
            <w:vAlign w:val="center"/>
          </w:tcPr>
          <w:p w14:paraId="6408469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0" w:type="auto"/>
            <w:noWrap w:val="0"/>
            <w:vAlign w:val="center"/>
          </w:tcPr>
          <w:p w14:paraId="083A044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0" w:type="auto"/>
            <w:noWrap w:val="0"/>
            <w:vAlign w:val="center"/>
          </w:tcPr>
          <w:p w14:paraId="71C4080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0" w:type="auto"/>
            <w:tcBorders>
              <w:right w:val="nil"/>
            </w:tcBorders>
            <w:noWrap w:val="0"/>
            <w:vAlign w:val="center"/>
          </w:tcPr>
          <w:p w14:paraId="711715B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r>
      <w:tr w14:paraId="1F344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4BA420D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48" w:name="_Toc2061"/>
            <w:bookmarkStart w:id="4449" w:name="_Toc9668"/>
            <w:r>
              <w:rPr>
                <w:rFonts w:hint="eastAsia" w:cs="Times New Roman"/>
                <w:color w:val="auto"/>
                <w:sz w:val="21"/>
                <w:szCs w:val="21"/>
                <w:highlight w:val="none"/>
                <w:lang w:val="en-US" w:eastAsia="zh-CN"/>
              </w:rPr>
              <w:t>12</w:t>
            </w:r>
            <w:r>
              <w:rPr>
                <w:rFonts w:hint="eastAsia" w:cs="Times New Roman"/>
                <w:color w:val="auto"/>
                <w:sz w:val="21"/>
                <w:szCs w:val="21"/>
                <w:highlight w:val="none"/>
                <w:vertAlign w:val="superscript"/>
                <w:lang w:val="en-US" w:eastAsia="zh-CN"/>
              </w:rPr>
              <w:t>#</w:t>
            </w:r>
          </w:p>
        </w:tc>
        <w:tc>
          <w:tcPr>
            <w:tcW w:w="0" w:type="auto"/>
            <w:noWrap w:val="0"/>
            <w:vAlign w:val="center"/>
          </w:tcPr>
          <w:p w14:paraId="7F09DE5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白杨庄</w:t>
            </w:r>
          </w:p>
        </w:tc>
        <w:tc>
          <w:tcPr>
            <w:tcW w:w="0" w:type="auto"/>
            <w:noWrap w:val="0"/>
            <w:vAlign w:val="center"/>
          </w:tcPr>
          <w:p w14:paraId="516A1E7D">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50" w:name="_Toc7447"/>
            <w:bookmarkStart w:id="4451" w:name="_Toc10881"/>
            <w:r>
              <w:rPr>
                <w:rFonts w:hint="default" w:ascii="Times New Roman" w:hAnsi="Times New Roman" w:eastAsia="宋体" w:cs="Times New Roman"/>
                <w:color w:val="auto"/>
                <w:sz w:val="21"/>
                <w:szCs w:val="21"/>
                <w:highlight w:val="none"/>
                <w:lang w:val="en-US" w:eastAsia="zh-CN"/>
              </w:rPr>
              <w:t>106.4495577</w:t>
            </w:r>
            <w:bookmarkEnd w:id="4450"/>
            <w:bookmarkEnd w:id="4451"/>
          </w:p>
        </w:tc>
        <w:tc>
          <w:tcPr>
            <w:tcW w:w="0" w:type="auto"/>
            <w:noWrap w:val="0"/>
            <w:vAlign w:val="center"/>
          </w:tcPr>
          <w:p w14:paraId="6CCB185F">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52" w:name="_Toc16746"/>
            <w:bookmarkStart w:id="4453" w:name="_Toc1577"/>
            <w:r>
              <w:rPr>
                <w:rFonts w:hint="default" w:ascii="Times New Roman" w:hAnsi="Times New Roman" w:eastAsia="宋体" w:cs="Times New Roman"/>
                <w:color w:val="auto"/>
                <w:sz w:val="21"/>
                <w:szCs w:val="21"/>
                <w:highlight w:val="none"/>
                <w:lang w:val="en-US" w:eastAsia="zh-CN"/>
              </w:rPr>
              <w:t>35.90922559</w:t>
            </w:r>
            <w:bookmarkEnd w:id="4452"/>
            <w:bookmarkEnd w:id="4453"/>
          </w:p>
        </w:tc>
        <w:tc>
          <w:tcPr>
            <w:tcW w:w="0" w:type="auto"/>
            <w:noWrap w:val="0"/>
            <w:vAlign w:val="center"/>
          </w:tcPr>
          <w:p w14:paraId="1134A2D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0" w:type="auto"/>
            <w:noWrap w:val="0"/>
            <w:vAlign w:val="center"/>
          </w:tcPr>
          <w:p w14:paraId="4CD1B799">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0" w:type="auto"/>
            <w:noWrap w:val="0"/>
            <w:vAlign w:val="center"/>
          </w:tcPr>
          <w:p w14:paraId="26B2217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0" w:type="auto"/>
            <w:tcBorders>
              <w:right w:val="nil"/>
            </w:tcBorders>
            <w:noWrap w:val="0"/>
            <w:vAlign w:val="center"/>
          </w:tcPr>
          <w:p w14:paraId="468F9D9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r>
      <w:tr w14:paraId="725A8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4990FDC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w:t>
            </w:r>
            <w:r>
              <w:rPr>
                <w:rFonts w:hint="eastAsia" w:cs="Times New Roman"/>
                <w:color w:val="auto"/>
                <w:sz w:val="21"/>
                <w:szCs w:val="21"/>
                <w:highlight w:val="none"/>
                <w:vertAlign w:val="superscript"/>
                <w:lang w:val="en-US" w:eastAsia="zh-CN"/>
              </w:rPr>
              <w:t>#</w:t>
            </w:r>
          </w:p>
        </w:tc>
        <w:tc>
          <w:tcPr>
            <w:tcW w:w="0" w:type="auto"/>
            <w:noWrap w:val="0"/>
            <w:vAlign w:val="center"/>
          </w:tcPr>
          <w:p w14:paraId="39395E8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甘海村</w:t>
            </w:r>
          </w:p>
        </w:tc>
        <w:tc>
          <w:tcPr>
            <w:tcW w:w="0" w:type="auto"/>
            <w:noWrap w:val="0"/>
            <w:vAlign w:val="center"/>
          </w:tcPr>
          <w:p w14:paraId="7DE07B0E">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54" w:name="_Toc32389"/>
            <w:bookmarkStart w:id="4455" w:name="_Toc9209"/>
            <w:r>
              <w:rPr>
                <w:rFonts w:hint="default" w:ascii="Times New Roman" w:hAnsi="Times New Roman" w:eastAsia="宋体" w:cs="Times New Roman"/>
                <w:color w:val="auto"/>
                <w:sz w:val="21"/>
                <w:szCs w:val="21"/>
                <w:highlight w:val="none"/>
                <w:lang w:val="en-US" w:eastAsia="zh-CN"/>
              </w:rPr>
              <w:t>106.4377989</w:t>
            </w:r>
            <w:bookmarkEnd w:id="4454"/>
            <w:bookmarkEnd w:id="4455"/>
          </w:p>
        </w:tc>
        <w:tc>
          <w:tcPr>
            <w:tcW w:w="0" w:type="auto"/>
            <w:noWrap w:val="0"/>
            <w:vAlign w:val="center"/>
          </w:tcPr>
          <w:p w14:paraId="4DD9D033">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56" w:name="_Toc17083"/>
            <w:bookmarkStart w:id="4457" w:name="_Toc4577"/>
            <w:r>
              <w:rPr>
                <w:rFonts w:hint="default" w:ascii="Times New Roman" w:hAnsi="Times New Roman" w:eastAsia="宋体" w:cs="Times New Roman"/>
                <w:color w:val="auto"/>
                <w:sz w:val="21"/>
                <w:szCs w:val="21"/>
                <w:highlight w:val="none"/>
                <w:lang w:val="en-US" w:eastAsia="zh-CN"/>
              </w:rPr>
              <w:t>35.90719784</w:t>
            </w:r>
            <w:bookmarkEnd w:id="4456"/>
            <w:bookmarkEnd w:id="4457"/>
          </w:p>
        </w:tc>
        <w:tc>
          <w:tcPr>
            <w:tcW w:w="0" w:type="auto"/>
            <w:noWrap w:val="0"/>
            <w:vAlign w:val="center"/>
          </w:tcPr>
          <w:p w14:paraId="1E120CD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0" w:type="auto"/>
            <w:noWrap w:val="0"/>
            <w:vAlign w:val="center"/>
          </w:tcPr>
          <w:p w14:paraId="2DF70BA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w:t>
            </w:r>
          </w:p>
        </w:tc>
        <w:tc>
          <w:tcPr>
            <w:tcW w:w="0" w:type="auto"/>
            <w:noWrap w:val="0"/>
            <w:vAlign w:val="center"/>
          </w:tcPr>
          <w:p w14:paraId="0551E00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0" w:type="auto"/>
            <w:tcBorders>
              <w:right w:val="nil"/>
            </w:tcBorders>
            <w:noWrap w:val="0"/>
            <w:vAlign w:val="center"/>
          </w:tcPr>
          <w:p w14:paraId="47299D0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38</w:t>
            </w:r>
          </w:p>
        </w:tc>
      </w:tr>
      <w:tr w14:paraId="7584A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tcBorders>
              <w:left w:val="nil"/>
            </w:tcBorders>
            <w:noWrap w:val="0"/>
            <w:vAlign w:val="center"/>
          </w:tcPr>
          <w:p w14:paraId="26C27C4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w:t>
            </w:r>
            <w:r>
              <w:rPr>
                <w:rFonts w:hint="eastAsia" w:cs="Times New Roman"/>
                <w:color w:val="auto"/>
                <w:sz w:val="21"/>
                <w:szCs w:val="21"/>
                <w:highlight w:val="none"/>
                <w:vertAlign w:val="superscript"/>
                <w:lang w:val="en-US" w:eastAsia="zh-CN"/>
              </w:rPr>
              <w:t>#</w:t>
            </w:r>
          </w:p>
        </w:tc>
        <w:tc>
          <w:tcPr>
            <w:tcW w:w="0" w:type="auto"/>
            <w:noWrap w:val="0"/>
            <w:vAlign w:val="center"/>
          </w:tcPr>
          <w:p w14:paraId="218E2F2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杨庄村</w:t>
            </w:r>
          </w:p>
        </w:tc>
        <w:tc>
          <w:tcPr>
            <w:tcW w:w="0" w:type="auto"/>
            <w:noWrap w:val="0"/>
            <w:vAlign w:val="center"/>
          </w:tcPr>
          <w:p w14:paraId="581C0EB2">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58" w:name="_Toc18231"/>
            <w:bookmarkStart w:id="4459" w:name="_Toc7184"/>
            <w:r>
              <w:rPr>
                <w:rFonts w:hint="default" w:ascii="Times New Roman" w:hAnsi="Times New Roman" w:eastAsia="宋体" w:cs="Times New Roman"/>
                <w:color w:val="auto"/>
                <w:sz w:val="21"/>
                <w:szCs w:val="21"/>
                <w:highlight w:val="none"/>
                <w:lang w:val="en-US" w:eastAsia="zh-CN"/>
              </w:rPr>
              <w:t>106.4266476</w:t>
            </w:r>
            <w:bookmarkEnd w:id="4458"/>
            <w:bookmarkEnd w:id="4459"/>
          </w:p>
        </w:tc>
        <w:tc>
          <w:tcPr>
            <w:tcW w:w="0" w:type="auto"/>
            <w:noWrap w:val="0"/>
            <w:vAlign w:val="center"/>
          </w:tcPr>
          <w:p w14:paraId="4C3EA461">
            <w:pPr>
              <w:pStyle w:val="29"/>
              <w:suppressLineNumbers w:val="0"/>
              <w:bidi w:val="0"/>
              <w:spacing w:beforeAutospacing="0" w:afterAutospacing="0"/>
              <w:ind w:left="0" w:leftChars="0" w:right="0" w:rightChars="0" w:firstLine="0" w:firstLineChars="0"/>
              <w:rPr>
                <w:rFonts w:hint="eastAsia" w:ascii="Times New Roman" w:hAnsi="Times New Roman" w:cs="Times New Roman"/>
                <w:color w:val="auto"/>
                <w:sz w:val="21"/>
                <w:szCs w:val="21"/>
                <w:highlight w:val="none"/>
                <w:lang w:val="en-US" w:eastAsia="zh-CN"/>
              </w:rPr>
            </w:pPr>
            <w:bookmarkStart w:id="4460" w:name="_Toc10922"/>
            <w:bookmarkStart w:id="4461" w:name="_Toc21683"/>
            <w:r>
              <w:rPr>
                <w:rFonts w:hint="default" w:ascii="Times New Roman" w:hAnsi="Times New Roman" w:eastAsia="宋体" w:cs="Times New Roman"/>
                <w:color w:val="auto"/>
                <w:sz w:val="21"/>
                <w:szCs w:val="21"/>
                <w:highlight w:val="none"/>
                <w:lang w:val="en-US" w:eastAsia="zh-CN"/>
              </w:rPr>
              <w:t>35.90813124</w:t>
            </w:r>
            <w:bookmarkEnd w:id="4460"/>
            <w:bookmarkEnd w:id="4461"/>
          </w:p>
        </w:tc>
        <w:tc>
          <w:tcPr>
            <w:tcW w:w="0" w:type="auto"/>
            <w:noWrap w:val="0"/>
            <w:vAlign w:val="center"/>
          </w:tcPr>
          <w:p w14:paraId="42C7FAA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c>
          <w:tcPr>
            <w:tcW w:w="0" w:type="auto"/>
            <w:noWrap w:val="0"/>
            <w:vAlign w:val="center"/>
          </w:tcPr>
          <w:p w14:paraId="6830F1F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0" w:type="auto"/>
            <w:noWrap w:val="0"/>
            <w:vAlign w:val="center"/>
          </w:tcPr>
          <w:p w14:paraId="29ECF2E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c>
          <w:tcPr>
            <w:tcW w:w="0" w:type="auto"/>
            <w:tcBorders>
              <w:right w:val="nil"/>
            </w:tcBorders>
            <w:noWrap w:val="0"/>
            <w:vAlign w:val="center"/>
          </w:tcPr>
          <w:p w14:paraId="0A34A2A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r>
      <w:tr w14:paraId="3E09D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0" w:type="auto"/>
            <w:gridSpan w:val="4"/>
            <w:tcBorders>
              <w:left w:val="nil"/>
            </w:tcBorders>
            <w:noWrap w:val="0"/>
            <w:vAlign w:val="center"/>
          </w:tcPr>
          <w:p w14:paraId="494E063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《声环境质量标准》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GB3096-2008</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类标准</w:t>
            </w:r>
            <w:bookmarkEnd w:id="4448"/>
            <w:bookmarkEnd w:id="4449"/>
            <w:bookmarkStart w:id="4462" w:name="_Toc5490"/>
            <w:bookmarkStart w:id="4463" w:name="_Toc26303"/>
          </w:p>
        </w:tc>
        <w:tc>
          <w:tcPr>
            <w:tcW w:w="0" w:type="auto"/>
            <w:gridSpan w:val="2"/>
            <w:noWrap w:val="0"/>
            <w:vAlign w:val="center"/>
          </w:tcPr>
          <w:p w14:paraId="01E0A2B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bookmarkEnd w:id="4462"/>
            <w:bookmarkEnd w:id="4463"/>
          </w:p>
        </w:tc>
        <w:tc>
          <w:tcPr>
            <w:tcW w:w="0" w:type="auto"/>
            <w:gridSpan w:val="2"/>
            <w:tcBorders>
              <w:right w:val="nil"/>
            </w:tcBorders>
            <w:noWrap w:val="0"/>
            <w:vAlign w:val="center"/>
          </w:tcPr>
          <w:p w14:paraId="4934DF3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bookmarkStart w:id="4464" w:name="_Toc22921"/>
            <w:bookmarkStart w:id="4465" w:name="_Toc14170"/>
            <w:r>
              <w:rPr>
                <w:rFonts w:hint="default" w:ascii="Times New Roman" w:hAnsi="Times New Roman" w:cs="Times New Roman"/>
                <w:color w:val="auto"/>
                <w:sz w:val="21"/>
                <w:szCs w:val="21"/>
                <w:highlight w:val="none"/>
                <w:lang w:val="en-US" w:eastAsia="zh-CN"/>
              </w:rPr>
              <w:t>45</w:t>
            </w:r>
            <w:bookmarkEnd w:id="4464"/>
            <w:bookmarkEnd w:id="4465"/>
          </w:p>
        </w:tc>
      </w:tr>
    </w:tbl>
    <w:p w14:paraId="03A80650">
      <w:pPr>
        <w:spacing w:line="360" w:lineRule="auto"/>
        <w:ind w:firstLine="480" w:firstLineChars="20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监测结果表明，项目所在区域昼夜间噪声值均不超标，项目各监测点昼夜间噪声均满足《声环境质量标准》（GB3096-2008）1类区标准要求。 </w:t>
      </w:r>
    </w:p>
    <w:p w14:paraId="5B6DB69F">
      <w:pPr>
        <w:pStyle w:val="4"/>
        <w:bidi w:val="0"/>
        <w:rPr>
          <w:rFonts w:hint="default" w:ascii="Times New Roman" w:hAnsi="Times New Roman" w:cs="Times New Roman"/>
          <w:color w:val="auto"/>
          <w:sz w:val="28"/>
          <w:szCs w:val="28"/>
          <w:highlight w:val="none"/>
          <w:lang w:val="en-US" w:eastAsia="zh-CN"/>
        </w:rPr>
      </w:pPr>
      <w:bookmarkStart w:id="4466" w:name="_Toc17577"/>
      <w:bookmarkStart w:id="4467" w:name="_Toc7115"/>
      <w:bookmarkStart w:id="4468" w:name="_Toc27802"/>
      <w:bookmarkStart w:id="4469" w:name="_Toc16844"/>
      <w:r>
        <w:rPr>
          <w:rFonts w:hint="default" w:ascii="Times New Roman" w:hAnsi="Times New Roman" w:cs="Times New Roman"/>
          <w:color w:val="auto"/>
          <w:sz w:val="28"/>
          <w:szCs w:val="28"/>
          <w:highlight w:val="none"/>
          <w:lang w:val="en-US" w:eastAsia="zh-CN"/>
        </w:rPr>
        <w:t>5.6</w:t>
      </w:r>
      <w:r>
        <w:rPr>
          <w:rFonts w:hint="default" w:ascii="Times New Roman" w:hAnsi="Times New Roman" w:cs="Times New Roman"/>
          <w:color w:val="auto"/>
          <w:sz w:val="28"/>
          <w:szCs w:val="28"/>
          <w:highlight w:val="none"/>
        </w:rPr>
        <w:t>生态现状调查与评价</w:t>
      </w:r>
      <w:bookmarkEnd w:id="4466"/>
      <w:bookmarkEnd w:id="4467"/>
      <w:bookmarkEnd w:id="4468"/>
      <w:bookmarkEnd w:id="4469"/>
      <w:r>
        <w:rPr>
          <w:rFonts w:hint="default" w:ascii="Times New Roman" w:hAnsi="Times New Roman" w:cs="Times New Roman"/>
          <w:color w:val="auto"/>
          <w:sz w:val="28"/>
          <w:szCs w:val="28"/>
          <w:highlight w:val="none"/>
          <w:lang w:val="en-US" w:eastAsia="zh-CN"/>
        </w:rPr>
        <w:t xml:space="preserve"> </w:t>
      </w:r>
    </w:p>
    <w:p w14:paraId="00443B8C">
      <w:pPr>
        <w:pStyle w:val="6"/>
        <w:bidi w:val="0"/>
        <w:rPr>
          <w:rFonts w:hint="default" w:ascii="Times New Roman" w:hAnsi="Times New Roman" w:cs="Times New Roman"/>
          <w:color w:val="auto"/>
          <w:sz w:val="28"/>
          <w:szCs w:val="28"/>
          <w:highlight w:val="none"/>
        </w:rPr>
      </w:pPr>
      <w:bookmarkStart w:id="4470" w:name="_Toc4039"/>
      <w:bookmarkStart w:id="4471" w:name="_Toc24988"/>
      <w:bookmarkStart w:id="4472" w:name="_Toc9400"/>
      <w:r>
        <w:rPr>
          <w:rFonts w:hint="default" w:ascii="Times New Roman" w:hAnsi="Times New Roman" w:cs="Times New Roman"/>
          <w:color w:val="auto"/>
          <w:sz w:val="28"/>
          <w:szCs w:val="28"/>
          <w:highlight w:val="none"/>
          <w:lang w:val="en-US" w:eastAsia="zh-CN"/>
        </w:rPr>
        <w:t>5.6.1陆生植物环境</w:t>
      </w:r>
      <w:r>
        <w:rPr>
          <w:rFonts w:hint="default" w:ascii="Times New Roman" w:hAnsi="Times New Roman" w:cs="Times New Roman"/>
          <w:color w:val="auto"/>
          <w:sz w:val="28"/>
          <w:szCs w:val="28"/>
          <w:highlight w:val="none"/>
        </w:rPr>
        <w:t>现状调查</w:t>
      </w:r>
      <w:bookmarkEnd w:id="4470"/>
      <w:bookmarkEnd w:id="4471"/>
      <w:bookmarkEnd w:id="4472"/>
      <w:r>
        <w:rPr>
          <w:rFonts w:hint="default" w:ascii="Times New Roman" w:hAnsi="Times New Roman" w:cs="Times New Roman"/>
          <w:color w:val="auto"/>
          <w:sz w:val="28"/>
          <w:szCs w:val="28"/>
          <w:highlight w:val="none"/>
        </w:rPr>
        <w:t xml:space="preserve"> </w:t>
      </w:r>
    </w:p>
    <w:p w14:paraId="11234335">
      <w:pPr>
        <w:pStyle w:val="13"/>
        <w:keepNext w:val="0"/>
        <w:keepLines w:val="0"/>
        <w:pageBreakBefore w:val="0"/>
        <w:widowControl w:val="0"/>
        <w:kinsoku/>
        <w:wordWrap/>
        <w:overflowPunct/>
        <w:topLinePunct w:val="0"/>
        <w:autoSpaceDE/>
        <w:autoSpaceDN/>
        <w:bidi w:val="0"/>
        <w:adjustRightInd/>
        <w:snapToGrid/>
        <w:spacing w:after="0"/>
        <w:ind w:left="0" w:left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依据《环境影响评价技术导则生态影响》（HJ19-2022）等标准，陆生生态调查内容主要包括动、植物区系、植被类型、植物群落结构、物种组成、生态系统类型、重要物种及生境等）。</w:t>
      </w:r>
      <w:r>
        <w:rPr>
          <w:rFonts w:hint="eastAsia" w:cs="Times New Roman"/>
          <w:color w:val="auto"/>
          <w:sz w:val="24"/>
          <w:szCs w:val="24"/>
          <w:highlight w:val="none"/>
          <w:lang w:val="en-US" w:eastAsia="zh-CN"/>
        </w:rPr>
        <w:t>项目一期工程河道砌护段（桩号14+500）距西南黄土高原丘陵水土保持生态保护红线最近距离5m。生态环境评价范围涉及西南黄土高原丘陵水土保持生态保护红线。</w:t>
      </w:r>
    </w:p>
    <w:p w14:paraId="2A89B2B9">
      <w:pPr>
        <w:pStyle w:val="7"/>
        <w:tabs>
          <w:tab w:val="left" w:pos="864"/>
        </w:tabs>
        <w:bidi w:val="0"/>
        <w:ind w:firstLine="0"/>
        <w:rPr>
          <w:rFonts w:hint="default" w:ascii="Times New Roman" w:hAnsi="Times New Roman" w:eastAsia="宋体" w:cs="Times New Roman"/>
          <w:b/>
          <w:color w:val="auto"/>
          <w:sz w:val="28"/>
          <w:szCs w:val="28"/>
          <w:highlight w:val="none"/>
          <w:lang w:val="en-US" w:eastAsia="zh-CN"/>
        </w:rPr>
      </w:pPr>
      <w:r>
        <w:rPr>
          <w:rFonts w:hint="default" w:ascii="Times New Roman" w:hAnsi="Times New Roman" w:eastAsia="宋体" w:cs="Times New Roman"/>
          <w:b/>
          <w:color w:val="auto"/>
          <w:sz w:val="28"/>
          <w:szCs w:val="28"/>
          <w:highlight w:val="none"/>
          <w:lang w:val="en-US" w:eastAsia="zh-CN"/>
        </w:rPr>
        <w:t>5.6.1.1基础资料收集</w:t>
      </w:r>
    </w:p>
    <w:p w14:paraId="0833ED18">
      <w:pPr>
        <w:pStyle w:val="13"/>
        <w:keepNext w:val="0"/>
        <w:keepLines w:val="0"/>
        <w:pageBreakBefore w:val="0"/>
        <w:widowControl w:val="0"/>
        <w:kinsoku/>
        <w:wordWrap/>
        <w:overflowPunct/>
        <w:topLinePunct w:val="0"/>
        <w:autoSpaceDE/>
        <w:autoSpaceDN/>
        <w:bidi w:val="0"/>
        <w:adjustRightInd w:val="0"/>
        <w:snapToGrid w:val="0"/>
        <w:spacing w:after="0"/>
        <w:ind w:left="0" w:leftChars="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收集整理评价范围内现有的能反映生态现状或生态本底的资料，在综合分析现有资料的基础上，确定实地考察的重点区域及考察路线。</w:t>
      </w:r>
    </w:p>
    <w:p w14:paraId="2FC716C7">
      <w:pPr>
        <w:pStyle w:val="7"/>
        <w:tabs>
          <w:tab w:val="left" w:pos="864"/>
        </w:tabs>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5.6.1.2生物资源调查</w:t>
      </w:r>
    </w:p>
    <w:p w14:paraId="22A54100">
      <w:pPr>
        <w:pStyle w:val="13"/>
        <w:keepNext w:val="0"/>
        <w:keepLines w:val="0"/>
        <w:pageBreakBefore w:val="0"/>
        <w:widowControl w:val="0"/>
        <w:kinsoku/>
        <w:wordWrap/>
        <w:overflowPunct/>
        <w:topLinePunct w:val="0"/>
        <w:autoSpaceDE/>
        <w:autoSpaceDN/>
        <w:bidi w:val="0"/>
        <w:adjustRightInd w:val="0"/>
        <w:snapToGrid w:val="0"/>
        <w:spacing w:after="0"/>
        <w:ind w:left="0" w:firstLine="0" w:firstLineChars="0"/>
        <w:textAlignment w:val="auto"/>
        <w:outlineLvl w:val="9"/>
        <w:rPr>
          <w:rFonts w:hint="default" w:ascii="Times New Roman" w:hAnsi="Times New Roman" w:eastAsia="宋体" w:cs="Times New Roman"/>
          <w:color w:val="auto"/>
          <w:sz w:val="24"/>
          <w:szCs w:val="24"/>
          <w:highlight w:val="none"/>
          <w:lang w:val="en-US" w:eastAsia="zh-CN"/>
        </w:rPr>
      </w:pPr>
      <w:bookmarkStart w:id="4473" w:name="_Toc17403"/>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陆生植物调查方法</w:t>
      </w:r>
      <w:bookmarkEnd w:id="4473"/>
    </w:p>
    <w:p w14:paraId="372DA297">
      <w:pPr>
        <w:pStyle w:val="13"/>
        <w:keepNext w:val="0"/>
        <w:keepLines w:val="0"/>
        <w:pageBreakBefore w:val="0"/>
        <w:widowControl w:val="0"/>
        <w:kinsoku/>
        <w:wordWrap/>
        <w:overflowPunct/>
        <w:topLinePunct w:val="0"/>
        <w:autoSpaceDE/>
        <w:autoSpaceDN/>
        <w:bidi w:val="0"/>
        <w:adjustRightInd w:val="0"/>
        <w:snapToGrid w:val="0"/>
        <w:spacing w:after="0"/>
        <w:ind w:left="0" w:leftChars="0"/>
        <w:textAlignment w:val="auto"/>
        <w:outlineLvl w:val="9"/>
        <w:rPr>
          <w:rFonts w:hint="default" w:ascii="Times New Roman" w:hAnsi="Times New Roman" w:eastAsia="宋体" w:cs="Times New Roman"/>
          <w:color w:val="auto"/>
          <w:sz w:val="24"/>
          <w:szCs w:val="24"/>
          <w:highlight w:val="none"/>
        </w:rPr>
      </w:pPr>
      <w:bookmarkStart w:id="4474" w:name="_Toc24816"/>
      <w:r>
        <w:rPr>
          <w:rFonts w:hint="default" w:ascii="Times New Roman" w:hAnsi="Times New Roman" w:eastAsia="宋体" w:cs="Times New Roman"/>
          <w:color w:val="auto"/>
          <w:sz w:val="24"/>
          <w:szCs w:val="24"/>
          <w:highlight w:val="none"/>
          <w:lang w:val="en-US" w:eastAsia="zh-CN"/>
        </w:rPr>
        <w:t>（1）GPS地面类型取样</w:t>
      </w:r>
      <w:bookmarkEnd w:id="4474"/>
    </w:p>
    <w:p w14:paraId="74E07FB3">
      <w:pPr>
        <w:pStyle w:val="13"/>
        <w:keepNext w:val="0"/>
        <w:keepLines w:val="0"/>
        <w:pageBreakBefore w:val="0"/>
        <w:widowControl w:val="0"/>
        <w:kinsoku/>
        <w:wordWrap/>
        <w:overflowPunct/>
        <w:topLinePunct w:val="0"/>
        <w:autoSpaceDE/>
        <w:autoSpaceDN/>
        <w:bidi w:val="0"/>
        <w:adjustRightInd w:val="0"/>
        <w:snapToGrid w:val="0"/>
        <w:spacing w:after="0"/>
        <w:ind w:left="0" w:leftChars="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GPS样点是卫星遥感影像判读各种景观类型的基础，根据室内判读的植被与土地利用类型初图，现场核实判读的正误率，并对每个GPS取样点</w:t>
      </w:r>
      <w:r>
        <w:rPr>
          <w:rFonts w:hint="eastAsia" w:cs="Times New Roman"/>
          <w:color w:val="auto"/>
          <w:sz w:val="24"/>
          <w:szCs w:val="24"/>
          <w:highlight w:val="none"/>
          <w:lang w:val="en-US" w:eastAsia="zh-CN"/>
        </w:rPr>
        <w:t>做如下</w:t>
      </w:r>
      <w:r>
        <w:rPr>
          <w:rFonts w:hint="default" w:ascii="Times New Roman" w:hAnsi="Times New Roman" w:eastAsia="宋体" w:cs="Times New Roman"/>
          <w:color w:val="auto"/>
          <w:sz w:val="24"/>
          <w:szCs w:val="24"/>
          <w:highlight w:val="none"/>
          <w:lang w:val="en-US" w:eastAsia="zh-CN"/>
        </w:rPr>
        <w:t>记录：①海拔表读出测点的海拔值和经纬度；②记录样点植被类型，以群系为单位，同时记录坡向、坡度、土壤类型等；③记录样点优势植物以及观察动物的活动的情况；④拍摄典型植被外貌与结构特征。</w:t>
      </w:r>
    </w:p>
    <w:p w14:paraId="080D68D0">
      <w:pPr>
        <w:pStyle w:val="13"/>
        <w:keepNext w:val="0"/>
        <w:keepLines w:val="0"/>
        <w:pageBreakBefore w:val="0"/>
        <w:widowControl w:val="0"/>
        <w:numPr>
          <w:ilvl w:val="0"/>
          <w:numId w:val="7"/>
        </w:numPr>
        <w:kinsoku/>
        <w:wordWrap/>
        <w:overflowPunct/>
        <w:topLinePunct w:val="0"/>
        <w:autoSpaceDE/>
        <w:autoSpaceDN/>
        <w:bidi w:val="0"/>
        <w:adjustRightInd w:val="0"/>
        <w:snapToGrid w:val="0"/>
        <w:spacing w:after="0"/>
        <w:ind w:left="0" w:leftChars="0"/>
        <w:textAlignment w:val="auto"/>
        <w:outlineLvl w:val="9"/>
        <w:rPr>
          <w:rFonts w:hint="default" w:ascii="Times New Roman" w:hAnsi="Times New Roman" w:eastAsia="宋体" w:cs="Times New Roman"/>
          <w:color w:val="auto"/>
          <w:sz w:val="24"/>
          <w:szCs w:val="24"/>
          <w:highlight w:val="none"/>
          <w:lang w:val="en-US" w:eastAsia="zh-CN"/>
        </w:rPr>
      </w:pPr>
      <w:bookmarkStart w:id="4475" w:name="_Toc669"/>
      <w:r>
        <w:rPr>
          <w:rFonts w:hint="default" w:ascii="Times New Roman" w:hAnsi="Times New Roman" w:eastAsia="宋体" w:cs="Times New Roman"/>
          <w:color w:val="auto"/>
          <w:sz w:val="24"/>
          <w:szCs w:val="24"/>
          <w:highlight w:val="none"/>
          <w:lang w:val="en-US" w:eastAsia="zh-CN"/>
        </w:rPr>
        <w:t>植被和陆生植物调查</w:t>
      </w:r>
      <w:bookmarkEnd w:id="4475"/>
    </w:p>
    <w:p w14:paraId="4A62B82F">
      <w:pPr>
        <w:bidi w:val="0"/>
        <w:jc w:val="both"/>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本工程穿（跨）越1个植被区，即东部草原亚区域，涉及</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个县（区），在对评价区植被及陆生植物资料检索分析的基础上，根据工程方案、敏感区分布及评价等级确定项目调查路线、调查时间及调查人员。此次现场调查共安排1组人员</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人，于1</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val="en-US" w:eastAsia="zh-CN"/>
        </w:rPr>
        <w:t>日对项目</w:t>
      </w:r>
      <w:r>
        <w:rPr>
          <w:rFonts w:hint="eastAsia" w:cs="Times New Roman"/>
          <w:color w:val="auto"/>
          <w:sz w:val="24"/>
          <w:szCs w:val="24"/>
          <w:highlight w:val="none"/>
          <w:lang w:val="en-US" w:eastAsia="zh-CN"/>
        </w:rPr>
        <w:t>评价范围内</w:t>
      </w:r>
      <w:r>
        <w:rPr>
          <w:rFonts w:hint="default" w:ascii="Times New Roman" w:hAnsi="Times New Roman" w:cs="Times New Roman"/>
          <w:color w:val="auto"/>
          <w:sz w:val="24"/>
          <w:szCs w:val="24"/>
          <w:highlight w:val="none"/>
          <w:lang w:val="en-US" w:eastAsia="zh-CN"/>
        </w:rPr>
        <w:t>生态红线</w:t>
      </w:r>
      <w:r>
        <w:rPr>
          <w:rFonts w:hint="eastAsia" w:cs="Times New Roman"/>
          <w:color w:val="auto"/>
          <w:sz w:val="24"/>
          <w:szCs w:val="24"/>
          <w:highlight w:val="none"/>
          <w:lang w:val="en-US" w:eastAsia="zh-CN"/>
        </w:rPr>
        <w:t>区域</w:t>
      </w:r>
      <w:r>
        <w:rPr>
          <w:rFonts w:hint="default" w:ascii="Times New Roman" w:hAnsi="Times New Roman" w:cs="Times New Roman"/>
          <w:color w:val="auto"/>
          <w:sz w:val="24"/>
          <w:szCs w:val="24"/>
          <w:highlight w:val="none"/>
          <w:lang w:val="en-US" w:eastAsia="zh-CN"/>
        </w:rPr>
        <w:t>开展调查。按照导则中不同评价等级样方数量要求及《生物多样性观测技术导则陆生维管植物》等相关规范，评价组相关专业技术人员对线路沿线植物及植被进行了现场调查，实地调查采取样方调查的方法，确定评价区植物种类、植被类型及群系等，对重点保护野生植物、古树名木的调查采取野外调查、专家咨询和资料收集相结合的方法进行，对有疑问植物还采集了凭证标本并拍摄照片。项目</w:t>
      </w:r>
      <w:r>
        <w:rPr>
          <w:rFonts w:hint="eastAsia" w:cs="Times New Roman"/>
          <w:color w:val="auto"/>
          <w:sz w:val="24"/>
          <w:szCs w:val="24"/>
          <w:highlight w:val="none"/>
          <w:lang w:val="en-US" w:eastAsia="zh-CN"/>
        </w:rPr>
        <w:t>河道两侧300m范围涉及生态保护红线，</w:t>
      </w:r>
      <w:r>
        <w:rPr>
          <w:rFonts w:hint="default" w:ascii="Times New Roman" w:hAnsi="Times New Roman" w:cs="Times New Roman"/>
          <w:color w:val="auto"/>
          <w:sz w:val="24"/>
          <w:szCs w:val="24"/>
          <w:highlight w:val="none"/>
          <w:lang w:val="en-US" w:eastAsia="zh-CN"/>
        </w:rPr>
        <w:t>为生态二级评价，且评价区内植被类型</w:t>
      </w:r>
      <w:r>
        <w:rPr>
          <w:rFonts w:hint="eastAsia" w:cs="Times New Roman"/>
          <w:color w:val="auto"/>
          <w:sz w:val="24"/>
          <w:szCs w:val="24"/>
          <w:highlight w:val="none"/>
          <w:lang w:val="en-US" w:eastAsia="zh-CN"/>
        </w:rPr>
        <w:t>草本以白莲蒿、猪毛蒿、冰草</w:t>
      </w:r>
      <w:r>
        <w:rPr>
          <w:rFonts w:hint="default" w:ascii="Times New Roman" w:hAnsi="Times New Roman" w:cs="Times New Roman"/>
          <w:color w:val="auto"/>
          <w:sz w:val="24"/>
          <w:szCs w:val="24"/>
          <w:highlight w:val="none"/>
          <w:lang w:val="en-US" w:eastAsia="zh-CN"/>
        </w:rPr>
        <w:t>为主，</w:t>
      </w:r>
      <w:r>
        <w:rPr>
          <w:rFonts w:hint="eastAsia" w:cs="Times New Roman"/>
          <w:color w:val="auto"/>
          <w:sz w:val="24"/>
          <w:szCs w:val="24"/>
          <w:highlight w:val="none"/>
          <w:lang w:val="en-US" w:eastAsia="zh-CN"/>
        </w:rPr>
        <w:t>乔木以山桃、山杏为主。</w:t>
      </w:r>
      <w:r>
        <w:rPr>
          <w:rFonts w:hint="default" w:ascii="Times New Roman" w:hAnsi="Times New Roman" w:cs="Times New Roman"/>
          <w:color w:val="auto"/>
          <w:sz w:val="24"/>
          <w:szCs w:val="24"/>
          <w:highlight w:val="none"/>
          <w:lang w:val="en-US" w:eastAsia="zh-CN"/>
        </w:rPr>
        <w:t>在生态红线内平均布设</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个样方点位。植被调查安排情况及植物样方点位布设情况具体详见表5.6-1，植物样方调查表详见附件。</w:t>
      </w:r>
    </w:p>
    <w:p w14:paraId="4D9B215D">
      <w:pPr>
        <w:pStyle w:val="13"/>
        <w:outlineLvl w:val="9"/>
        <w:rPr>
          <w:rFonts w:hint="default" w:ascii="Times New Roman" w:hAnsi="Times New Roman" w:eastAsia="宋体" w:cs="Times New Roman"/>
          <w:color w:val="auto"/>
          <w:sz w:val="24"/>
          <w:szCs w:val="24"/>
          <w:highlight w:val="none"/>
        </w:rPr>
      </w:pPr>
    </w:p>
    <w:p w14:paraId="09E4CD86">
      <w:pPr>
        <w:bidi w:val="0"/>
        <w:jc w:val="center"/>
        <w:outlineLvl w:val="9"/>
        <w:rPr>
          <w:rFonts w:hint="default" w:ascii="Times New Roman" w:hAnsi="Times New Roman" w:eastAsia="宋体" w:cs="Times New Roman"/>
          <w:b/>
          <w:bCs/>
          <w:color w:val="auto"/>
          <w:kern w:val="44"/>
          <w:sz w:val="28"/>
          <w:szCs w:val="28"/>
          <w:highlight w:val="none"/>
          <w:lang w:val="en-US" w:eastAsia="zh-CN" w:bidi="ar-SA"/>
        </w:rPr>
      </w:pPr>
      <w:r>
        <w:rPr>
          <w:rFonts w:hint="default" w:ascii="Times New Roman" w:hAnsi="Times New Roman" w:cs="Times New Roman"/>
          <w:b/>
          <w:bCs/>
          <w:color w:val="auto"/>
          <w:sz w:val="24"/>
          <w:szCs w:val="24"/>
          <w:highlight w:val="none"/>
          <w:lang w:val="en-US" w:eastAsia="zh-CN"/>
        </w:rPr>
        <w:t>表5.6-1  评价范围植被调查情况一览表</w:t>
      </w:r>
    </w:p>
    <w:tbl>
      <w:tblPr>
        <w:tblStyle w:val="3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1049"/>
        <w:gridCol w:w="2029"/>
        <w:gridCol w:w="2250"/>
        <w:gridCol w:w="847"/>
        <w:gridCol w:w="1076"/>
      </w:tblGrid>
      <w:tr w14:paraId="75437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blHeader/>
        </w:trPr>
        <w:tc>
          <w:tcPr>
            <w:tcW w:w="741" w:type="pct"/>
            <w:tcBorders>
              <w:tl2br w:val="nil"/>
              <w:tr2bl w:val="nil"/>
            </w:tcBorders>
            <w:noWrap w:val="0"/>
            <w:vAlign w:val="center"/>
          </w:tcPr>
          <w:p w14:paraId="55D81E59">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植被分区</w:t>
            </w:r>
          </w:p>
        </w:tc>
        <w:tc>
          <w:tcPr>
            <w:tcW w:w="616" w:type="pct"/>
            <w:tcBorders>
              <w:tl2br w:val="nil"/>
              <w:tr2bl w:val="nil"/>
            </w:tcBorders>
            <w:noWrap w:val="0"/>
            <w:vAlign w:val="center"/>
          </w:tcPr>
          <w:p w14:paraId="59F9428F">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涉及行政区域</w:t>
            </w:r>
          </w:p>
        </w:tc>
        <w:tc>
          <w:tcPr>
            <w:tcW w:w="1191" w:type="pct"/>
            <w:tcBorders>
              <w:tl2br w:val="nil"/>
              <w:tr2bl w:val="nil"/>
            </w:tcBorders>
            <w:noWrap w:val="0"/>
            <w:vAlign w:val="center"/>
          </w:tcPr>
          <w:p w14:paraId="49ED10DC">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评价等级及范围</w:t>
            </w:r>
          </w:p>
        </w:tc>
        <w:tc>
          <w:tcPr>
            <w:tcW w:w="1321" w:type="pct"/>
            <w:tcBorders>
              <w:tl2br w:val="nil"/>
              <w:tr2bl w:val="nil"/>
            </w:tcBorders>
            <w:noWrap w:val="0"/>
            <w:vAlign w:val="center"/>
          </w:tcPr>
          <w:p w14:paraId="45502A89">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调查到的主要植被</w:t>
            </w:r>
          </w:p>
        </w:tc>
        <w:tc>
          <w:tcPr>
            <w:tcW w:w="497" w:type="pct"/>
            <w:tcBorders>
              <w:tl2br w:val="nil"/>
              <w:tr2bl w:val="nil"/>
            </w:tcBorders>
            <w:noWrap w:val="0"/>
            <w:vAlign w:val="center"/>
          </w:tcPr>
          <w:p w14:paraId="76C05B0E">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样方数量</w:t>
            </w:r>
          </w:p>
        </w:tc>
        <w:tc>
          <w:tcPr>
            <w:tcW w:w="631" w:type="pct"/>
            <w:tcBorders>
              <w:tl2br w:val="nil"/>
              <w:tr2bl w:val="nil"/>
            </w:tcBorders>
            <w:noWrap w:val="0"/>
            <w:vAlign w:val="center"/>
          </w:tcPr>
          <w:p w14:paraId="03EF022A">
            <w:pPr>
              <w:pStyle w:val="29"/>
              <w:suppressLineNumbers w:val="0"/>
              <w:bidi w:val="0"/>
              <w:spacing w:beforeAutospacing="0" w:afterAutospacing="0"/>
              <w:ind w:left="0" w:right="0"/>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调查时间</w:t>
            </w:r>
          </w:p>
        </w:tc>
      </w:tr>
      <w:tr w14:paraId="71B5E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741" w:type="pct"/>
            <w:tcBorders>
              <w:tl2br w:val="nil"/>
              <w:tr2bl w:val="nil"/>
            </w:tcBorders>
            <w:noWrap w:val="0"/>
            <w:vAlign w:val="center"/>
          </w:tcPr>
          <w:p w14:paraId="2C6C398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I.东部草原亚区域</w:t>
            </w:r>
          </w:p>
        </w:tc>
        <w:tc>
          <w:tcPr>
            <w:tcW w:w="616" w:type="pct"/>
            <w:tcBorders>
              <w:tl2br w:val="nil"/>
              <w:tr2bl w:val="nil"/>
            </w:tcBorders>
            <w:noWrap w:val="0"/>
            <w:vAlign w:val="center"/>
          </w:tcPr>
          <w:p w14:paraId="6F93CD7F">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彭阳县</w:t>
            </w:r>
          </w:p>
        </w:tc>
        <w:tc>
          <w:tcPr>
            <w:tcW w:w="1191" w:type="pct"/>
            <w:tcBorders>
              <w:tl2br w:val="nil"/>
              <w:tr2bl w:val="nil"/>
            </w:tcBorders>
            <w:noWrap w:val="0"/>
            <w:vAlign w:val="center"/>
          </w:tcPr>
          <w:p w14:paraId="1F7B40CE">
            <w:pPr>
              <w:pStyle w:val="29"/>
              <w:suppressLineNumbers w:val="0"/>
              <w:bidi w:val="0"/>
              <w:spacing w:beforeAutospacing="0" w:afterAutospacing="0"/>
              <w:ind w:left="0" w:leftChars="0" w:right="0" w:rightChars="0" w:firstLine="0" w:firstLineChars="0"/>
              <w:jc w:val="both"/>
              <w:outlineLvl w:val="9"/>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二级评价：</w:t>
            </w:r>
            <w:r>
              <w:rPr>
                <w:rFonts w:hint="eastAsia" w:cs="Times New Roman"/>
                <w:color w:val="auto"/>
                <w:sz w:val="21"/>
                <w:szCs w:val="21"/>
                <w:highlight w:val="none"/>
                <w:lang w:val="en-US" w:eastAsia="zh-CN"/>
              </w:rPr>
              <w:t>评价范围涉及</w:t>
            </w:r>
            <w:r>
              <w:rPr>
                <w:rFonts w:hint="default" w:ascii="Times New Roman" w:hAnsi="Times New Roman" w:cs="Times New Roman"/>
                <w:color w:val="auto"/>
                <w:sz w:val="21"/>
                <w:szCs w:val="21"/>
                <w:highlight w:val="none"/>
                <w:lang w:val="en-US" w:eastAsia="zh-CN"/>
              </w:rPr>
              <w:t>生态保护红线——西南黄土高原丘陵水土保持区</w:t>
            </w:r>
            <w:r>
              <w:rPr>
                <w:rFonts w:hint="eastAsia" w:cs="Times New Roman"/>
                <w:color w:val="auto"/>
                <w:sz w:val="21"/>
                <w:szCs w:val="21"/>
                <w:highlight w:val="none"/>
                <w:lang w:val="en-US" w:eastAsia="zh-CN"/>
              </w:rPr>
              <w:t>。</w:t>
            </w:r>
          </w:p>
          <w:p w14:paraId="1EA898FF">
            <w:pPr>
              <w:pStyle w:val="29"/>
              <w:suppressLineNumbers w:val="0"/>
              <w:bidi w:val="0"/>
              <w:spacing w:beforeAutospacing="0" w:afterAutospacing="0"/>
              <w:ind w:left="0" w:leftChars="0" w:right="0" w:rightChars="0" w:firstLine="0" w:firstLineChars="0"/>
              <w:jc w:val="both"/>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评价范围：</w:t>
            </w:r>
            <w:r>
              <w:rPr>
                <w:rFonts w:hint="eastAsia" w:cs="Times New Roman"/>
                <w:color w:val="auto"/>
                <w:sz w:val="21"/>
                <w:szCs w:val="21"/>
                <w:highlight w:val="none"/>
                <w:lang w:val="en-US" w:eastAsia="zh-CN"/>
              </w:rPr>
              <w:t>河道</w:t>
            </w:r>
            <w:r>
              <w:rPr>
                <w:rFonts w:hint="default" w:ascii="Times New Roman" w:hAnsi="Times New Roman" w:cs="Times New Roman"/>
                <w:color w:val="auto"/>
                <w:sz w:val="21"/>
                <w:szCs w:val="21"/>
                <w:highlight w:val="none"/>
                <w:lang w:val="en-US" w:eastAsia="zh-CN"/>
              </w:rPr>
              <w:t>向两侧外延</w:t>
            </w:r>
            <w:r>
              <w:rPr>
                <w:rFonts w:hint="eastAsia" w:cs="Times New Roman"/>
                <w:color w:val="auto"/>
                <w:sz w:val="21"/>
                <w:szCs w:val="21"/>
                <w:highlight w:val="none"/>
                <w:lang w:val="en-US" w:eastAsia="zh-CN"/>
              </w:rPr>
              <w:t>300</w:t>
            </w:r>
            <w:r>
              <w:rPr>
                <w:rFonts w:hint="default" w:ascii="Times New Roman" w:hAnsi="Times New Roman" w:cs="Times New Roman"/>
                <w:color w:val="auto"/>
                <w:sz w:val="21"/>
                <w:szCs w:val="21"/>
                <w:highlight w:val="none"/>
                <w:lang w:val="en-US" w:eastAsia="zh-CN"/>
              </w:rPr>
              <w:t>m范围</w:t>
            </w:r>
          </w:p>
        </w:tc>
        <w:tc>
          <w:tcPr>
            <w:tcW w:w="1321" w:type="pct"/>
            <w:tcBorders>
              <w:tl2br w:val="nil"/>
              <w:tr2bl w:val="nil"/>
            </w:tcBorders>
            <w:noWrap w:val="0"/>
            <w:vAlign w:val="center"/>
          </w:tcPr>
          <w:p w14:paraId="67D0F7F3">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二级评价段</w:t>
            </w:r>
            <w:r>
              <w:rPr>
                <w:rFonts w:hint="eastAsia" w:cs="Times New Roman"/>
                <w:color w:val="auto"/>
                <w:sz w:val="21"/>
                <w:szCs w:val="21"/>
                <w:highlight w:val="none"/>
                <w:lang w:val="en-US" w:eastAsia="zh-CN"/>
              </w:rPr>
              <w:t>：</w:t>
            </w:r>
            <w:r>
              <w:rPr>
                <w:rFonts w:hint="eastAsia" w:cs="Times New Roman"/>
                <w:color w:val="auto"/>
                <w:sz w:val="21"/>
                <w:szCs w:val="21"/>
                <w:highlight w:val="none"/>
                <w:lang w:val="en-US" w:eastAsia="zh-CN"/>
              </w:rPr>
              <w:br w:type="textWrapping"/>
            </w:r>
            <w:r>
              <w:rPr>
                <w:rFonts w:hint="eastAsia" w:cs="Times New Roman"/>
                <w:color w:val="auto"/>
                <w:sz w:val="21"/>
                <w:szCs w:val="21"/>
                <w:highlight w:val="none"/>
                <w:lang w:val="en-US" w:eastAsia="zh-CN"/>
              </w:rPr>
              <w:t>草本：冰草、白莲蒿、猪毛蒿</w:t>
            </w:r>
            <w:r>
              <w:rPr>
                <w:rFonts w:hint="default" w:ascii="Times New Roman" w:hAnsi="Times New Roman" w:cs="Times New Roman"/>
                <w:color w:val="auto"/>
                <w:sz w:val="21"/>
                <w:szCs w:val="21"/>
                <w:highlight w:val="none"/>
                <w:lang w:val="en-US" w:eastAsia="zh-CN"/>
              </w:rPr>
              <w:br w:type="textWrapping"/>
            </w:r>
            <w:r>
              <w:rPr>
                <w:rFonts w:hint="eastAsia" w:cs="Times New Roman"/>
                <w:color w:val="auto"/>
                <w:sz w:val="21"/>
                <w:szCs w:val="21"/>
                <w:highlight w:val="none"/>
                <w:lang w:val="en-US" w:eastAsia="zh-CN"/>
              </w:rPr>
              <w:t>乔灌木：山杏、山桃、柠条</w:t>
            </w:r>
            <w:r>
              <w:rPr>
                <w:rFonts w:hint="default" w:ascii="Times New Roman" w:hAnsi="Times New Roman" w:cs="Times New Roman"/>
                <w:color w:val="auto"/>
                <w:sz w:val="21"/>
                <w:szCs w:val="21"/>
                <w:highlight w:val="none"/>
                <w:lang w:val="en-US" w:eastAsia="zh-CN"/>
              </w:rPr>
              <w:t>等。</w:t>
            </w:r>
          </w:p>
        </w:tc>
        <w:tc>
          <w:tcPr>
            <w:tcW w:w="497" w:type="pct"/>
            <w:tcBorders>
              <w:tl2br w:val="nil"/>
              <w:tr2bl w:val="nil"/>
            </w:tcBorders>
            <w:noWrap w:val="0"/>
            <w:vAlign w:val="center"/>
          </w:tcPr>
          <w:p w14:paraId="50A73532">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个</w:t>
            </w:r>
          </w:p>
        </w:tc>
        <w:tc>
          <w:tcPr>
            <w:tcW w:w="631" w:type="pct"/>
            <w:tcBorders>
              <w:tl2br w:val="nil"/>
              <w:tr2bl w:val="nil"/>
            </w:tcBorders>
            <w:noWrap w:val="0"/>
            <w:vAlign w:val="center"/>
          </w:tcPr>
          <w:p w14:paraId="1FD62B53">
            <w:pPr>
              <w:pStyle w:val="29"/>
              <w:suppressLineNumbers w:val="0"/>
              <w:bidi w:val="0"/>
              <w:spacing w:beforeAutospacing="0" w:afterAutospacing="0"/>
              <w:ind w:left="0" w:leftChars="0" w:right="0" w:rightChars="0" w:firstLine="0" w:firstLineChars="0"/>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0.21日</w:t>
            </w:r>
          </w:p>
        </w:tc>
      </w:tr>
    </w:tbl>
    <w:p w14:paraId="3398DCC0">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①调查路线选取调查时以重点施工区域（</w:t>
      </w:r>
      <w:r>
        <w:rPr>
          <w:rFonts w:hint="eastAsia" w:cs="Times New Roman"/>
          <w:color w:val="auto"/>
          <w:sz w:val="24"/>
          <w:szCs w:val="24"/>
          <w:highlight w:val="none"/>
          <w:lang w:val="en-US" w:eastAsia="zh-CN"/>
        </w:rPr>
        <w:t>河道靠近敏感区附近工程区</w:t>
      </w:r>
      <w:r>
        <w:rPr>
          <w:rFonts w:hint="default" w:ascii="Times New Roman" w:hAnsi="Times New Roman" w:eastAsia="宋体" w:cs="Times New Roman"/>
          <w:color w:val="auto"/>
          <w:sz w:val="24"/>
          <w:szCs w:val="24"/>
          <w:highlight w:val="none"/>
          <w:lang w:val="en-US" w:eastAsia="zh-CN"/>
        </w:rPr>
        <w:t>）为中心，向四周辐射调查。调查时采用线路调查与样方调查相结合的方式进行，即在评价区内按不同方向选择具有代表性的线路沿线进行调查，沿途记录植物种类、观察生境、目测盖度等，对集中分布的植物群落进行样方调查。</w:t>
      </w:r>
    </w:p>
    <w:p w14:paraId="25E7EE79">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样方布点原则植被调查取样的目的是要通过样方的研究，准确地推测评价区植被的总体，所选取的样方应具有代表性，能通过尽可能少的抽样获得较为准确的有关总体的特征。在对评价区的植被进行样方调查中，本工程</w:t>
      </w:r>
      <w:r>
        <w:rPr>
          <w:rFonts w:hint="eastAsia" w:cs="Times New Roman"/>
          <w:color w:val="auto"/>
          <w:sz w:val="24"/>
          <w:szCs w:val="24"/>
          <w:highlight w:val="none"/>
          <w:lang w:val="en-US" w:eastAsia="zh-CN"/>
        </w:rPr>
        <w:t>不穿越和占用</w:t>
      </w:r>
      <w:r>
        <w:rPr>
          <w:rFonts w:hint="default" w:ascii="Times New Roman" w:hAnsi="Times New Roman" w:eastAsia="宋体" w:cs="Times New Roman"/>
          <w:color w:val="auto"/>
          <w:sz w:val="24"/>
          <w:szCs w:val="24"/>
          <w:highlight w:val="none"/>
          <w:lang w:val="en-US" w:eastAsia="zh-CN"/>
        </w:rPr>
        <w:t>生态保护红线</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西南黄土高原丘陵水土保持生态保护红线</w:t>
      </w:r>
      <w:r>
        <w:rPr>
          <w:rFonts w:hint="eastAsia" w:cs="Times New Roman"/>
          <w:color w:val="auto"/>
          <w:sz w:val="24"/>
          <w:szCs w:val="24"/>
          <w:highlight w:val="none"/>
          <w:lang w:val="en-US" w:eastAsia="zh-CN"/>
        </w:rPr>
        <w:t>），仅评价范围涉及红线区域</w:t>
      </w:r>
      <w:r>
        <w:rPr>
          <w:rFonts w:hint="default" w:ascii="Times New Roman" w:hAnsi="Times New Roman" w:eastAsia="宋体" w:cs="Times New Roman"/>
          <w:color w:val="auto"/>
          <w:sz w:val="24"/>
          <w:szCs w:val="24"/>
          <w:highlight w:val="none"/>
          <w:lang w:val="en-US" w:eastAsia="zh-CN"/>
        </w:rPr>
        <w:t>。</w:t>
      </w:r>
    </w:p>
    <w:p w14:paraId="5B40A6BB">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工程布置情况，针对不同区域的植被类型尽可能反映评价区植被状况。尽量避免非取样误差，避免选择路边易到之处；两人以上进行观察记录，消除主观因素。评价区由于涉及不同类型的生态敏感区，可根据不同的生态敏感区进行抽样调查，尽量</w:t>
      </w:r>
      <w:r>
        <w:rPr>
          <w:rFonts w:hint="eastAsia" w:cs="Times New Roman"/>
          <w:color w:val="auto"/>
          <w:sz w:val="24"/>
          <w:szCs w:val="24"/>
          <w:highlight w:val="none"/>
          <w:lang w:val="en-US" w:eastAsia="zh-CN"/>
        </w:rPr>
        <w:t>反映</w:t>
      </w:r>
      <w:r>
        <w:rPr>
          <w:rFonts w:hint="default" w:ascii="Times New Roman" w:hAnsi="Times New Roman" w:eastAsia="宋体" w:cs="Times New Roman"/>
          <w:color w:val="auto"/>
          <w:sz w:val="24"/>
          <w:szCs w:val="24"/>
          <w:highlight w:val="none"/>
          <w:lang w:val="en-US" w:eastAsia="zh-CN"/>
        </w:rPr>
        <w:t>生态敏感</w:t>
      </w:r>
      <w:r>
        <w:rPr>
          <w:rFonts w:hint="eastAsia"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lang w:val="en-US" w:eastAsia="zh-CN"/>
        </w:rPr>
        <w:t>及周边植被分布状况。以上原则保证了样方点布置的代表性，调查结果中的植被应包括评价区分布最普遍、最主要的植被类型。</w:t>
      </w:r>
    </w:p>
    <w:p w14:paraId="488F6DB2">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bookmarkStart w:id="4476" w:name="_Toc13172"/>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植物种类调查植物</w:t>
      </w:r>
      <w:bookmarkEnd w:id="4476"/>
    </w:p>
    <w:p w14:paraId="2FCDE93C">
      <w:pPr>
        <w:pStyle w:val="13"/>
        <w:keepNext w:val="0"/>
        <w:keepLines w:val="0"/>
        <w:pageBreakBefore w:val="0"/>
        <w:widowControl w:val="0"/>
        <w:kinsoku/>
        <w:wordWrap/>
        <w:overflowPunct/>
        <w:topLinePunct w:val="0"/>
        <w:autoSpaceDE/>
        <w:autoSpaceDN/>
        <w:bidi w:val="0"/>
        <w:adjustRightInd w:val="0"/>
        <w:snapToGrid w:val="0"/>
        <w:spacing w:after="0"/>
        <w:ind w:left="0" w:leftChars="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种类调查采取样线调查与重点调查相结合的方法，在生态敏感区、重点施工区及植被状况良好的区域进行重点调查；对重点保护野生植物、古树名木的调查中，首先向地方林业局及保护区管理部门查询工程沿线是否有分布，然后对工程可能影响到的重点保护植物和古树名木进行现场实地调查、访问调查及复核调查。通过调查，明确评价区及占地区植物种类，明确重点保护野生植物和古树名木的种类、数量、分布、生存状况及其与工程的区位关系、工程影响方式等。</w:t>
      </w:r>
    </w:p>
    <w:p w14:paraId="2F2D2C51">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ind w:leftChars="200"/>
        <w:textAlignment w:val="auto"/>
        <w:outlineLvl w:val="9"/>
        <w:rPr>
          <w:rFonts w:hint="default" w:ascii="Times New Roman" w:hAnsi="Times New Roman" w:eastAsia="宋体" w:cs="Times New Roman"/>
          <w:color w:val="auto"/>
          <w:sz w:val="24"/>
          <w:szCs w:val="24"/>
          <w:highlight w:val="none"/>
          <w:lang w:val="en-US" w:eastAsia="zh-CN"/>
        </w:rPr>
      </w:pPr>
      <w:bookmarkStart w:id="4477" w:name="_Toc10516"/>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植被及群系调查</w:t>
      </w:r>
      <w:bookmarkEnd w:id="4477"/>
    </w:p>
    <w:p w14:paraId="197F537F">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80" w:firstLineChars="200"/>
        <w:jc w:val="both"/>
        <w:textAlignment w:val="auto"/>
        <w:outlineLvl w:val="9"/>
        <w:rPr>
          <w:rFonts w:hint="default" w:ascii="Times New Roman" w:hAnsi="Times New Roman" w:cs="Times New Roman"/>
          <w:color w:val="auto"/>
          <w:sz w:val="24"/>
          <w:szCs w:val="24"/>
          <w:highlight w:val="none"/>
          <w:lang w:val="en-US" w:eastAsia="zh-CN"/>
        </w:rPr>
        <w:sectPr>
          <w:head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z w:val="24"/>
          <w:szCs w:val="24"/>
          <w:highlight w:val="none"/>
          <w:lang w:val="en-US" w:eastAsia="zh-CN"/>
        </w:rPr>
        <w:t>在实地调查的基础上，结合评价区植被情况，确定典型的群落地段，采用典型样方法进行群落调查。根据评价区群落特点，</w:t>
      </w:r>
      <w:r>
        <w:rPr>
          <w:rFonts w:hint="eastAsia" w:cs="Times New Roman"/>
          <w:color w:val="auto"/>
          <w:sz w:val="24"/>
          <w:szCs w:val="24"/>
          <w:highlight w:val="none"/>
          <w:lang w:val="en-US" w:eastAsia="zh-CN"/>
        </w:rPr>
        <w:t>乔灌木</w:t>
      </w:r>
      <w:r>
        <w:rPr>
          <w:rFonts w:hint="default" w:ascii="Times New Roman" w:hAnsi="Times New Roman" w:eastAsia="宋体" w:cs="Times New Roman"/>
          <w:color w:val="auto"/>
          <w:sz w:val="24"/>
          <w:szCs w:val="24"/>
          <w:highlight w:val="none"/>
          <w:lang w:val="en-US" w:eastAsia="zh-CN"/>
        </w:rPr>
        <w:t>样方面积设置为10m×10m，</w:t>
      </w:r>
      <w:r>
        <w:rPr>
          <w:rFonts w:hint="eastAsia" w:cs="Times New Roman"/>
          <w:color w:val="auto"/>
          <w:sz w:val="24"/>
          <w:szCs w:val="24"/>
          <w:highlight w:val="none"/>
          <w:lang w:val="en-US" w:eastAsia="zh-CN"/>
        </w:rPr>
        <w:t>草本</w:t>
      </w:r>
      <w:r>
        <w:rPr>
          <w:rFonts w:hint="default" w:ascii="Times New Roman" w:hAnsi="Times New Roman" w:eastAsia="宋体" w:cs="Times New Roman"/>
          <w:color w:val="auto"/>
          <w:sz w:val="24"/>
          <w:szCs w:val="24"/>
          <w:highlight w:val="none"/>
          <w:lang w:val="en-US" w:eastAsia="zh-CN"/>
        </w:rPr>
        <w:t>样方面积设置为</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eastAsia" w:cs="Times New Roman"/>
          <w:color w:val="auto"/>
          <w:sz w:val="24"/>
          <w:szCs w:val="24"/>
          <w:highlight w:val="none"/>
          <w:lang w:val="en-US" w:eastAsia="zh-CN"/>
        </w:rPr>
        <w:t>本次评价</w:t>
      </w:r>
      <w:r>
        <w:rPr>
          <w:rFonts w:hint="default" w:ascii="Times New Roman" w:hAnsi="Times New Roman" w:eastAsia="宋体" w:cs="Times New Roman"/>
          <w:color w:val="auto"/>
          <w:sz w:val="24"/>
          <w:szCs w:val="24"/>
          <w:highlight w:val="none"/>
          <w:lang w:val="en-US" w:eastAsia="zh-CN"/>
        </w:rPr>
        <w:t>在评价</w:t>
      </w:r>
      <w:r>
        <w:rPr>
          <w:rFonts w:hint="eastAsia" w:cs="Times New Roman"/>
          <w:color w:val="auto"/>
          <w:sz w:val="24"/>
          <w:szCs w:val="24"/>
          <w:highlight w:val="none"/>
          <w:lang w:val="en-US" w:eastAsia="zh-CN"/>
        </w:rPr>
        <w:t>范围</w:t>
      </w:r>
      <w:r>
        <w:rPr>
          <w:rFonts w:hint="default" w:ascii="Times New Roman" w:hAnsi="Times New Roman" w:eastAsia="宋体" w:cs="Times New Roman"/>
          <w:color w:val="auto"/>
          <w:sz w:val="24"/>
          <w:szCs w:val="24"/>
          <w:highlight w:val="none"/>
          <w:lang w:val="en-US" w:eastAsia="zh-CN"/>
        </w:rPr>
        <w:t>内设置</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个植物样方调查点，详见表5.6-2，样方调查现场照片详见图5.6-1</w:t>
      </w:r>
      <w:r>
        <w:rPr>
          <w:rFonts w:hint="default" w:ascii="Times New Roman" w:hAnsi="Times New Roman" w:cs="Times New Roman"/>
          <w:color w:val="auto"/>
          <w:sz w:val="24"/>
          <w:szCs w:val="24"/>
          <w:highlight w:val="none"/>
          <w:lang w:val="en-US" w:eastAsia="zh-CN"/>
        </w:rPr>
        <w:t>。</w:t>
      </w:r>
    </w:p>
    <w:p w14:paraId="722B1B7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表5.6-2 评价区内植物调查样方分布一览表</w:t>
      </w:r>
    </w:p>
    <w:tbl>
      <w:tblPr>
        <w:tblStyle w:val="31"/>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1755"/>
        <w:gridCol w:w="1559"/>
        <w:gridCol w:w="1420"/>
        <w:gridCol w:w="2327"/>
        <w:gridCol w:w="2044"/>
        <w:gridCol w:w="1877"/>
        <w:gridCol w:w="967"/>
        <w:gridCol w:w="1511"/>
      </w:tblGrid>
      <w:tr w14:paraId="1FD96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248" w:type="pct"/>
            <w:vMerge w:val="restart"/>
            <w:tcBorders>
              <w:top w:val="single" w:color="000000" w:sz="12" w:space="0"/>
              <w:left w:val="nil"/>
              <w:bottom w:val="single" w:color="000000" w:sz="4" w:space="0"/>
              <w:right w:val="single" w:color="000000" w:sz="4" w:space="0"/>
              <w:tl2br w:val="nil"/>
              <w:tr2bl w:val="nil"/>
            </w:tcBorders>
            <w:noWrap w:val="0"/>
            <w:vAlign w:val="center"/>
          </w:tcPr>
          <w:p w14:paraId="06F12C3B">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r>
              <w:rPr>
                <w:rFonts w:hint="default"/>
                <w:b/>
                <w:bCs/>
                <w:color w:val="auto"/>
                <w:sz w:val="18"/>
                <w:szCs w:val="18"/>
                <w:highlight w:val="none"/>
              </w:rPr>
              <w:t>样方编号</w:t>
            </w:r>
          </w:p>
        </w:tc>
        <w:tc>
          <w:tcPr>
            <w:tcW w:w="1169" w:type="pct"/>
            <w:gridSpan w:val="2"/>
            <w:tcBorders>
              <w:top w:val="single" w:color="000000" w:sz="12" w:space="0"/>
              <w:left w:val="single" w:color="000000" w:sz="4" w:space="0"/>
              <w:bottom w:val="single" w:color="000000" w:sz="4" w:space="0"/>
              <w:right w:val="single" w:color="000000" w:sz="4" w:space="0"/>
              <w:tl2br w:val="nil"/>
              <w:tr2bl w:val="nil"/>
            </w:tcBorders>
            <w:noWrap w:val="0"/>
            <w:vAlign w:val="center"/>
          </w:tcPr>
          <w:p w14:paraId="12FFA39C">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r>
              <w:rPr>
                <w:rFonts w:hint="default"/>
                <w:b/>
                <w:bCs/>
                <w:color w:val="auto"/>
                <w:sz w:val="18"/>
                <w:szCs w:val="18"/>
                <w:highlight w:val="none"/>
              </w:rPr>
              <w:t>地理位置</w:t>
            </w:r>
          </w:p>
        </w:tc>
        <w:tc>
          <w:tcPr>
            <w:tcW w:w="501"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14:paraId="73E4EF82">
            <w:pPr>
              <w:pStyle w:val="39"/>
              <w:keepNext w:val="0"/>
              <w:keepLines w:val="0"/>
              <w:suppressLineNumbers w:val="0"/>
              <w:bidi w:val="0"/>
              <w:spacing w:before="0" w:beforeAutospacing="0" w:afterAutospacing="0"/>
              <w:ind w:right="0"/>
              <w:jc w:val="center"/>
              <w:rPr>
                <w:rFonts w:hint="default"/>
                <w:b/>
                <w:bCs/>
                <w:color w:val="auto"/>
                <w:sz w:val="18"/>
                <w:szCs w:val="18"/>
                <w:highlight w:val="none"/>
                <w:lang w:eastAsia="zh-CN"/>
              </w:rPr>
            </w:pPr>
            <w:r>
              <w:rPr>
                <w:rFonts w:hint="eastAsia"/>
                <w:b/>
                <w:bCs/>
                <w:color w:val="auto"/>
                <w:sz w:val="18"/>
                <w:szCs w:val="18"/>
                <w:highlight w:val="none"/>
                <w:lang w:eastAsia="zh-CN"/>
              </w:rPr>
              <w:t>海拔</w:t>
            </w:r>
            <w:r>
              <w:rPr>
                <w:rFonts w:hint="default"/>
                <w:b/>
                <w:bCs/>
                <w:color w:val="auto"/>
                <w:sz w:val="18"/>
                <w:szCs w:val="18"/>
                <w:highlight w:val="none"/>
                <w:lang w:eastAsia="zh-CN"/>
              </w:rPr>
              <w:t>（m）</w:t>
            </w:r>
          </w:p>
        </w:tc>
        <w:tc>
          <w:tcPr>
            <w:tcW w:w="821"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14:paraId="3F7C03D5">
            <w:pPr>
              <w:pStyle w:val="39"/>
              <w:keepNext w:val="0"/>
              <w:keepLines w:val="0"/>
              <w:suppressLineNumbers w:val="0"/>
              <w:bidi w:val="0"/>
              <w:spacing w:before="0" w:beforeAutospacing="0" w:afterAutospacing="0"/>
              <w:ind w:right="0"/>
              <w:jc w:val="center"/>
              <w:rPr>
                <w:rFonts w:hint="default"/>
                <w:b/>
                <w:bCs/>
                <w:color w:val="auto"/>
                <w:sz w:val="18"/>
                <w:szCs w:val="18"/>
                <w:highlight w:val="none"/>
                <w:lang w:eastAsia="zh-CN"/>
              </w:rPr>
            </w:pPr>
            <w:r>
              <w:rPr>
                <w:rFonts w:hint="default"/>
                <w:b/>
                <w:bCs/>
                <w:color w:val="auto"/>
                <w:sz w:val="18"/>
                <w:szCs w:val="18"/>
                <w:highlight w:val="none"/>
                <w:lang w:eastAsia="zh-CN"/>
              </w:rPr>
              <w:t>群</w:t>
            </w:r>
            <w:r>
              <w:rPr>
                <w:rFonts w:hint="eastAsia"/>
                <w:b/>
                <w:bCs/>
                <w:color w:val="auto"/>
                <w:sz w:val="18"/>
                <w:szCs w:val="18"/>
                <w:highlight w:val="none"/>
                <w:lang w:eastAsia="zh-CN"/>
              </w:rPr>
              <w:t>落</w:t>
            </w:r>
            <w:r>
              <w:rPr>
                <w:rFonts w:hint="default"/>
                <w:b/>
                <w:bCs/>
                <w:color w:val="auto"/>
                <w:sz w:val="18"/>
                <w:szCs w:val="18"/>
                <w:highlight w:val="none"/>
                <w:lang w:eastAsia="zh-CN"/>
              </w:rPr>
              <w:t>类型</w:t>
            </w:r>
          </w:p>
        </w:tc>
        <w:tc>
          <w:tcPr>
            <w:tcW w:w="721"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14:paraId="5D625786">
            <w:pPr>
              <w:pStyle w:val="39"/>
              <w:keepNext w:val="0"/>
              <w:keepLines w:val="0"/>
              <w:suppressLineNumbers w:val="0"/>
              <w:bidi w:val="0"/>
              <w:spacing w:before="0" w:beforeAutospacing="0" w:afterAutospacing="0"/>
              <w:ind w:right="0"/>
              <w:jc w:val="center"/>
              <w:rPr>
                <w:rFonts w:hint="default"/>
                <w:b/>
                <w:bCs/>
                <w:color w:val="auto"/>
                <w:sz w:val="18"/>
                <w:szCs w:val="18"/>
                <w:highlight w:val="none"/>
                <w:lang w:eastAsia="zh-CN"/>
              </w:rPr>
            </w:pPr>
            <w:r>
              <w:rPr>
                <w:rFonts w:hint="eastAsia"/>
                <w:b/>
                <w:bCs/>
                <w:color w:val="auto"/>
                <w:sz w:val="18"/>
                <w:szCs w:val="18"/>
                <w:highlight w:val="none"/>
                <w:lang w:eastAsia="zh-CN"/>
              </w:rPr>
              <w:t>样方植被</w:t>
            </w:r>
          </w:p>
        </w:tc>
        <w:tc>
          <w:tcPr>
            <w:tcW w:w="662"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14:paraId="042AE69F">
            <w:pPr>
              <w:pStyle w:val="39"/>
              <w:keepNext w:val="0"/>
              <w:keepLines w:val="0"/>
              <w:suppressLineNumbers w:val="0"/>
              <w:bidi w:val="0"/>
              <w:spacing w:before="0" w:beforeAutospacing="0" w:afterAutospacing="0"/>
              <w:ind w:right="0"/>
              <w:jc w:val="center"/>
              <w:rPr>
                <w:rFonts w:hint="default"/>
                <w:b/>
                <w:bCs/>
                <w:color w:val="auto"/>
                <w:sz w:val="18"/>
                <w:szCs w:val="18"/>
                <w:highlight w:val="none"/>
                <w:lang w:eastAsia="zh-CN"/>
              </w:rPr>
            </w:pPr>
            <w:r>
              <w:rPr>
                <w:rFonts w:hint="default"/>
                <w:b/>
                <w:bCs/>
                <w:color w:val="auto"/>
                <w:sz w:val="18"/>
                <w:szCs w:val="18"/>
                <w:highlight w:val="none"/>
                <w:lang w:eastAsia="zh-CN"/>
              </w:rPr>
              <w:t>工程区</w:t>
            </w:r>
          </w:p>
        </w:tc>
        <w:tc>
          <w:tcPr>
            <w:tcW w:w="341"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14:paraId="305706ED">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r>
              <w:rPr>
                <w:rFonts w:hint="default"/>
                <w:b/>
                <w:bCs/>
                <w:color w:val="auto"/>
                <w:sz w:val="18"/>
                <w:szCs w:val="18"/>
                <w:highlight w:val="none"/>
              </w:rPr>
              <w:t>地形地貌</w:t>
            </w:r>
          </w:p>
        </w:tc>
        <w:tc>
          <w:tcPr>
            <w:tcW w:w="533" w:type="pct"/>
            <w:vMerge w:val="restart"/>
            <w:tcBorders>
              <w:top w:val="single" w:color="000000" w:sz="12" w:space="0"/>
              <w:left w:val="single" w:color="000000" w:sz="4" w:space="0"/>
              <w:bottom w:val="single" w:color="000000" w:sz="4" w:space="0"/>
              <w:right w:val="nil"/>
              <w:tl2br w:val="nil"/>
              <w:tr2bl w:val="nil"/>
            </w:tcBorders>
            <w:noWrap w:val="0"/>
            <w:vAlign w:val="center"/>
          </w:tcPr>
          <w:p w14:paraId="211839F8">
            <w:pPr>
              <w:pStyle w:val="39"/>
              <w:keepNext w:val="0"/>
              <w:keepLines w:val="0"/>
              <w:suppressLineNumbers w:val="0"/>
              <w:bidi w:val="0"/>
              <w:spacing w:before="0" w:beforeAutospacing="0" w:afterAutospacing="0"/>
              <w:ind w:right="0"/>
              <w:jc w:val="center"/>
              <w:rPr>
                <w:rFonts w:hint="default"/>
                <w:b/>
                <w:bCs/>
                <w:color w:val="auto"/>
                <w:sz w:val="18"/>
                <w:szCs w:val="18"/>
                <w:highlight w:val="none"/>
                <w:lang w:eastAsia="zh-CN"/>
              </w:rPr>
            </w:pPr>
            <w:r>
              <w:rPr>
                <w:rFonts w:hint="default"/>
                <w:b/>
                <w:bCs/>
                <w:color w:val="auto"/>
                <w:sz w:val="18"/>
                <w:szCs w:val="18"/>
                <w:highlight w:val="none"/>
                <w:lang w:eastAsia="zh-CN"/>
              </w:rPr>
              <w:t>评价等级</w:t>
            </w:r>
          </w:p>
        </w:tc>
      </w:tr>
      <w:tr w14:paraId="4E5D54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248" w:type="pct"/>
            <w:vMerge w:val="continue"/>
            <w:tcBorders>
              <w:top w:val="single" w:color="000000" w:sz="4" w:space="0"/>
              <w:left w:val="nil"/>
              <w:bottom w:val="single" w:color="000000" w:sz="4" w:space="0"/>
              <w:right w:val="single" w:color="000000" w:sz="4" w:space="0"/>
              <w:tl2br w:val="nil"/>
              <w:tr2bl w:val="nil"/>
            </w:tcBorders>
            <w:noWrap w:val="0"/>
            <w:vAlign w:val="center"/>
          </w:tcPr>
          <w:p w14:paraId="7AF1DA1E">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BA12F4">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r>
              <w:rPr>
                <w:rFonts w:hint="default"/>
                <w:b/>
                <w:bCs/>
                <w:color w:val="auto"/>
                <w:sz w:val="18"/>
                <w:szCs w:val="18"/>
                <w:highlight w:val="none"/>
              </w:rPr>
              <w:t>东经</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D556A">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r>
              <w:rPr>
                <w:rFonts w:hint="default"/>
                <w:b/>
                <w:bCs/>
                <w:color w:val="auto"/>
                <w:sz w:val="18"/>
                <w:szCs w:val="18"/>
                <w:highlight w:val="none"/>
              </w:rPr>
              <w:t>北纬</w:t>
            </w:r>
          </w:p>
        </w:tc>
        <w:tc>
          <w:tcPr>
            <w:tcW w:w="50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D566B8">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p>
        </w:tc>
        <w:tc>
          <w:tcPr>
            <w:tcW w:w="82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7358CF">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p>
        </w:tc>
        <w:tc>
          <w:tcPr>
            <w:tcW w:w="72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696E7">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p>
        </w:tc>
        <w:tc>
          <w:tcPr>
            <w:tcW w:w="662"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CD8CA">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p>
        </w:tc>
        <w:tc>
          <w:tcPr>
            <w:tcW w:w="34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ED7452">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p>
        </w:tc>
        <w:tc>
          <w:tcPr>
            <w:tcW w:w="533" w:type="pct"/>
            <w:vMerge w:val="continue"/>
            <w:tcBorders>
              <w:top w:val="single" w:color="000000" w:sz="4" w:space="0"/>
              <w:left w:val="single" w:color="000000" w:sz="4" w:space="0"/>
              <w:bottom w:val="single" w:color="000000" w:sz="4" w:space="0"/>
              <w:right w:val="nil"/>
              <w:tl2br w:val="nil"/>
              <w:tr2bl w:val="nil"/>
            </w:tcBorders>
            <w:noWrap w:val="0"/>
            <w:vAlign w:val="center"/>
          </w:tcPr>
          <w:p w14:paraId="2E7BA55F">
            <w:pPr>
              <w:pStyle w:val="39"/>
              <w:keepNext w:val="0"/>
              <w:keepLines w:val="0"/>
              <w:suppressLineNumbers w:val="0"/>
              <w:bidi w:val="0"/>
              <w:spacing w:before="0" w:beforeAutospacing="0" w:afterAutospacing="0"/>
              <w:ind w:right="0"/>
              <w:jc w:val="center"/>
              <w:rPr>
                <w:rFonts w:hint="default"/>
                <w:b/>
                <w:bCs/>
                <w:color w:val="auto"/>
                <w:sz w:val="18"/>
                <w:szCs w:val="18"/>
                <w:highlight w:val="none"/>
              </w:rPr>
            </w:pPr>
          </w:p>
        </w:tc>
      </w:tr>
      <w:tr w14:paraId="7A5DBA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4E461C3B">
            <w:pPr>
              <w:pStyle w:val="39"/>
              <w:keepNext w:val="0"/>
              <w:keepLines w:val="0"/>
              <w:suppressLineNumbers w:val="0"/>
              <w:bidi w:val="0"/>
              <w:spacing w:before="0" w:beforeAutospacing="0" w:afterAutospacing="0"/>
              <w:ind w:right="0"/>
              <w:jc w:val="center"/>
              <w:rPr>
                <w:rFonts w:hint="eastAsia"/>
                <w:color w:val="auto"/>
                <w:highlight w:val="none"/>
                <w:lang w:val="en-US" w:eastAsia="zh-CN"/>
              </w:rPr>
            </w:pPr>
            <w:r>
              <w:rPr>
                <w:rFonts w:hint="eastAsia"/>
                <w:color w:val="auto"/>
                <w:highlight w:val="none"/>
                <w:lang w:val="en-US" w:eastAsia="zh-CN"/>
              </w:rPr>
              <w:t>1</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0BC6EC">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106.4266174</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58C057">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35.91004087</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6F9562">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1678.489</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D06639">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default" w:ascii="Times New Roman" w:hAnsi="Times New Roman" w:cs="Times New Roman"/>
                <w:color w:val="auto"/>
                <w:sz w:val="21"/>
                <w:szCs w:val="21"/>
                <w:highlight w:val="none"/>
                <w:lang w:val="en-US" w:eastAsia="zh-CN"/>
              </w:rPr>
              <w:t>山杏</w:t>
            </w:r>
            <w:r>
              <w:rPr>
                <w:rFonts w:hint="default" w:ascii="Times New Roman" w:hAnsi="Times New Roman" w:eastAsia="宋体" w:cs="Times New Roman"/>
                <w:color w:val="auto"/>
                <w:sz w:val="21"/>
                <w:szCs w:val="21"/>
                <w:highlight w:val="none"/>
                <w:lang w:val="en-US" w:eastAsia="zh-CN"/>
              </w:rPr>
              <w:t>群落</w:t>
            </w:r>
          </w:p>
        </w:tc>
        <w:tc>
          <w:tcPr>
            <w:tcW w:w="721" w:type="pct"/>
            <w:vMerge w:val="restart"/>
            <w:tcBorders>
              <w:top w:val="single" w:color="000000" w:sz="4" w:space="0"/>
              <w:left w:val="single" w:color="000000" w:sz="4" w:space="0"/>
              <w:right w:val="single" w:color="000000" w:sz="4" w:space="0"/>
              <w:tl2br w:val="nil"/>
              <w:tr2bl w:val="nil"/>
            </w:tcBorders>
            <w:noWrap w:val="0"/>
            <w:vAlign w:val="center"/>
          </w:tcPr>
          <w:p w14:paraId="3B02B856">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val="en-US" w:eastAsia="zh-CN"/>
              </w:rPr>
            </w:pPr>
            <w:r>
              <w:rPr>
                <w:rFonts w:hint="eastAsia"/>
                <w:color w:val="auto"/>
                <w:highlight w:val="none"/>
                <w:lang w:val="en-US" w:eastAsia="zh-CN"/>
              </w:rPr>
              <w:t>山杏、针茅、白莲蒿、冰草、猪毛蒿</w:t>
            </w: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3ACFD">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val="en-US" w:eastAsia="zh-CN"/>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5CF9AB">
            <w:pPr>
              <w:pStyle w:val="39"/>
              <w:keepNext w:val="0"/>
              <w:keepLines w:val="0"/>
              <w:suppressLineNumbers w:val="0"/>
              <w:bidi w:val="0"/>
              <w:spacing w:before="0" w:beforeAutospacing="0" w:afterAutospacing="0"/>
              <w:ind w:right="0"/>
              <w:jc w:val="center"/>
              <w:rPr>
                <w:rFonts w:hint="default"/>
                <w:color w:val="auto"/>
                <w:highlight w:val="none"/>
                <w:lang w:eastAsia="zh-CN"/>
              </w:rPr>
            </w:pPr>
            <w:r>
              <w:rPr>
                <w:rFonts w:hint="eastAsia"/>
                <w:color w:val="auto"/>
                <w:highlight w:val="none"/>
                <w:lang w:eastAsia="zh-CN"/>
              </w:rPr>
              <w:t>丘陵</w:t>
            </w:r>
          </w:p>
        </w:tc>
        <w:tc>
          <w:tcPr>
            <w:tcW w:w="533" w:type="pct"/>
            <w:vMerge w:val="restart"/>
            <w:tcBorders>
              <w:top w:val="single" w:color="000000" w:sz="4" w:space="0"/>
              <w:left w:val="single" w:color="000000" w:sz="4" w:space="0"/>
              <w:right w:val="nil"/>
              <w:tl2br w:val="nil"/>
              <w:tr2bl w:val="nil"/>
            </w:tcBorders>
            <w:noWrap w:val="0"/>
            <w:vAlign w:val="center"/>
          </w:tcPr>
          <w:p w14:paraId="246892F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二级评价</w:t>
            </w:r>
          </w:p>
          <w:p w14:paraId="7334DD0B">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r>
              <w:rPr>
                <w:rFonts w:hint="default" w:ascii="Times New Roman" w:hAnsi="Times New Roman" w:cs="Times New Roman"/>
                <w:color w:val="auto"/>
                <w:sz w:val="21"/>
                <w:szCs w:val="21"/>
                <w:highlight w:val="none"/>
              </w:rPr>
              <w:t>西南黄土高原丘陵水土保持生态保护红线</w:t>
            </w:r>
          </w:p>
        </w:tc>
      </w:tr>
      <w:tr w14:paraId="171322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590948DB">
            <w:pPr>
              <w:pStyle w:val="39"/>
              <w:keepNext w:val="0"/>
              <w:keepLines w:val="0"/>
              <w:suppressLineNumbers w:val="0"/>
              <w:bidi w:val="0"/>
              <w:spacing w:before="0" w:beforeAutospacing="0" w:afterAutospacing="0"/>
              <w:ind w:right="0"/>
              <w:jc w:val="center"/>
              <w:rPr>
                <w:rFonts w:hint="eastAsia"/>
                <w:color w:val="auto"/>
                <w:highlight w:val="none"/>
                <w:lang w:val="en-US" w:eastAsia="zh-CN"/>
              </w:rPr>
            </w:pPr>
            <w:r>
              <w:rPr>
                <w:rFonts w:hint="eastAsia"/>
                <w:color w:val="auto"/>
                <w:highlight w:val="none"/>
                <w:lang w:val="en-US" w:eastAsia="zh-CN"/>
              </w:rPr>
              <w:t>2</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5EC4DA">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106.4849018</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D93BA3">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35.91712995</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F5A2C9">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1545.811</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0EDC1B">
            <w:pPr>
              <w:pStyle w:val="29"/>
              <w:suppressLineNumbers w:val="0"/>
              <w:bidi w:val="0"/>
              <w:spacing w:beforeAutospacing="0" w:afterAutospacing="0"/>
              <w:ind w:left="0" w:leftChars="0" w:right="0" w:rightChars="0" w:firstLine="0" w:firstLineChars="0"/>
              <w:jc w:val="center"/>
              <w:outlineLvl w:val="9"/>
              <w:rPr>
                <w:rFonts w:hint="default"/>
                <w:color w:val="auto"/>
                <w:highlight w:val="none"/>
              </w:rPr>
            </w:pPr>
            <w:r>
              <w:rPr>
                <w:rFonts w:hint="default" w:ascii="Times New Roman" w:hAnsi="Times New Roman" w:cs="Times New Roman"/>
                <w:color w:val="auto"/>
                <w:sz w:val="21"/>
                <w:szCs w:val="21"/>
                <w:highlight w:val="none"/>
                <w:lang w:val="en-US" w:eastAsia="zh-CN"/>
              </w:rPr>
              <w:t>山杏群落</w:t>
            </w:r>
          </w:p>
        </w:tc>
        <w:tc>
          <w:tcPr>
            <w:tcW w:w="721" w:type="pct"/>
            <w:vMerge w:val="continue"/>
            <w:tcBorders>
              <w:left w:val="single" w:color="000000" w:sz="4" w:space="0"/>
              <w:right w:val="single" w:color="000000" w:sz="4" w:space="0"/>
              <w:tl2br w:val="nil"/>
              <w:tr2bl w:val="nil"/>
            </w:tcBorders>
            <w:noWrap w:val="0"/>
            <w:vAlign w:val="center"/>
          </w:tcPr>
          <w:p w14:paraId="6462C36D">
            <w:pPr>
              <w:pStyle w:val="29"/>
              <w:suppressLineNumbers w:val="0"/>
              <w:bidi w:val="0"/>
              <w:spacing w:beforeAutospacing="0" w:afterAutospacing="0"/>
              <w:ind w:left="0" w:leftChars="0" w:right="0" w:rightChars="0" w:firstLine="0" w:firstLineChars="0"/>
              <w:jc w:val="center"/>
              <w:outlineLvl w:val="9"/>
              <w:rPr>
                <w:rFonts w:hint="default" w:eastAsia="宋体"/>
                <w:color w:val="auto"/>
                <w:highlight w:val="none"/>
                <w:lang w:val="en-US" w:eastAsia="zh-CN"/>
              </w:rPr>
            </w:pP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E5BFA8">
            <w:pPr>
              <w:pStyle w:val="29"/>
              <w:suppressLineNumbers w:val="0"/>
              <w:bidi w:val="0"/>
              <w:spacing w:beforeAutospacing="0" w:afterAutospacing="0"/>
              <w:ind w:left="0" w:leftChars="0" w:right="0" w:rightChars="0" w:firstLine="0" w:firstLineChars="0"/>
              <w:jc w:val="center"/>
              <w:outlineLvl w:val="9"/>
              <w:rPr>
                <w:rFonts w:hint="default"/>
                <w:color w:val="auto"/>
                <w:highlight w:val="none"/>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26D928">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rPr>
            </w:pPr>
            <w:r>
              <w:rPr>
                <w:rFonts w:hint="eastAsia"/>
                <w:color w:val="auto"/>
                <w:highlight w:val="none"/>
                <w:lang w:eastAsia="zh-CN"/>
              </w:rPr>
              <w:t>丘陵</w:t>
            </w:r>
          </w:p>
        </w:tc>
        <w:tc>
          <w:tcPr>
            <w:tcW w:w="533" w:type="pct"/>
            <w:vMerge w:val="continue"/>
            <w:tcBorders>
              <w:left w:val="single" w:color="000000" w:sz="4" w:space="0"/>
              <w:right w:val="nil"/>
              <w:tl2br w:val="nil"/>
              <w:tr2bl w:val="nil"/>
            </w:tcBorders>
            <w:noWrap w:val="0"/>
            <w:vAlign w:val="center"/>
          </w:tcPr>
          <w:p w14:paraId="0D7CC14A">
            <w:pPr>
              <w:pStyle w:val="39"/>
              <w:keepNext w:val="0"/>
              <w:keepLines w:val="0"/>
              <w:suppressLineNumbers w:val="0"/>
              <w:bidi w:val="0"/>
              <w:spacing w:before="0" w:beforeAutospacing="0" w:afterAutospacing="0"/>
              <w:ind w:right="0"/>
              <w:jc w:val="center"/>
              <w:rPr>
                <w:rFonts w:hint="eastAsia" w:eastAsia="宋体"/>
                <w:color w:val="auto"/>
                <w:highlight w:val="none"/>
                <w:lang w:eastAsia="zh-CN"/>
              </w:rPr>
            </w:pPr>
          </w:p>
        </w:tc>
      </w:tr>
      <w:tr w14:paraId="10F6CF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059A414A">
            <w:pPr>
              <w:pStyle w:val="39"/>
              <w:keepNext w:val="0"/>
              <w:keepLines w:val="0"/>
              <w:suppressLineNumbers w:val="0"/>
              <w:bidi w:val="0"/>
              <w:spacing w:before="0" w:beforeAutospacing="0" w:afterAutospacing="0"/>
              <w:ind w:right="0"/>
              <w:jc w:val="center"/>
              <w:rPr>
                <w:rFonts w:hint="eastAsia"/>
                <w:color w:val="auto"/>
                <w:highlight w:val="none"/>
                <w:lang w:val="en-US" w:eastAsia="zh-CN"/>
              </w:rPr>
            </w:pPr>
            <w:r>
              <w:rPr>
                <w:rFonts w:hint="eastAsia"/>
                <w:color w:val="auto"/>
                <w:highlight w:val="none"/>
                <w:lang w:val="en-US" w:eastAsia="zh-CN"/>
              </w:rPr>
              <w:t>3</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DA4D67">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106.5059357</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A6EBF8">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35.92186136</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A966E3">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1585.171</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5A0109">
            <w:pPr>
              <w:pStyle w:val="29"/>
              <w:suppressLineNumbers w:val="0"/>
              <w:bidi w:val="0"/>
              <w:spacing w:beforeAutospacing="0" w:afterAutospacing="0"/>
              <w:ind w:left="0" w:leftChars="0" w:right="0" w:rightChars="0" w:firstLine="0" w:firstLineChars="0"/>
              <w:jc w:val="center"/>
              <w:outlineLvl w:val="9"/>
              <w:rPr>
                <w:rFonts w:hint="default"/>
                <w:color w:val="auto"/>
                <w:highlight w:val="none"/>
              </w:rPr>
            </w:pPr>
            <w:r>
              <w:rPr>
                <w:rFonts w:hint="default" w:ascii="Times New Roman" w:hAnsi="Times New Roman" w:cs="Times New Roman"/>
                <w:color w:val="auto"/>
                <w:sz w:val="21"/>
                <w:szCs w:val="21"/>
                <w:highlight w:val="none"/>
                <w:lang w:val="en-US" w:eastAsia="zh-CN"/>
              </w:rPr>
              <w:t>山杏</w:t>
            </w:r>
            <w:r>
              <w:rPr>
                <w:rFonts w:hint="default" w:ascii="Times New Roman" w:hAnsi="Times New Roman" w:eastAsia="宋体" w:cs="Times New Roman"/>
                <w:color w:val="auto"/>
                <w:sz w:val="21"/>
                <w:szCs w:val="21"/>
                <w:highlight w:val="none"/>
                <w:lang w:val="en-US" w:eastAsia="zh-CN"/>
              </w:rPr>
              <w:t>群落</w:t>
            </w:r>
          </w:p>
        </w:tc>
        <w:tc>
          <w:tcPr>
            <w:tcW w:w="721" w:type="pct"/>
            <w:vMerge w:val="continue"/>
            <w:tcBorders>
              <w:left w:val="single" w:color="000000" w:sz="4" w:space="0"/>
              <w:bottom w:val="single" w:color="000000" w:sz="4" w:space="0"/>
              <w:right w:val="single" w:color="000000" w:sz="4" w:space="0"/>
              <w:tl2br w:val="nil"/>
              <w:tr2bl w:val="nil"/>
            </w:tcBorders>
            <w:noWrap w:val="0"/>
            <w:vAlign w:val="center"/>
          </w:tcPr>
          <w:p w14:paraId="74546D16">
            <w:pPr>
              <w:pStyle w:val="29"/>
              <w:suppressLineNumbers w:val="0"/>
              <w:bidi w:val="0"/>
              <w:spacing w:beforeAutospacing="0" w:afterAutospacing="0"/>
              <w:ind w:left="0" w:leftChars="0" w:right="0" w:rightChars="0" w:firstLine="0" w:firstLineChars="0"/>
              <w:jc w:val="center"/>
              <w:outlineLvl w:val="9"/>
              <w:rPr>
                <w:rFonts w:hint="default" w:eastAsia="宋体"/>
                <w:color w:val="auto"/>
                <w:highlight w:val="none"/>
                <w:lang w:val="en-US" w:eastAsia="zh-CN"/>
              </w:rPr>
            </w:pP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A7A2C8">
            <w:pPr>
              <w:pStyle w:val="29"/>
              <w:suppressLineNumbers w:val="0"/>
              <w:bidi w:val="0"/>
              <w:spacing w:beforeAutospacing="0" w:afterAutospacing="0"/>
              <w:ind w:left="0" w:leftChars="0" w:right="0" w:rightChars="0" w:firstLine="0" w:firstLineChars="0"/>
              <w:jc w:val="center"/>
              <w:outlineLvl w:val="9"/>
              <w:rPr>
                <w:rFonts w:hint="default"/>
                <w:color w:val="auto"/>
                <w:highlight w:val="none"/>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EB0F92">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rPr>
            </w:pPr>
            <w:r>
              <w:rPr>
                <w:rFonts w:hint="eastAsia"/>
                <w:color w:val="auto"/>
                <w:highlight w:val="none"/>
                <w:lang w:eastAsia="zh-CN"/>
              </w:rPr>
              <w:t>丘陵</w:t>
            </w:r>
          </w:p>
        </w:tc>
        <w:tc>
          <w:tcPr>
            <w:tcW w:w="533" w:type="pct"/>
            <w:vMerge w:val="continue"/>
            <w:tcBorders>
              <w:left w:val="single" w:color="000000" w:sz="4" w:space="0"/>
              <w:right w:val="nil"/>
              <w:tl2br w:val="nil"/>
              <w:tr2bl w:val="nil"/>
            </w:tcBorders>
            <w:noWrap w:val="0"/>
            <w:vAlign w:val="center"/>
          </w:tcPr>
          <w:p w14:paraId="359535E1">
            <w:pPr>
              <w:pStyle w:val="39"/>
              <w:keepNext w:val="0"/>
              <w:keepLines w:val="0"/>
              <w:suppressLineNumbers w:val="0"/>
              <w:bidi w:val="0"/>
              <w:spacing w:before="0" w:beforeAutospacing="0" w:afterAutospacing="0"/>
              <w:ind w:left="-120" w:leftChars="-50" w:right="-120" w:rightChars="-50" w:firstLine="0" w:firstLineChars="0"/>
              <w:jc w:val="center"/>
              <w:rPr>
                <w:rFonts w:hint="eastAsia" w:eastAsia="宋体"/>
                <w:color w:val="auto"/>
                <w:highlight w:val="none"/>
                <w:lang w:eastAsia="zh-CN"/>
              </w:rPr>
            </w:pPr>
          </w:p>
        </w:tc>
      </w:tr>
      <w:tr w14:paraId="3F6FCF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4A805214">
            <w:pPr>
              <w:pStyle w:val="39"/>
              <w:keepNext w:val="0"/>
              <w:keepLines w:val="0"/>
              <w:suppressLineNumbers w:val="0"/>
              <w:bidi w:val="0"/>
              <w:spacing w:before="0" w:beforeAutospacing="0" w:afterAutospacing="0"/>
              <w:ind w:right="0"/>
              <w:jc w:val="center"/>
              <w:rPr>
                <w:rFonts w:hint="default"/>
                <w:color w:val="auto"/>
                <w:highlight w:val="none"/>
                <w:lang w:val="en-US" w:eastAsia="zh-CN"/>
              </w:rPr>
            </w:pPr>
            <w:r>
              <w:rPr>
                <w:rFonts w:hint="eastAsia"/>
                <w:color w:val="auto"/>
                <w:highlight w:val="none"/>
                <w:lang w:val="en-US" w:eastAsia="zh-CN"/>
              </w:rPr>
              <w:t>4</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ECEBE2">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106.4569291</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63F86A">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35.91196938</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24997E">
            <w:pPr>
              <w:pStyle w:val="29"/>
              <w:suppressLineNumbers w:val="0"/>
              <w:bidi w:val="0"/>
              <w:spacing w:beforeAutospacing="0" w:afterAutospacing="0"/>
              <w:ind w:left="0" w:leftChars="0" w:right="0" w:rightChars="0" w:firstLine="0" w:firstLineChars="0"/>
              <w:jc w:val="center"/>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1605.4</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D39B0">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eastAsia" w:cs="Times New Roman"/>
                <w:color w:val="auto"/>
                <w:sz w:val="21"/>
                <w:szCs w:val="21"/>
                <w:highlight w:val="none"/>
                <w:lang w:val="en-US" w:eastAsia="zh-CN"/>
              </w:rPr>
              <w:t>白莲蒿群落</w:t>
            </w:r>
          </w:p>
        </w:tc>
        <w:tc>
          <w:tcPr>
            <w:tcW w:w="721" w:type="pct"/>
            <w:vMerge w:val="restart"/>
            <w:tcBorders>
              <w:top w:val="single" w:color="000000" w:sz="4" w:space="0"/>
              <w:left w:val="single" w:color="000000" w:sz="4" w:space="0"/>
              <w:right w:val="single" w:color="000000" w:sz="4" w:space="0"/>
              <w:tl2br w:val="nil"/>
              <w:tr2bl w:val="nil"/>
            </w:tcBorders>
            <w:noWrap w:val="0"/>
            <w:vAlign w:val="center"/>
          </w:tcPr>
          <w:p w14:paraId="04391525">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val="en-US" w:eastAsia="zh-CN"/>
              </w:rPr>
            </w:pPr>
            <w:r>
              <w:rPr>
                <w:rFonts w:hint="eastAsia"/>
                <w:color w:val="auto"/>
                <w:highlight w:val="none"/>
                <w:lang w:val="en-US" w:eastAsia="zh-CN"/>
              </w:rPr>
              <w:t>白莲蒿、冰草、猪毛蒿、狗娃花、苦苣菜、豌豆</w:t>
            </w: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5BCA87">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B18175">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r>
              <w:rPr>
                <w:rFonts w:hint="eastAsia"/>
                <w:color w:val="auto"/>
                <w:highlight w:val="none"/>
                <w:lang w:eastAsia="zh-CN"/>
              </w:rPr>
              <w:t>丘陵</w:t>
            </w:r>
          </w:p>
        </w:tc>
        <w:tc>
          <w:tcPr>
            <w:tcW w:w="533" w:type="pct"/>
            <w:vMerge w:val="continue"/>
            <w:tcBorders>
              <w:left w:val="single" w:color="000000" w:sz="4" w:space="0"/>
              <w:right w:val="nil"/>
              <w:tl2br w:val="nil"/>
              <w:tr2bl w:val="nil"/>
            </w:tcBorders>
            <w:noWrap w:val="0"/>
            <w:vAlign w:val="center"/>
          </w:tcPr>
          <w:p w14:paraId="7BDAB94C">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p>
        </w:tc>
      </w:tr>
      <w:tr w14:paraId="26E926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5F9101E2">
            <w:pPr>
              <w:pStyle w:val="39"/>
              <w:keepNext w:val="0"/>
              <w:keepLines w:val="0"/>
              <w:suppressLineNumbers w:val="0"/>
              <w:bidi w:val="0"/>
              <w:spacing w:before="0" w:beforeAutospacing="0" w:afterAutospacing="0"/>
              <w:ind w:right="0"/>
              <w:jc w:val="center"/>
              <w:rPr>
                <w:rFonts w:hint="default"/>
                <w:color w:val="auto"/>
                <w:highlight w:val="none"/>
                <w:lang w:val="en-US" w:eastAsia="zh-CN"/>
              </w:rPr>
            </w:pPr>
            <w:r>
              <w:rPr>
                <w:rFonts w:hint="eastAsia"/>
                <w:color w:val="auto"/>
                <w:highlight w:val="none"/>
                <w:lang w:val="en-US" w:eastAsia="zh-CN"/>
              </w:rPr>
              <w:t>5</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0DC463">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106.4636909</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336F5">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35.91429887</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D7C73">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1612.062</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EED02">
            <w:pPr>
              <w:keepNext w:val="0"/>
              <w:keepLines w:val="0"/>
              <w:suppressLineNumbers w:val="0"/>
              <w:bidi w:val="0"/>
              <w:spacing w:before="0" w:beforeAutospacing="0" w:after="0" w:afterAutospacing="0"/>
              <w:ind w:left="0" w:leftChars="0" w:right="0" w:rightChars="0" w:firstLine="0" w:firstLineChars="0"/>
              <w:jc w:val="center"/>
              <w:outlineLvl w:val="9"/>
              <w:rPr>
                <w:rFonts w:hint="default"/>
                <w:color w:val="auto"/>
                <w:highlight w:val="none"/>
                <w:lang w:eastAsia="zh-CN"/>
              </w:rPr>
            </w:pPr>
            <w:r>
              <w:rPr>
                <w:rFonts w:hint="eastAsia" w:cs="Times New Roman"/>
                <w:color w:val="auto"/>
                <w:sz w:val="21"/>
                <w:szCs w:val="21"/>
                <w:highlight w:val="none"/>
                <w:lang w:val="en-US" w:eastAsia="zh-CN"/>
              </w:rPr>
              <w:t>白莲蒿群落</w:t>
            </w:r>
          </w:p>
        </w:tc>
        <w:tc>
          <w:tcPr>
            <w:tcW w:w="721" w:type="pct"/>
            <w:vMerge w:val="continue"/>
            <w:tcBorders>
              <w:left w:val="single" w:color="000000" w:sz="4" w:space="0"/>
              <w:right w:val="single" w:color="000000" w:sz="4" w:space="0"/>
              <w:tl2br w:val="nil"/>
              <w:tr2bl w:val="nil"/>
            </w:tcBorders>
            <w:noWrap w:val="0"/>
            <w:vAlign w:val="center"/>
          </w:tcPr>
          <w:p w14:paraId="42496E72">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val="en-US" w:eastAsia="zh-CN"/>
              </w:rPr>
            </w:pP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6DA99">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18E9E9">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r>
              <w:rPr>
                <w:rFonts w:hint="eastAsia"/>
                <w:color w:val="auto"/>
                <w:highlight w:val="none"/>
                <w:lang w:eastAsia="zh-CN"/>
              </w:rPr>
              <w:t>丘陵</w:t>
            </w:r>
          </w:p>
        </w:tc>
        <w:tc>
          <w:tcPr>
            <w:tcW w:w="533" w:type="pct"/>
            <w:vMerge w:val="continue"/>
            <w:tcBorders>
              <w:left w:val="single" w:color="000000" w:sz="4" w:space="0"/>
              <w:right w:val="nil"/>
              <w:tl2br w:val="nil"/>
              <w:tr2bl w:val="nil"/>
            </w:tcBorders>
            <w:noWrap w:val="0"/>
            <w:vAlign w:val="center"/>
          </w:tcPr>
          <w:p w14:paraId="73E90201">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p>
        </w:tc>
      </w:tr>
      <w:tr w14:paraId="6D6785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5988556C">
            <w:pPr>
              <w:pStyle w:val="39"/>
              <w:keepNext w:val="0"/>
              <w:keepLines w:val="0"/>
              <w:suppressLineNumbers w:val="0"/>
              <w:bidi w:val="0"/>
              <w:spacing w:before="0" w:beforeAutospacing="0" w:afterAutospacing="0"/>
              <w:ind w:right="0"/>
              <w:jc w:val="center"/>
              <w:rPr>
                <w:rFonts w:hint="default"/>
                <w:color w:val="auto"/>
                <w:highlight w:val="none"/>
                <w:lang w:val="en-US" w:eastAsia="zh-CN"/>
              </w:rPr>
            </w:pPr>
            <w:r>
              <w:rPr>
                <w:rFonts w:hint="eastAsia"/>
                <w:color w:val="auto"/>
                <w:highlight w:val="none"/>
                <w:lang w:val="en-US" w:eastAsia="zh-CN"/>
              </w:rPr>
              <w:t>6</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D5F9EF">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106.4953423</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667A2D">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35.92401786</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614E7F">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1536.924</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F6152">
            <w:pPr>
              <w:keepNext w:val="0"/>
              <w:keepLines w:val="0"/>
              <w:suppressLineNumbers w:val="0"/>
              <w:bidi w:val="0"/>
              <w:spacing w:before="0" w:beforeAutospacing="0" w:after="0" w:afterAutospacing="0"/>
              <w:ind w:left="0" w:leftChars="0" w:right="0" w:rightChars="0" w:firstLine="0" w:firstLineChars="0"/>
              <w:jc w:val="center"/>
              <w:outlineLvl w:val="9"/>
              <w:rPr>
                <w:rFonts w:hint="default"/>
                <w:color w:val="auto"/>
                <w:highlight w:val="none"/>
                <w:lang w:eastAsia="zh-CN"/>
              </w:rPr>
            </w:pPr>
            <w:r>
              <w:rPr>
                <w:rFonts w:hint="eastAsia" w:cs="Times New Roman"/>
                <w:color w:val="auto"/>
                <w:sz w:val="21"/>
                <w:szCs w:val="21"/>
                <w:highlight w:val="none"/>
                <w:lang w:val="en-US" w:eastAsia="zh-CN"/>
              </w:rPr>
              <w:t>白莲蒿群落</w:t>
            </w:r>
          </w:p>
        </w:tc>
        <w:tc>
          <w:tcPr>
            <w:tcW w:w="721" w:type="pct"/>
            <w:vMerge w:val="continue"/>
            <w:tcBorders>
              <w:left w:val="single" w:color="000000" w:sz="4" w:space="0"/>
              <w:bottom w:val="single" w:color="000000" w:sz="4" w:space="0"/>
              <w:right w:val="single" w:color="000000" w:sz="4" w:space="0"/>
              <w:tl2br w:val="nil"/>
              <w:tr2bl w:val="nil"/>
            </w:tcBorders>
            <w:noWrap w:val="0"/>
            <w:vAlign w:val="center"/>
          </w:tcPr>
          <w:p w14:paraId="6414430B">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val="en-US" w:eastAsia="zh-CN"/>
              </w:rPr>
            </w:pP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6EDC4">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14F298">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r>
              <w:rPr>
                <w:rFonts w:hint="eastAsia"/>
                <w:color w:val="auto"/>
                <w:highlight w:val="none"/>
                <w:lang w:eastAsia="zh-CN"/>
              </w:rPr>
              <w:t>丘陵</w:t>
            </w:r>
          </w:p>
        </w:tc>
        <w:tc>
          <w:tcPr>
            <w:tcW w:w="533" w:type="pct"/>
            <w:vMerge w:val="continue"/>
            <w:tcBorders>
              <w:left w:val="single" w:color="000000" w:sz="4" w:space="0"/>
              <w:right w:val="nil"/>
              <w:tl2br w:val="nil"/>
              <w:tr2bl w:val="nil"/>
            </w:tcBorders>
            <w:noWrap w:val="0"/>
            <w:vAlign w:val="center"/>
          </w:tcPr>
          <w:p w14:paraId="15B8F230">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p>
        </w:tc>
      </w:tr>
      <w:tr w14:paraId="0E8BE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0C145FA1">
            <w:pPr>
              <w:pStyle w:val="39"/>
              <w:keepNext w:val="0"/>
              <w:keepLines w:val="0"/>
              <w:suppressLineNumbers w:val="0"/>
              <w:bidi w:val="0"/>
              <w:spacing w:before="0" w:beforeAutospacing="0" w:afterAutospacing="0"/>
              <w:ind w:right="0"/>
              <w:jc w:val="center"/>
              <w:rPr>
                <w:rFonts w:hint="default"/>
                <w:color w:val="auto"/>
                <w:highlight w:val="none"/>
                <w:lang w:val="en-US" w:eastAsia="zh-CN"/>
              </w:rPr>
            </w:pPr>
            <w:r>
              <w:rPr>
                <w:rFonts w:hint="eastAsia"/>
                <w:color w:val="auto"/>
                <w:highlight w:val="none"/>
                <w:lang w:val="en-US" w:eastAsia="zh-CN"/>
              </w:rPr>
              <w:t>7</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84667">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106.422055</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ED2EB">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35.90932069</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FA8586">
            <w:pPr>
              <w:pStyle w:val="29"/>
              <w:suppressLineNumbers w:val="0"/>
              <w:bidi w:val="0"/>
              <w:spacing w:beforeAutospacing="0" w:afterAutospacing="0"/>
              <w:ind w:left="0" w:leftChars="0" w:right="0" w:rightChars="0" w:firstLine="0" w:firstLineChars="0"/>
              <w:jc w:val="center"/>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1667.634</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00C97D">
            <w:pPr>
              <w:keepNext w:val="0"/>
              <w:keepLines w:val="0"/>
              <w:suppressLineNumbers w:val="0"/>
              <w:bidi w:val="0"/>
              <w:spacing w:before="0" w:beforeAutospacing="0" w:after="0" w:afterAutospacing="0"/>
              <w:ind w:left="0" w:leftChars="0" w:right="0" w:rightChars="0" w:firstLine="0" w:firstLineChars="0"/>
              <w:jc w:val="center"/>
              <w:outlineLvl w:val="9"/>
              <w:rPr>
                <w:rFonts w:hint="default"/>
                <w:color w:val="auto"/>
                <w:highlight w:val="none"/>
                <w:lang w:eastAsia="zh-CN"/>
              </w:rPr>
            </w:pPr>
            <w:r>
              <w:rPr>
                <w:rFonts w:hint="eastAsia" w:cs="Times New Roman"/>
                <w:color w:val="auto"/>
                <w:sz w:val="21"/>
                <w:szCs w:val="21"/>
                <w:highlight w:val="none"/>
                <w:lang w:val="en-US" w:eastAsia="zh-CN"/>
              </w:rPr>
              <w:t>针茅-白莲蒿群落</w:t>
            </w:r>
          </w:p>
        </w:tc>
        <w:tc>
          <w:tcPr>
            <w:tcW w:w="721" w:type="pct"/>
            <w:vMerge w:val="restart"/>
            <w:tcBorders>
              <w:top w:val="single" w:color="000000" w:sz="4" w:space="0"/>
              <w:left w:val="single" w:color="000000" w:sz="4" w:space="0"/>
              <w:right w:val="single" w:color="000000" w:sz="4" w:space="0"/>
              <w:tl2br w:val="nil"/>
              <w:tr2bl w:val="nil"/>
            </w:tcBorders>
            <w:noWrap w:val="0"/>
            <w:vAlign w:val="center"/>
          </w:tcPr>
          <w:p w14:paraId="29BFAF75">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val="en-US" w:eastAsia="zh-CN"/>
              </w:rPr>
            </w:pPr>
            <w:r>
              <w:rPr>
                <w:rFonts w:hint="eastAsia"/>
                <w:color w:val="auto"/>
                <w:highlight w:val="none"/>
                <w:lang w:val="en-US" w:eastAsia="zh-CN"/>
              </w:rPr>
              <w:t>针茅、白莲蒿、冰草、猪毛蒿</w:t>
            </w: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936C50">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785033">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r>
              <w:rPr>
                <w:rFonts w:hint="eastAsia"/>
                <w:color w:val="auto"/>
                <w:highlight w:val="none"/>
                <w:lang w:eastAsia="zh-CN"/>
              </w:rPr>
              <w:t>丘陵</w:t>
            </w:r>
          </w:p>
        </w:tc>
        <w:tc>
          <w:tcPr>
            <w:tcW w:w="533" w:type="pct"/>
            <w:vMerge w:val="continue"/>
            <w:tcBorders>
              <w:left w:val="single" w:color="000000" w:sz="4" w:space="0"/>
              <w:right w:val="nil"/>
              <w:tl2br w:val="nil"/>
              <w:tr2bl w:val="nil"/>
            </w:tcBorders>
            <w:noWrap w:val="0"/>
            <w:vAlign w:val="center"/>
          </w:tcPr>
          <w:p w14:paraId="73406925">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p>
        </w:tc>
      </w:tr>
      <w:tr w14:paraId="73D891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1AC5EFC7">
            <w:pPr>
              <w:pStyle w:val="39"/>
              <w:keepNext w:val="0"/>
              <w:keepLines w:val="0"/>
              <w:suppressLineNumbers w:val="0"/>
              <w:bidi w:val="0"/>
              <w:spacing w:before="0" w:beforeAutospacing="0" w:afterAutospacing="0"/>
              <w:ind w:right="0"/>
              <w:jc w:val="center"/>
              <w:rPr>
                <w:rFonts w:hint="default"/>
                <w:color w:val="auto"/>
                <w:highlight w:val="none"/>
                <w:lang w:val="en-US" w:eastAsia="zh-CN"/>
              </w:rPr>
            </w:pPr>
            <w:r>
              <w:rPr>
                <w:rFonts w:hint="eastAsia"/>
                <w:color w:val="auto"/>
                <w:highlight w:val="none"/>
                <w:lang w:val="en-US" w:eastAsia="zh-CN"/>
              </w:rPr>
              <w:t>8</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CE3961">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106.4466629</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7B81E">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35.9099309</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64538">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1628.317</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85715F">
            <w:pPr>
              <w:keepNext w:val="0"/>
              <w:keepLines w:val="0"/>
              <w:suppressLineNumbers w:val="0"/>
              <w:bidi w:val="0"/>
              <w:spacing w:before="0" w:beforeAutospacing="0" w:after="0" w:afterAutospacing="0"/>
              <w:ind w:left="0" w:leftChars="0" w:right="0" w:rightChars="0" w:firstLine="0" w:firstLineChars="0"/>
              <w:jc w:val="center"/>
              <w:outlineLvl w:val="9"/>
              <w:rPr>
                <w:rFonts w:hint="default"/>
                <w:color w:val="auto"/>
                <w:highlight w:val="none"/>
                <w:lang w:eastAsia="zh-CN"/>
              </w:rPr>
            </w:pPr>
            <w:r>
              <w:rPr>
                <w:rFonts w:hint="eastAsia" w:cs="Times New Roman"/>
                <w:color w:val="auto"/>
                <w:sz w:val="21"/>
                <w:szCs w:val="21"/>
                <w:highlight w:val="none"/>
                <w:lang w:val="en-US" w:eastAsia="zh-CN"/>
              </w:rPr>
              <w:t>针茅-白莲蒿群落</w:t>
            </w:r>
          </w:p>
        </w:tc>
        <w:tc>
          <w:tcPr>
            <w:tcW w:w="721" w:type="pct"/>
            <w:vMerge w:val="continue"/>
            <w:tcBorders>
              <w:left w:val="single" w:color="000000" w:sz="4" w:space="0"/>
              <w:right w:val="single" w:color="000000" w:sz="4" w:space="0"/>
              <w:tl2br w:val="nil"/>
              <w:tr2bl w:val="nil"/>
            </w:tcBorders>
            <w:noWrap w:val="0"/>
            <w:vAlign w:val="center"/>
          </w:tcPr>
          <w:p w14:paraId="30C30EB0">
            <w:pPr>
              <w:keepNext w:val="0"/>
              <w:keepLines w:val="0"/>
              <w:suppressLineNumbers w:val="0"/>
              <w:bidi w:val="0"/>
              <w:spacing w:before="0" w:beforeAutospacing="0" w:after="0" w:afterAutospacing="0"/>
              <w:ind w:left="0" w:leftChars="0" w:right="0" w:rightChars="0" w:firstLine="0" w:firstLineChars="0"/>
              <w:jc w:val="center"/>
              <w:outlineLvl w:val="9"/>
              <w:rPr>
                <w:rFonts w:hint="default"/>
                <w:color w:val="auto"/>
                <w:highlight w:val="none"/>
                <w:lang w:val="en-US" w:eastAsia="zh-CN"/>
              </w:rPr>
            </w:pP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D58F7C">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446F7">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r>
              <w:rPr>
                <w:rFonts w:hint="eastAsia"/>
                <w:color w:val="auto"/>
                <w:highlight w:val="none"/>
                <w:lang w:eastAsia="zh-CN"/>
              </w:rPr>
              <w:t>丘陵</w:t>
            </w:r>
          </w:p>
        </w:tc>
        <w:tc>
          <w:tcPr>
            <w:tcW w:w="533" w:type="pct"/>
            <w:vMerge w:val="continue"/>
            <w:tcBorders>
              <w:left w:val="single" w:color="000000" w:sz="4" w:space="0"/>
              <w:right w:val="nil"/>
              <w:tl2br w:val="nil"/>
              <w:tr2bl w:val="nil"/>
            </w:tcBorders>
            <w:noWrap w:val="0"/>
            <w:vAlign w:val="center"/>
          </w:tcPr>
          <w:p w14:paraId="6D4072D9">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p>
        </w:tc>
      </w:tr>
      <w:tr w14:paraId="635DD2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248" w:type="pct"/>
            <w:tcBorders>
              <w:top w:val="single" w:color="000000" w:sz="4" w:space="0"/>
              <w:left w:val="nil"/>
              <w:bottom w:val="single" w:color="000000" w:sz="4" w:space="0"/>
              <w:right w:val="single" w:color="000000" w:sz="4" w:space="0"/>
              <w:tl2br w:val="nil"/>
              <w:tr2bl w:val="nil"/>
            </w:tcBorders>
            <w:noWrap w:val="0"/>
            <w:vAlign w:val="center"/>
          </w:tcPr>
          <w:p w14:paraId="09BCA665">
            <w:pPr>
              <w:pStyle w:val="39"/>
              <w:keepNext w:val="0"/>
              <w:keepLines w:val="0"/>
              <w:suppressLineNumbers w:val="0"/>
              <w:bidi w:val="0"/>
              <w:spacing w:before="0" w:beforeAutospacing="0" w:afterAutospacing="0"/>
              <w:ind w:right="0"/>
              <w:jc w:val="center"/>
              <w:rPr>
                <w:rFonts w:hint="default"/>
                <w:color w:val="auto"/>
                <w:highlight w:val="none"/>
                <w:lang w:val="en-US" w:eastAsia="zh-CN"/>
              </w:rPr>
            </w:pPr>
            <w:r>
              <w:rPr>
                <w:rFonts w:hint="eastAsia"/>
                <w:color w:val="auto"/>
                <w:highlight w:val="none"/>
                <w:lang w:val="en-US" w:eastAsia="zh-CN"/>
              </w:rPr>
              <w:t>9</w:t>
            </w:r>
          </w:p>
        </w:tc>
        <w:tc>
          <w:tcPr>
            <w:tcW w:w="6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4456E3">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106.4832509</w:t>
            </w:r>
          </w:p>
        </w:tc>
        <w:tc>
          <w:tcPr>
            <w:tcW w:w="55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E4F461">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35.91706691</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575FA">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1548.885</w:t>
            </w:r>
          </w:p>
        </w:tc>
        <w:tc>
          <w:tcPr>
            <w:tcW w:w="82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60587E">
            <w:pPr>
              <w:keepNext w:val="0"/>
              <w:keepLines w:val="0"/>
              <w:suppressLineNumbers w:val="0"/>
              <w:bidi w:val="0"/>
              <w:spacing w:before="0" w:beforeAutospacing="0" w:after="0" w:afterAutospacing="0"/>
              <w:ind w:left="0" w:leftChars="0" w:right="0" w:rightChars="0" w:firstLine="0" w:firstLineChars="0"/>
              <w:jc w:val="center"/>
              <w:outlineLvl w:val="9"/>
              <w:rPr>
                <w:rFonts w:hint="default"/>
                <w:color w:val="auto"/>
                <w:highlight w:val="none"/>
                <w:lang w:eastAsia="zh-CN"/>
              </w:rPr>
            </w:pPr>
            <w:r>
              <w:rPr>
                <w:rFonts w:hint="eastAsia" w:cs="Times New Roman"/>
                <w:color w:val="auto"/>
                <w:sz w:val="21"/>
                <w:szCs w:val="21"/>
                <w:highlight w:val="none"/>
                <w:lang w:val="en-US" w:eastAsia="zh-CN"/>
              </w:rPr>
              <w:t>针茅-白莲蒿群落</w:t>
            </w:r>
          </w:p>
        </w:tc>
        <w:tc>
          <w:tcPr>
            <w:tcW w:w="721" w:type="pct"/>
            <w:vMerge w:val="continue"/>
            <w:tcBorders>
              <w:left w:val="single" w:color="000000" w:sz="4" w:space="0"/>
              <w:bottom w:val="single" w:color="000000" w:sz="4" w:space="0"/>
              <w:right w:val="single" w:color="000000" w:sz="4" w:space="0"/>
              <w:tl2br w:val="nil"/>
              <w:tr2bl w:val="nil"/>
            </w:tcBorders>
            <w:noWrap w:val="0"/>
            <w:vAlign w:val="center"/>
          </w:tcPr>
          <w:p w14:paraId="31300317">
            <w:pPr>
              <w:keepNext w:val="0"/>
              <w:keepLines w:val="0"/>
              <w:suppressLineNumbers w:val="0"/>
              <w:bidi w:val="0"/>
              <w:spacing w:before="0" w:beforeAutospacing="0" w:after="0" w:afterAutospacing="0"/>
              <w:ind w:left="0" w:leftChars="0" w:right="0" w:rightChars="0" w:firstLine="0" w:firstLineChars="0"/>
              <w:jc w:val="center"/>
              <w:outlineLvl w:val="9"/>
              <w:rPr>
                <w:rFonts w:hint="default"/>
                <w:color w:val="auto"/>
                <w:highlight w:val="none"/>
                <w:lang w:val="en-US" w:eastAsia="zh-CN"/>
              </w:rPr>
            </w:pP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A4537">
            <w:pPr>
              <w:pStyle w:val="29"/>
              <w:suppressLineNumbers w:val="0"/>
              <w:bidi w:val="0"/>
              <w:spacing w:beforeAutospacing="0" w:afterAutospacing="0"/>
              <w:ind w:left="0" w:leftChars="0" w:right="0" w:rightChars="0" w:firstLine="0" w:firstLineChars="0"/>
              <w:jc w:val="center"/>
              <w:outlineLvl w:val="9"/>
              <w:rPr>
                <w:rFonts w:hint="default"/>
                <w:color w:val="auto"/>
                <w:highlight w:val="none"/>
                <w:lang w:eastAsia="zh-CN"/>
              </w:rPr>
            </w:pPr>
            <w:r>
              <w:rPr>
                <w:rFonts w:hint="eastAsia"/>
                <w:color w:val="auto"/>
                <w:highlight w:val="none"/>
                <w:lang w:val="en-US" w:eastAsia="zh-CN"/>
              </w:rPr>
              <w:t>茹河－川口河段</w:t>
            </w:r>
          </w:p>
        </w:tc>
        <w:tc>
          <w:tcPr>
            <w:tcW w:w="3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4B01DC">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r>
              <w:rPr>
                <w:rFonts w:hint="eastAsia"/>
                <w:color w:val="auto"/>
                <w:highlight w:val="none"/>
                <w:lang w:eastAsia="zh-CN"/>
              </w:rPr>
              <w:t>丘陵</w:t>
            </w:r>
          </w:p>
        </w:tc>
        <w:tc>
          <w:tcPr>
            <w:tcW w:w="533" w:type="pct"/>
            <w:vMerge w:val="continue"/>
            <w:tcBorders>
              <w:left w:val="single" w:color="000000" w:sz="4" w:space="0"/>
              <w:bottom w:val="single" w:color="000000" w:sz="4" w:space="0"/>
              <w:right w:val="nil"/>
              <w:tl2br w:val="nil"/>
              <w:tr2bl w:val="nil"/>
            </w:tcBorders>
            <w:noWrap w:val="0"/>
            <w:vAlign w:val="center"/>
          </w:tcPr>
          <w:p w14:paraId="28F02507">
            <w:pPr>
              <w:pStyle w:val="39"/>
              <w:keepNext w:val="0"/>
              <w:keepLines w:val="0"/>
              <w:suppressLineNumbers w:val="0"/>
              <w:bidi w:val="0"/>
              <w:spacing w:before="0" w:beforeAutospacing="0" w:afterAutospacing="0"/>
              <w:ind w:left="-120" w:leftChars="-50" w:right="-120" w:rightChars="-50" w:firstLine="0" w:firstLineChars="0"/>
              <w:jc w:val="center"/>
              <w:rPr>
                <w:rFonts w:hint="default"/>
                <w:color w:val="auto"/>
                <w:highlight w:val="none"/>
                <w:lang w:eastAsia="zh-CN"/>
              </w:rPr>
            </w:pPr>
          </w:p>
        </w:tc>
      </w:tr>
    </w:tbl>
    <w:p w14:paraId="6CE7FCBE">
      <w:pPr>
        <w:rPr>
          <w:rFonts w:hint="default" w:ascii="Times New Roman" w:hAnsi="Times New Roman" w:cs="Times New Roman"/>
          <w:b/>
          <w:bCs/>
          <w:color w:val="auto"/>
          <w:sz w:val="24"/>
          <w:szCs w:val="24"/>
          <w:highlight w:val="none"/>
          <w:lang w:val="en-US" w:eastAsia="zh-CN"/>
        </w:rPr>
      </w:pPr>
    </w:p>
    <w:p w14:paraId="0C054439">
      <w:pPr>
        <w:pStyle w:val="30"/>
        <w:outlineLvl w:val="9"/>
        <w:rPr>
          <w:rFonts w:hint="default" w:ascii="Times New Roman" w:hAnsi="Times New Roman" w:cs="Times New Roman"/>
          <w:color w:val="auto"/>
          <w:sz w:val="28"/>
          <w:szCs w:val="28"/>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A93F0B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表5.6-</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 xml:space="preserve"> 样方</w:t>
      </w:r>
      <w:r>
        <w:rPr>
          <w:rFonts w:hint="eastAsia" w:cs="Times New Roman"/>
          <w:b/>
          <w:bCs/>
          <w:color w:val="auto"/>
          <w:sz w:val="24"/>
          <w:szCs w:val="24"/>
          <w:highlight w:val="none"/>
          <w:lang w:val="en-US" w:eastAsia="zh-CN"/>
        </w:rPr>
        <w:t>调查</w:t>
      </w:r>
      <w:r>
        <w:rPr>
          <w:rFonts w:hint="default" w:ascii="Times New Roman" w:hAnsi="Times New Roman" w:cs="Times New Roman"/>
          <w:b/>
          <w:bCs/>
          <w:color w:val="auto"/>
          <w:sz w:val="24"/>
          <w:szCs w:val="24"/>
          <w:highlight w:val="none"/>
          <w:lang w:val="en-US" w:eastAsia="zh-CN"/>
        </w:rPr>
        <w:t>表</w:t>
      </w:r>
    </w:p>
    <w:tbl>
      <w:tblPr>
        <w:tblStyle w:val="31"/>
        <w:tblW w:w="85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9" w:type="dxa"/>
          <w:bottom w:w="0" w:type="dxa"/>
          <w:right w:w="29" w:type="dxa"/>
        </w:tblCellMar>
      </w:tblPr>
      <w:tblGrid>
        <w:gridCol w:w="79"/>
        <w:gridCol w:w="1345"/>
        <w:gridCol w:w="1409"/>
        <w:gridCol w:w="1132"/>
        <w:gridCol w:w="296"/>
        <w:gridCol w:w="704"/>
        <w:gridCol w:w="1450"/>
        <w:gridCol w:w="1129"/>
        <w:gridCol w:w="978"/>
        <w:gridCol w:w="55"/>
      </w:tblGrid>
      <w:tr w14:paraId="79ED6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8498" w:type="dxa"/>
            <w:gridSpan w:val="9"/>
            <w:noWrap w:val="0"/>
            <w:vAlign w:val="center"/>
          </w:tcPr>
          <w:p w14:paraId="1265794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eastAsia" w:cs="Times New Roman"/>
                <w:b/>
                <w:bCs/>
                <w:color w:val="auto"/>
                <w:kern w:val="0"/>
                <w:szCs w:val="21"/>
                <w:highlight w:val="none"/>
                <w:lang w:val="en-US" w:eastAsia="zh-CN"/>
              </w:rPr>
              <w:t>样方调查表（1）</w:t>
            </w:r>
          </w:p>
        </w:tc>
      </w:tr>
      <w:tr w14:paraId="49AB7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3B5A1C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0AE79ED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w:t>
            </w:r>
          </w:p>
        </w:tc>
        <w:tc>
          <w:tcPr>
            <w:tcW w:w="1450" w:type="dxa"/>
            <w:noWrap w:val="0"/>
            <w:vAlign w:val="center"/>
          </w:tcPr>
          <w:p w14:paraId="09F2EAC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1A212F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6487F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33232CA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3229ABD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106.4266174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35.91004087</w:t>
            </w:r>
          </w:p>
        </w:tc>
        <w:tc>
          <w:tcPr>
            <w:tcW w:w="1450" w:type="dxa"/>
            <w:noWrap w:val="0"/>
            <w:vAlign w:val="center"/>
          </w:tcPr>
          <w:p w14:paraId="7C2C1C6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48D34F5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1678.489</w:t>
            </w:r>
          </w:p>
        </w:tc>
      </w:tr>
      <w:tr w14:paraId="39834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5CC6010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07325D3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 w:val="21"/>
                <w:szCs w:val="21"/>
                <w:highlight w:val="none"/>
                <w:lang w:val="en-US" w:eastAsia="zh-CN"/>
              </w:rPr>
              <w:t>山杏</w:t>
            </w:r>
            <w:r>
              <w:rPr>
                <w:rFonts w:hint="default" w:ascii="Times New Roman" w:hAnsi="Times New Roman" w:eastAsia="宋体" w:cs="Times New Roman"/>
                <w:color w:val="auto"/>
                <w:sz w:val="21"/>
                <w:szCs w:val="21"/>
                <w:highlight w:val="none"/>
                <w:lang w:val="en-US" w:eastAsia="zh-CN"/>
              </w:rPr>
              <w:t>群落</w:t>
            </w:r>
          </w:p>
        </w:tc>
        <w:tc>
          <w:tcPr>
            <w:tcW w:w="1450" w:type="dxa"/>
            <w:noWrap w:val="0"/>
            <w:vAlign w:val="center"/>
          </w:tcPr>
          <w:p w14:paraId="7ED4D9F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24B0BBA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080C3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7B60699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1BDAAC8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10m×10m</w:t>
            </w:r>
          </w:p>
        </w:tc>
        <w:tc>
          <w:tcPr>
            <w:tcW w:w="1450" w:type="dxa"/>
            <w:noWrap w:val="0"/>
            <w:vAlign w:val="center"/>
          </w:tcPr>
          <w:p w14:paraId="07B3E4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66FD575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33A32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42A5CD7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688CE67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28AF4B4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1353DCE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0894C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273E604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32E5454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10CC511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0FA805A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21FB28A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7A6131A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703BB7E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30BB2CD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4A2FA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65EA76A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乔木层</w:t>
            </w:r>
          </w:p>
        </w:tc>
        <w:tc>
          <w:tcPr>
            <w:tcW w:w="1409" w:type="dxa"/>
            <w:noWrap w:val="0"/>
            <w:vAlign w:val="center"/>
          </w:tcPr>
          <w:p w14:paraId="25DA559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山杏</w:t>
            </w:r>
          </w:p>
        </w:tc>
        <w:tc>
          <w:tcPr>
            <w:tcW w:w="1132" w:type="dxa"/>
            <w:noWrap w:val="0"/>
            <w:vAlign w:val="center"/>
          </w:tcPr>
          <w:p w14:paraId="47D00F4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w:t>
            </w:r>
          </w:p>
        </w:tc>
        <w:tc>
          <w:tcPr>
            <w:tcW w:w="1000" w:type="dxa"/>
            <w:gridSpan w:val="2"/>
            <w:noWrap w:val="0"/>
            <w:vAlign w:val="center"/>
          </w:tcPr>
          <w:p w14:paraId="2D7714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w:t>
            </w:r>
          </w:p>
        </w:tc>
        <w:tc>
          <w:tcPr>
            <w:tcW w:w="1450" w:type="dxa"/>
            <w:noWrap w:val="0"/>
            <w:vAlign w:val="center"/>
          </w:tcPr>
          <w:p w14:paraId="7E55D27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1129" w:type="dxa"/>
            <w:noWrap w:val="0"/>
            <w:vAlign w:val="center"/>
          </w:tcPr>
          <w:p w14:paraId="49FD7D4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8</w:t>
            </w:r>
          </w:p>
        </w:tc>
        <w:tc>
          <w:tcPr>
            <w:tcW w:w="1033" w:type="dxa"/>
            <w:gridSpan w:val="2"/>
            <w:noWrap w:val="0"/>
            <w:vAlign w:val="center"/>
          </w:tcPr>
          <w:p w14:paraId="2DB331F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r>
      <w:tr w14:paraId="41466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37790F4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7100A84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针茅</w:t>
            </w:r>
          </w:p>
        </w:tc>
        <w:tc>
          <w:tcPr>
            <w:tcW w:w="1132" w:type="dxa"/>
            <w:noWrap w:val="0"/>
            <w:vAlign w:val="center"/>
          </w:tcPr>
          <w:p w14:paraId="54B3D21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0.5</w:t>
            </w:r>
          </w:p>
        </w:tc>
        <w:tc>
          <w:tcPr>
            <w:tcW w:w="1000" w:type="dxa"/>
            <w:gridSpan w:val="2"/>
            <w:noWrap w:val="0"/>
            <w:vAlign w:val="center"/>
          </w:tcPr>
          <w:p w14:paraId="25E4601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54FE8E1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31CB8AC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283FD0D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60%</w:t>
            </w:r>
          </w:p>
        </w:tc>
      </w:tr>
      <w:tr w14:paraId="2F17D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89" w:hRule="atLeast"/>
          <w:jc w:val="center"/>
        </w:trPr>
        <w:tc>
          <w:tcPr>
            <w:tcW w:w="1345" w:type="dxa"/>
            <w:noWrap w:val="0"/>
            <w:vAlign w:val="center"/>
          </w:tcPr>
          <w:p w14:paraId="7FBD0BC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6D40E49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冰草</w:t>
            </w:r>
          </w:p>
        </w:tc>
        <w:tc>
          <w:tcPr>
            <w:tcW w:w="1132" w:type="dxa"/>
            <w:noWrap w:val="0"/>
            <w:vAlign w:val="center"/>
          </w:tcPr>
          <w:p w14:paraId="6B6A23E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0.15</w:t>
            </w:r>
          </w:p>
        </w:tc>
        <w:tc>
          <w:tcPr>
            <w:tcW w:w="1000" w:type="dxa"/>
            <w:gridSpan w:val="2"/>
            <w:noWrap w:val="0"/>
            <w:vAlign w:val="center"/>
          </w:tcPr>
          <w:p w14:paraId="72C2592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52FC245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0148010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2FA4E66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w:t>
            </w:r>
          </w:p>
        </w:tc>
      </w:tr>
      <w:tr w14:paraId="6641E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1634D1E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72AB630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猪毛蒿</w:t>
            </w:r>
          </w:p>
        </w:tc>
        <w:tc>
          <w:tcPr>
            <w:tcW w:w="1132" w:type="dxa"/>
            <w:noWrap w:val="0"/>
            <w:vAlign w:val="center"/>
          </w:tcPr>
          <w:p w14:paraId="75C102D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0.25</w:t>
            </w:r>
          </w:p>
        </w:tc>
        <w:tc>
          <w:tcPr>
            <w:tcW w:w="1000" w:type="dxa"/>
            <w:gridSpan w:val="2"/>
            <w:noWrap w:val="0"/>
            <w:vAlign w:val="center"/>
          </w:tcPr>
          <w:p w14:paraId="7ED8D14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22DE74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0C54CB1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46B2A36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w:t>
            </w:r>
          </w:p>
        </w:tc>
      </w:tr>
      <w:tr w14:paraId="5E709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602E8B3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7862D67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白莲蒿</w:t>
            </w:r>
          </w:p>
        </w:tc>
        <w:tc>
          <w:tcPr>
            <w:tcW w:w="1132" w:type="dxa"/>
            <w:noWrap w:val="0"/>
            <w:vAlign w:val="center"/>
          </w:tcPr>
          <w:p w14:paraId="15C5E8B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0.15</w:t>
            </w:r>
          </w:p>
        </w:tc>
        <w:tc>
          <w:tcPr>
            <w:tcW w:w="1000" w:type="dxa"/>
            <w:gridSpan w:val="2"/>
            <w:noWrap w:val="0"/>
            <w:vAlign w:val="center"/>
          </w:tcPr>
          <w:p w14:paraId="7B6CD05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3547949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2132374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kern w:val="0"/>
                <w:szCs w:val="21"/>
                <w:highlight w:val="none"/>
                <w:lang w:val="en-US" w:eastAsia="zh-CN"/>
              </w:rPr>
              <w:t>15</w:t>
            </w:r>
          </w:p>
        </w:tc>
        <w:tc>
          <w:tcPr>
            <w:tcW w:w="1033" w:type="dxa"/>
            <w:gridSpan w:val="2"/>
            <w:noWrap w:val="0"/>
            <w:vAlign w:val="center"/>
          </w:tcPr>
          <w:p w14:paraId="715E5F6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11D06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148" w:hRule="atLeast"/>
          <w:jc w:val="center"/>
        </w:trPr>
        <w:tc>
          <w:tcPr>
            <w:tcW w:w="8498" w:type="dxa"/>
            <w:gridSpan w:val="9"/>
            <w:noWrap w:val="0"/>
            <w:vAlign w:val="center"/>
          </w:tcPr>
          <w:p w14:paraId="3B8CAD6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szCs w:val="24"/>
                <w:highlight w:val="none"/>
                <w:lang w:val="en-US" w:eastAsia="zh-CN"/>
              </w:rPr>
            </w:pPr>
            <w:r>
              <w:rPr>
                <w:rFonts w:hint="eastAsia" w:cs="Times New Roman"/>
                <w:b/>
                <w:bCs/>
                <w:color w:val="auto"/>
                <w:kern w:val="0"/>
                <w:szCs w:val="21"/>
                <w:highlight w:val="none"/>
                <w:lang w:val="en-US" w:eastAsia="zh-CN"/>
              </w:rPr>
              <w:t>样方调查表（2）</w:t>
            </w:r>
          </w:p>
        </w:tc>
      </w:tr>
      <w:tr w14:paraId="54CB5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1FAA43E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49F319B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1450" w:type="dxa"/>
            <w:noWrap w:val="0"/>
            <w:vAlign w:val="center"/>
          </w:tcPr>
          <w:p w14:paraId="417F889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0B9FC86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554AA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3EB0765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07797E5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106.4849018</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35.91712995</w:t>
            </w:r>
          </w:p>
        </w:tc>
        <w:tc>
          <w:tcPr>
            <w:tcW w:w="1450" w:type="dxa"/>
            <w:noWrap w:val="0"/>
            <w:vAlign w:val="center"/>
          </w:tcPr>
          <w:p w14:paraId="7920141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1F0BAF9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1545.811</w:t>
            </w:r>
          </w:p>
        </w:tc>
      </w:tr>
      <w:tr w14:paraId="4D0EB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485764F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4730CCC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 w:val="21"/>
                <w:szCs w:val="21"/>
                <w:highlight w:val="none"/>
                <w:lang w:val="en-US" w:eastAsia="zh-CN"/>
              </w:rPr>
              <w:t>山杏</w:t>
            </w:r>
            <w:r>
              <w:rPr>
                <w:rFonts w:hint="default" w:ascii="Times New Roman" w:hAnsi="Times New Roman" w:eastAsia="宋体" w:cs="Times New Roman"/>
                <w:color w:val="auto"/>
                <w:sz w:val="21"/>
                <w:szCs w:val="21"/>
                <w:highlight w:val="none"/>
                <w:lang w:val="en-US" w:eastAsia="zh-CN"/>
              </w:rPr>
              <w:t>群落</w:t>
            </w:r>
          </w:p>
        </w:tc>
        <w:tc>
          <w:tcPr>
            <w:tcW w:w="1450" w:type="dxa"/>
            <w:noWrap w:val="0"/>
            <w:vAlign w:val="center"/>
          </w:tcPr>
          <w:p w14:paraId="6D7D11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735C567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08D74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400EAA8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4A024AD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10m×10m</w:t>
            </w:r>
          </w:p>
        </w:tc>
        <w:tc>
          <w:tcPr>
            <w:tcW w:w="1450" w:type="dxa"/>
            <w:noWrap w:val="0"/>
            <w:vAlign w:val="center"/>
          </w:tcPr>
          <w:p w14:paraId="76FEDA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0908F1E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27D78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01F5E91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7F7DBBC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220CF16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35C073D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6F6D9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7627917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277965C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2D1FE1E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0BC63A3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15A2DB1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0B2039C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7523D5F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45AFFDA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516AB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55218D1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乔木层</w:t>
            </w:r>
          </w:p>
        </w:tc>
        <w:tc>
          <w:tcPr>
            <w:tcW w:w="1409" w:type="dxa"/>
            <w:noWrap w:val="0"/>
            <w:vAlign w:val="center"/>
          </w:tcPr>
          <w:p w14:paraId="2AF2DE5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山杏</w:t>
            </w:r>
          </w:p>
        </w:tc>
        <w:tc>
          <w:tcPr>
            <w:tcW w:w="1132" w:type="dxa"/>
            <w:noWrap w:val="0"/>
            <w:vAlign w:val="center"/>
          </w:tcPr>
          <w:p w14:paraId="54872A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w:t>
            </w:r>
          </w:p>
        </w:tc>
        <w:tc>
          <w:tcPr>
            <w:tcW w:w="1000" w:type="dxa"/>
            <w:gridSpan w:val="2"/>
            <w:noWrap w:val="0"/>
            <w:vAlign w:val="center"/>
          </w:tcPr>
          <w:p w14:paraId="5D90D4A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w:t>
            </w:r>
          </w:p>
        </w:tc>
        <w:tc>
          <w:tcPr>
            <w:tcW w:w="1450" w:type="dxa"/>
            <w:noWrap w:val="0"/>
            <w:vAlign w:val="center"/>
          </w:tcPr>
          <w:p w14:paraId="2D002C0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1129" w:type="dxa"/>
            <w:noWrap w:val="0"/>
            <w:vAlign w:val="center"/>
          </w:tcPr>
          <w:p w14:paraId="700ADD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w:t>
            </w:r>
          </w:p>
        </w:tc>
        <w:tc>
          <w:tcPr>
            <w:tcW w:w="1033" w:type="dxa"/>
            <w:gridSpan w:val="2"/>
            <w:noWrap w:val="0"/>
            <w:vAlign w:val="center"/>
          </w:tcPr>
          <w:p w14:paraId="278C152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r>
      <w:tr w14:paraId="5D1AA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5114F23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513ED67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针茅</w:t>
            </w:r>
          </w:p>
        </w:tc>
        <w:tc>
          <w:tcPr>
            <w:tcW w:w="1132" w:type="dxa"/>
            <w:noWrap w:val="0"/>
            <w:vAlign w:val="center"/>
          </w:tcPr>
          <w:p w14:paraId="12CC43D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0.5</w:t>
            </w:r>
          </w:p>
        </w:tc>
        <w:tc>
          <w:tcPr>
            <w:tcW w:w="1000" w:type="dxa"/>
            <w:gridSpan w:val="2"/>
            <w:noWrap w:val="0"/>
            <w:vAlign w:val="center"/>
          </w:tcPr>
          <w:p w14:paraId="2289349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061DDED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67DF54E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27A7D4A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r>
      <w:tr w14:paraId="2DEE5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89" w:hRule="atLeast"/>
          <w:jc w:val="center"/>
        </w:trPr>
        <w:tc>
          <w:tcPr>
            <w:tcW w:w="1345" w:type="dxa"/>
            <w:noWrap w:val="0"/>
            <w:vAlign w:val="center"/>
          </w:tcPr>
          <w:p w14:paraId="3277236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70EE200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冰草</w:t>
            </w:r>
          </w:p>
        </w:tc>
        <w:tc>
          <w:tcPr>
            <w:tcW w:w="1132" w:type="dxa"/>
            <w:noWrap w:val="0"/>
            <w:vAlign w:val="center"/>
          </w:tcPr>
          <w:p w14:paraId="19B5811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0.10</w:t>
            </w:r>
          </w:p>
        </w:tc>
        <w:tc>
          <w:tcPr>
            <w:tcW w:w="1000" w:type="dxa"/>
            <w:gridSpan w:val="2"/>
            <w:noWrap w:val="0"/>
            <w:vAlign w:val="center"/>
          </w:tcPr>
          <w:p w14:paraId="0FC63F1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3D17C73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03DCF5A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2B87FC3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r>
      <w:tr w14:paraId="6C7CD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1522151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14CEC4C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猪毛蒿</w:t>
            </w:r>
          </w:p>
        </w:tc>
        <w:tc>
          <w:tcPr>
            <w:tcW w:w="1132" w:type="dxa"/>
            <w:noWrap w:val="0"/>
            <w:vAlign w:val="center"/>
          </w:tcPr>
          <w:p w14:paraId="38B5C42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0.2</w:t>
            </w:r>
          </w:p>
        </w:tc>
        <w:tc>
          <w:tcPr>
            <w:tcW w:w="1000" w:type="dxa"/>
            <w:gridSpan w:val="2"/>
            <w:noWrap w:val="0"/>
            <w:vAlign w:val="center"/>
          </w:tcPr>
          <w:p w14:paraId="1B77566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5FAEE72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3E965E8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2A4E38F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r>
      <w:tr w14:paraId="096F0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8498" w:type="dxa"/>
            <w:gridSpan w:val="9"/>
            <w:noWrap w:val="0"/>
            <w:vAlign w:val="center"/>
          </w:tcPr>
          <w:p w14:paraId="5DC051C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b/>
                <w:bCs/>
                <w:color w:val="auto"/>
                <w:kern w:val="0"/>
                <w:szCs w:val="21"/>
                <w:highlight w:val="none"/>
                <w:lang w:val="en-US" w:eastAsia="zh-CN"/>
              </w:rPr>
              <w:t>样方调查表（3）</w:t>
            </w:r>
          </w:p>
        </w:tc>
      </w:tr>
      <w:tr w14:paraId="76CC6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3120853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602A4E2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1450" w:type="dxa"/>
            <w:noWrap w:val="0"/>
            <w:vAlign w:val="center"/>
          </w:tcPr>
          <w:p w14:paraId="5191E42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7C0E450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0F995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3251AFF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4CEBC1E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106.5059357</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35.92186136</w:t>
            </w:r>
          </w:p>
        </w:tc>
        <w:tc>
          <w:tcPr>
            <w:tcW w:w="1450" w:type="dxa"/>
            <w:noWrap w:val="0"/>
            <w:vAlign w:val="center"/>
          </w:tcPr>
          <w:p w14:paraId="132223D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3304708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1585.171</w:t>
            </w:r>
          </w:p>
        </w:tc>
      </w:tr>
      <w:tr w14:paraId="51BDC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07943DD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343C57C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 w:val="21"/>
                <w:szCs w:val="21"/>
                <w:highlight w:val="none"/>
                <w:lang w:val="en-US" w:eastAsia="zh-CN"/>
              </w:rPr>
              <w:t>山杏</w:t>
            </w:r>
            <w:r>
              <w:rPr>
                <w:rFonts w:hint="default" w:ascii="Times New Roman" w:hAnsi="Times New Roman" w:eastAsia="宋体" w:cs="Times New Roman"/>
                <w:color w:val="auto"/>
                <w:sz w:val="21"/>
                <w:szCs w:val="21"/>
                <w:highlight w:val="none"/>
                <w:lang w:val="en-US" w:eastAsia="zh-CN"/>
              </w:rPr>
              <w:t>群落</w:t>
            </w:r>
          </w:p>
        </w:tc>
        <w:tc>
          <w:tcPr>
            <w:tcW w:w="1450" w:type="dxa"/>
            <w:noWrap w:val="0"/>
            <w:vAlign w:val="center"/>
          </w:tcPr>
          <w:p w14:paraId="026AF9D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06B9B7A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0C8BC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55D0A92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7D2BE32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10m×10m</w:t>
            </w:r>
          </w:p>
        </w:tc>
        <w:tc>
          <w:tcPr>
            <w:tcW w:w="1450" w:type="dxa"/>
            <w:noWrap w:val="0"/>
            <w:vAlign w:val="center"/>
          </w:tcPr>
          <w:p w14:paraId="07CAFF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7454030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5C963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3C24197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106F0F1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0AC1904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42DF1C7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42444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796DC75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5E6A86F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3DB6289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7805854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33B610C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5C2A803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584FD30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4400373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5E167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7071841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乔木层</w:t>
            </w:r>
          </w:p>
        </w:tc>
        <w:tc>
          <w:tcPr>
            <w:tcW w:w="1409" w:type="dxa"/>
            <w:noWrap w:val="0"/>
            <w:vAlign w:val="center"/>
          </w:tcPr>
          <w:p w14:paraId="46B8516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山杏</w:t>
            </w:r>
          </w:p>
        </w:tc>
        <w:tc>
          <w:tcPr>
            <w:tcW w:w="1132" w:type="dxa"/>
            <w:noWrap w:val="0"/>
            <w:vAlign w:val="center"/>
          </w:tcPr>
          <w:p w14:paraId="56679A6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w:t>
            </w:r>
          </w:p>
        </w:tc>
        <w:tc>
          <w:tcPr>
            <w:tcW w:w="1000" w:type="dxa"/>
            <w:gridSpan w:val="2"/>
            <w:noWrap w:val="0"/>
            <w:vAlign w:val="center"/>
          </w:tcPr>
          <w:p w14:paraId="20E9F48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w:t>
            </w:r>
          </w:p>
        </w:tc>
        <w:tc>
          <w:tcPr>
            <w:tcW w:w="1450" w:type="dxa"/>
            <w:noWrap w:val="0"/>
            <w:vAlign w:val="center"/>
          </w:tcPr>
          <w:p w14:paraId="09C9910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c>
          <w:tcPr>
            <w:tcW w:w="1129" w:type="dxa"/>
            <w:noWrap w:val="0"/>
            <w:vAlign w:val="center"/>
          </w:tcPr>
          <w:p w14:paraId="6E6A18A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12</w:t>
            </w:r>
          </w:p>
        </w:tc>
        <w:tc>
          <w:tcPr>
            <w:tcW w:w="1033" w:type="dxa"/>
            <w:gridSpan w:val="2"/>
            <w:noWrap w:val="0"/>
            <w:vAlign w:val="center"/>
          </w:tcPr>
          <w:p w14:paraId="569DC47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35%</w:t>
            </w:r>
          </w:p>
        </w:tc>
      </w:tr>
      <w:tr w14:paraId="20750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519935A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37ADC7C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针茅</w:t>
            </w:r>
          </w:p>
        </w:tc>
        <w:tc>
          <w:tcPr>
            <w:tcW w:w="1132" w:type="dxa"/>
            <w:noWrap w:val="0"/>
            <w:vAlign w:val="center"/>
          </w:tcPr>
          <w:p w14:paraId="03ECC93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0.4</w:t>
            </w:r>
          </w:p>
        </w:tc>
        <w:tc>
          <w:tcPr>
            <w:tcW w:w="1000" w:type="dxa"/>
            <w:gridSpan w:val="2"/>
            <w:noWrap w:val="0"/>
            <w:vAlign w:val="center"/>
          </w:tcPr>
          <w:p w14:paraId="362741C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3A84AC8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5A0AF08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58EE8EC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40%</w:t>
            </w:r>
          </w:p>
        </w:tc>
      </w:tr>
      <w:tr w14:paraId="7E63C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30" w:hRule="atLeast"/>
          <w:jc w:val="center"/>
        </w:trPr>
        <w:tc>
          <w:tcPr>
            <w:tcW w:w="1345" w:type="dxa"/>
            <w:noWrap w:val="0"/>
            <w:vAlign w:val="center"/>
          </w:tcPr>
          <w:p w14:paraId="26DDB95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7C6FD8A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冰草</w:t>
            </w:r>
          </w:p>
        </w:tc>
        <w:tc>
          <w:tcPr>
            <w:tcW w:w="1132" w:type="dxa"/>
            <w:noWrap w:val="0"/>
            <w:vAlign w:val="center"/>
          </w:tcPr>
          <w:p w14:paraId="440FCD0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0.10</w:t>
            </w:r>
          </w:p>
        </w:tc>
        <w:tc>
          <w:tcPr>
            <w:tcW w:w="1000" w:type="dxa"/>
            <w:gridSpan w:val="2"/>
            <w:noWrap w:val="0"/>
            <w:vAlign w:val="center"/>
          </w:tcPr>
          <w:p w14:paraId="1841DD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0BEAE41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182A71F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444BA9C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71A2E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0ED52BF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7FE3187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猪毛蒿</w:t>
            </w:r>
          </w:p>
        </w:tc>
        <w:tc>
          <w:tcPr>
            <w:tcW w:w="1132" w:type="dxa"/>
            <w:noWrap w:val="0"/>
            <w:vAlign w:val="center"/>
          </w:tcPr>
          <w:p w14:paraId="50C5612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0.2</w:t>
            </w:r>
          </w:p>
        </w:tc>
        <w:tc>
          <w:tcPr>
            <w:tcW w:w="1000" w:type="dxa"/>
            <w:gridSpan w:val="2"/>
            <w:noWrap w:val="0"/>
            <w:vAlign w:val="center"/>
          </w:tcPr>
          <w:p w14:paraId="393CE21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0BE481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58FF0D7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&gt;100</w:t>
            </w:r>
          </w:p>
        </w:tc>
        <w:tc>
          <w:tcPr>
            <w:tcW w:w="1033" w:type="dxa"/>
            <w:gridSpan w:val="2"/>
            <w:noWrap w:val="0"/>
            <w:vAlign w:val="center"/>
          </w:tcPr>
          <w:p w14:paraId="7F048F8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50AC3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46EDC57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2C0B63B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eastAsia="宋体" w:cs="Times New Roman"/>
                <w:color w:val="auto"/>
                <w:kern w:val="0"/>
                <w:szCs w:val="21"/>
                <w:highlight w:val="none"/>
                <w:lang w:eastAsia="zh-CN"/>
              </w:rPr>
              <w:t>白莲蒿</w:t>
            </w:r>
          </w:p>
        </w:tc>
        <w:tc>
          <w:tcPr>
            <w:tcW w:w="1132" w:type="dxa"/>
            <w:noWrap w:val="0"/>
            <w:vAlign w:val="center"/>
          </w:tcPr>
          <w:p w14:paraId="5B96F83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eastAsia="宋体" w:cs="Times New Roman"/>
                <w:color w:val="auto"/>
                <w:kern w:val="0"/>
                <w:szCs w:val="21"/>
                <w:highlight w:val="none"/>
                <w:lang w:val="en-US" w:eastAsia="zh-CN"/>
              </w:rPr>
              <w:t>0.1</w:t>
            </w:r>
          </w:p>
        </w:tc>
        <w:tc>
          <w:tcPr>
            <w:tcW w:w="1000" w:type="dxa"/>
            <w:gridSpan w:val="2"/>
            <w:noWrap w:val="0"/>
            <w:vAlign w:val="center"/>
          </w:tcPr>
          <w:p w14:paraId="7B54B14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5170D49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76AAB3D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p>
        </w:tc>
        <w:tc>
          <w:tcPr>
            <w:tcW w:w="1033" w:type="dxa"/>
            <w:gridSpan w:val="2"/>
            <w:noWrap w:val="0"/>
            <w:vAlign w:val="center"/>
          </w:tcPr>
          <w:p w14:paraId="580F657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r>
      <w:tr w14:paraId="1C69A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8498" w:type="dxa"/>
            <w:gridSpan w:val="9"/>
            <w:noWrap w:val="0"/>
            <w:vAlign w:val="center"/>
          </w:tcPr>
          <w:p w14:paraId="6991F21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样方调查表（4）</w:t>
            </w:r>
          </w:p>
        </w:tc>
      </w:tr>
      <w:tr w14:paraId="04892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246704A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3A462A0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w:t>
            </w:r>
          </w:p>
        </w:tc>
        <w:tc>
          <w:tcPr>
            <w:tcW w:w="1450" w:type="dxa"/>
            <w:noWrap w:val="0"/>
            <w:vAlign w:val="center"/>
          </w:tcPr>
          <w:p w14:paraId="1964DD3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192EC61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0E259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18" w:hRule="atLeast"/>
          <w:jc w:val="center"/>
        </w:trPr>
        <w:tc>
          <w:tcPr>
            <w:tcW w:w="1345" w:type="dxa"/>
            <w:noWrap w:val="0"/>
            <w:vAlign w:val="center"/>
          </w:tcPr>
          <w:p w14:paraId="0110FA0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563394A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106.4569291</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35.91196938</w:t>
            </w:r>
          </w:p>
        </w:tc>
        <w:tc>
          <w:tcPr>
            <w:tcW w:w="1450" w:type="dxa"/>
            <w:noWrap w:val="0"/>
            <w:vAlign w:val="center"/>
          </w:tcPr>
          <w:p w14:paraId="20D35F2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156B56E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1605.4</w:t>
            </w:r>
          </w:p>
        </w:tc>
      </w:tr>
      <w:tr w14:paraId="60A73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0C7CA16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120EDC0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sz w:val="21"/>
                <w:szCs w:val="21"/>
                <w:highlight w:val="none"/>
                <w:lang w:val="en-US" w:eastAsia="zh-CN"/>
              </w:rPr>
              <w:t>白莲蒿群落</w:t>
            </w:r>
          </w:p>
        </w:tc>
        <w:tc>
          <w:tcPr>
            <w:tcW w:w="1450" w:type="dxa"/>
            <w:noWrap w:val="0"/>
            <w:vAlign w:val="center"/>
          </w:tcPr>
          <w:p w14:paraId="4B8C5C2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548B962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6A36F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22357CE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0B31941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0A43A9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6059494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2E6BE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534BEF9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3F665FC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1m×1m</w:t>
            </w:r>
          </w:p>
        </w:tc>
        <w:tc>
          <w:tcPr>
            <w:tcW w:w="1450" w:type="dxa"/>
            <w:noWrap w:val="0"/>
            <w:vAlign w:val="center"/>
          </w:tcPr>
          <w:p w14:paraId="2E65D1E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3AA48F8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7F278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5EAA769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0D05B29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3F2B65A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7FAAD8B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6A20AE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31D3401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35B4471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657481C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4DD81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601417C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6262F60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eastAsia" w:cs="Times New Roman"/>
                <w:color w:val="auto"/>
                <w:kern w:val="0"/>
                <w:szCs w:val="21"/>
                <w:highlight w:val="none"/>
                <w:lang w:eastAsia="zh-CN"/>
              </w:rPr>
              <w:t>猪毛蒿</w:t>
            </w:r>
          </w:p>
        </w:tc>
        <w:tc>
          <w:tcPr>
            <w:tcW w:w="1132" w:type="dxa"/>
            <w:noWrap w:val="0"/>
            <w:vAlign w:val="center"/>
          </w:tcPr>
          <w:p w14:paraId="37D0538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0.4</w:t>
            </w:r>
          </w:p>
        </w:tc>
        <w:tc>
          <w:tcPr>
            <w:tcW w:w="1000" w:type="dxa"/>
            <w:gridSpan w:val="2"/>
            <w:noWrap w:val="0"/>
            <w:vAlign w:val="center"/>
          </w:tcPr>
          <w:p w14:paraId="373AFDD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450" w:type="dxa"/>
            <w:noWrap w:val="0"/>
            <w:vAlign w:val="center"/>
          </w:tcPr>
          <w:p w14:paraId="0C3A4F8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129" w:type="dxa"/>
            <w:noWrap w:val="0"/>
            <w:vAlign w:val="center"/>
          </w:tcPr>
          <w:p w14:paraId="486E9F9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1033" w:type="dxa"/>
            <w:gridSpan w:val="2"/>
            <w:noWrap w:val="0"/>
            <w:vAlign w:val="center"/>
          </w:tcPr>
          <w:p w14:paraId="14CEA5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25%</w:t>
            </w:r>
          </w:p>
        </w:tc>
      </w:tr>
      <w:tr w14:paraId="13009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6971DD4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409" w:type="dxa"/>
            <w:noWrap w:val="0"/>
            <w:vAlign w:val="center"/>
          </w:tcPr>
          <w:p w14:paraId="736C5DF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冰草</w:t>
            </w:r>
          </w:p>
        </w:tc>
        <w:tc>
          <w:tcPr>
            <w:tcW w:w="1132" w:type="dxa"/>
            <w:noWrap w:val="0"/>
            <w:vAlign w:val="center"/>
          </w:tcPr>
          <w:p w14:paraId="73EBE22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0.25</w:t>
            </w:r>
          </w:p>
        </w:tc>
        <w:tc>
          <w:tcPr>
            <w:tcW w:w="1000" w:type="dxa"/>
            <w:gridSpan w:val="2"/>
            <w:noWrap w:val="0"/>
            <w:vAlign w:val="center"/>
          </w:tcPr>
          <w:p w14:paraId="68DA25A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48911D7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18B324B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48</w:t>
            </w:r>
          </w:p>
        </w:tc>
        <w:tc>
          <w:tcPr>
            <w:tcW w:w="1033" w:type="dxa"/>
            <w:gridSpan w:val="2"/>
            <w:noWrap w:val="0"/>
            <w:vAlign w:val="center"/>
          </w:tcPr>
          <w:p w14:paraId="71AF924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r>
      <w:tr w14:paraId="146AB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89" w:hRule="atLeast"/>
          <w:jc w:val="center"/>
        </w:trPr>
        <w:tc>
          <w:tcPr>
            <w:tcW w:w="1345" w:type="dxa"/>
            <w:noWrap w:val="0"/>
            <w:vAlign w:val="center"/>
          </w:tcPr>
          <w:p w14:paraId="72C5A77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2945DE7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olor w:val="auto"/>
                <w:highlight w:val="none"/>
                <w:lang w:val="en-US" w:eastAsia="zh-CN"/>
              </w:rPr>
              <w:t>狗娃花</w:t>
            </w:r>
          </w:p>
        </w:tc>
        <w:tc>
          <w:tcPr>
            <w:tcW w:w="1132" w:type="dxa"/>
            <w:noWrap w:val="0"/>
            <w:vAlign w:val="center"/>
          </w:tcPr>
          <w:p w14:paraId="3AB4441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0.15</w:t>
            </w:r>
          </w:p>
        </w:tc>
        <w:tc>
          <w:tcPr>
            <w:tcW w:w="1000" w:type="dxa"/>
            <w:gridSpan w:val="2"/>
            <w:noWrap w:val="0"/>
            <w:vAlign w:val="center"/>
          </w:tcPr>
          <w:p w14:paraId="582A1AD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0E1049D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540E192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w:t>
            </w:r>
          </w:p>
        </w:tc>
        <w:tc>
          <w:tcPr>
            <w:tcW w:w="1033" w:type="dxa"/>
            <w:gridSpan w:val="2"/>
            <w:noWrap w:val="0"/>
            <w:vAlign w:val="center"/>
          </w:tcPr>
          <w:p w14:paraId="4D17F7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4D473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48" w:hRule="atLeast"/>
          <w:jc w:val="center"/>
        </w:trPr>
        <w:tc>
          <w:tcPr>
            <w:tcW w:w="1345" w:type="dxa"/>
            <w:noWrap w:val="0"/>
            <w:vAlign w:val="center"/>
          </w:tcPr>
          <w:p w14:paraId="372721C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1C8FD69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olor w:val="auto"/>
                <w:highlight w:val="none"/>
                <w:lang w:val="en-US" w:eastAsia="zh-CN"/>
              </w:rPr>
              <w:t>苦苣菜</w:t>
            </w:r>
          </w:p>
        </w:tc>
        <w:tc>
          <w:tcPr>
            <w:tcW w:w="1132" w:type="dxa"/>
            <w:noWrap w:val="0"/>
            <w:vAlign w:val="center"/>
          </w:tcPr>
          <w:p w14:paraId="3C4DA3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0.3</w:t>
            </w:r>
          </w:p>
        </w:tc>
        <w:tc>
          <w:tcPr>
            <w:tcW w:w="1000" w:type="dxa"/>
            <w:gridSpan w:val="2"/>
            <w:noWrap w:val="0"/>
            <w:vAlign w:val="center"/>
          </w:tcPr>
          <w:p w14:paraId="3FC4B38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004A4AC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6256DA2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1033" w:type="dxa"/>
            <w:gridSpan w:val="2"/>
            <w:noWrap w:val="0"/>
            <w:vAlign w:val="center"/>
          </w:tcPr>
          <w:p w14:paraId="441474B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162C1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07229D2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60D1DE7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豌豆</w:t>
            </w:r>
          </w:p>
        </w:tc>
        <w:tc>
          <w:tcPr>
            <w:tcW w:w="1132" w:type="dxa"/>
            <w:noWrap w:val="0"/>
            <w:vAlign w:val="center"/>
          </w:tcPr>
          <w:p w14:paraId="0A36F9F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0.2</w:t>
            </w:r>
          </w:p>
        </w:tc>
        <w:tc>
          <w:tcPr>
            <w:tcW w:w="1000" w:type="dxa"/>
            <w:gridSpan w:val="2"/>
            <w:noWrap w:val="0"/>
            <w:vAlign w:val="center"/>
          </w:tcPr>
          <w:p w14:paraId="0C2B627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2951CE0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2D6B21E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kern w:val="0"/>
                <w:szCs w:val="21"/>
                <w:highlight w:val="none"/>
                <w:lang w:val="en-US" w:eastAsia="zh-CN"/>
              </w:rPr>
              <w:t>4</w:t>
            </w:r>
          </w:p>
        </w:tc>
        <w:tc>
          <w:tcPr>
            <w:tcW w:w="1033" w:type="dxa"/>
            <w:gridSpan w:val="2"/>
            <w:noWrap w:val="0"/>
            <w:vAlign w:val="center"/>
          </w:tcPr>
          <w:p w14:paraId="326A8D8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11619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148" w:hRule="atLeast"/>
          <w:jc w:val="center"/>
        </w:trPr>
        <w:tc>
          <w:tcPr>
            <w:tcW w:w="8498" w:type="dxa"/>
            <w:gridSpan w:val="9"/>
            <w:noWrap w:val="0"/>
            <w:vAlign w:val="center"/>
          </w:tcPr>
          <w:p w14:paraId="493D0D7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4"/>
                <w:szCs w:val="24"/>
                <w:highlight w:val="none"/>
                <w:lang w:val="en-US" w:eastAsia="zh-CN"/>
              </w:rPr>
            </w:pPr>
            <w:r>
              <w:rPr>
                <w:rFonts w:hint="eastAsia" w:cs="Times New Roman"/>
                <w:b/>
                <w:bCs/>
                <w:color w:val="auto"/>
                <w:kern w:val="0"/>
                <w:szCs w:val="21"/>
                <w:highlight w:val="none"/>
                <w:lang w:val="en-US" w:eastAsia="zh-CN"/>
              </w:rPr>
              <w:t>样方调查表（5）</w:t>
            </w:r>
          </w:p>
        </w:tc>
      </w:tr>
      <w:tr w14:paraId="09A59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1596D43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5214E11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w:t>
            </w:r>
          </w:p>
        </w:tc>
        <w:tc>
          <w:tcPr>
            <w:tcW w:w="1450" w:type="dxa"/>
            <w:noWrap w:val="0"/>
            <w:vAlign w:val="center"/>
          </w:tcPr>
          <w:p w14:paraId="56B3CCE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5185553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580ED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464CF69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47C8453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106.4636909</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35.91429887</w:t>
            </w:r>
          </w:p>
        </w:tc>
        <w:tc>
          <w:tcPr>
            <w:tcW w:w="1450" w:type="dxa"/>
            <w:noWrap w:val="0"/>
            <w:vAlign w:val="center"/>
          </w:tcPr>
          <w:p w14:paraId="77EFD50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5F9839B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1612.062</w:t>
            </w:r>
          </w:p>
        </w:tc>
      </w:tr>
      <w:tr w14:paraId="31908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0C079B2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503DEE1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sz w:val="21"/>
                <w:szCs w:val="21"/>
                <w:highlight w:val="none"/>
                <w:lang w:val="en-US" w:eastAsia="zh-CN"/>
              </w:rPr>
              <w:t>白莲蒿群落</w:t>
            </w:r>
          </w:p>
        </w:tc>
        <w:tc>
          <w:tcPr>
            <w:tcW w:w="1450" w:type="dxa"/>
            <w:noWrap w:val="0"/>
            <w:vAlign w:val="center"/>
          </w:tcPr>
          <w:p w14:paraId="5B4D5D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646D5A8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37B79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616B41B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37C8485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09AE77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09DFCFE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3F6B3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4D4CB69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631FDE5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1m×1m</w:t>
            </w:r>
          </w:p>
        </w:tc>
        <w:tc>
          <w:tcPr>
            <w:tcW w:w="1450" w:type="dxa"/>
            <w:noWrap w:val="0"/>
            <w:vAlign w:val="center"/>
          </w:tcPr>
          <w:p w14:paraId="6559A36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05A5A40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67834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330410A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3B398EB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3B614CB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24E02B4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12D2649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7436140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0975710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20D850F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47656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04" w:hRule="atLeast"/>
          <w:jc w:val="center"/>
        </w:trPr>
        <w:tc>
          <w:tcPr>
            <w:tcW w:w="1345" w:type="dxa"/>
            <w:noWrap w:val="0"/>
            <w:vAlign w:val="center"/>
          </w:tcPr>
          <w:p w14:paraId="1ED8BFE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363B6E0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eastAsia" w:cs="Times New Roman"/>
                <w:color w:val="auto"/>
                <w:kern w:val="0"/>
                <w:szCs w:val="21"/>
                <w:highlight w:val="none"/>
                <w:lang w:eastAsia="zh-CN"/>
              </w:rPr>
              <w:t>白莲蒿</w:t>
            </w:r>
          </w:p>
        </w:tc>
        <w:tc>
          <w:tcPr>
            <w:tcW w:w="1132" w:type="dxa"/>
            <w:noWrap w:val="0"/>
            <w:vAlign w:val="center"/>
          </w:tcPr>
          <w:p w14:paraId="7B01198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0.7</w:t>
            </w:r>
          </w:p>
        </w:tc>
        <w:tc>
          <w:tcPr>
            <w:tcW w:w="1000" w:type="dxa"/>
            <w:gridSpan w:val="2"/>
            <w:noWrap w:val="0"/>
            <w:vAlign w:val="center"/>
          </w:tcPr>
          <w:p w14:paraId="431144E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450" w:type="dxa"/>
            <w:noWrap w:val="0"/>
            <w:vAlign w:val="center"/>
          </w:tcPr>
          <w:p w14:paraId="2C1A9D4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129" w:type="dxa"/>
            <w:noWrap w:val="0"/>
            <w:vAlign w:val="center"/>
          </w:tcPr>
          <w:p w14:paraId="4625B9F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16</w:t>
            </w:r>
          </w:p>
        </w:tc>
        <w:tc>
          <w:tcPr>
            <w:tcW w:w="1033" w:type="dxa"/>
            <w:gridSpan w:val="2"/>
            <w:noWrap w:val="0"/>
            <w:vAlign w:val="center"/>
          </w:tcPr>
          <w:p w14:paraId="02E41EB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r>
      <w:tr w14:paraId="4F9F3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7BEF46F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409" w:type="dxa"/>
            <w:noWrap w:val="0"/>
            <w:vAlign w:val="center"/>
          </w:tcPr>
          <w:p w14:paraId="425B890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猪毛蒿</w:t>
            </w:r>
          </w:p>
        </w:tc>
        <w:tc>
          <w:tcPr>
            <w:tcW w:w="1132" w:type="dxa"/>
            <w:noWrap w:val="0"/>
            <w:vAlign w:val="center"/>
          </w:tcPr>
          <w:p w14:paraId="0EE26E8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c>
          <w:tcPr>
            <w:tcW w:w="1000" w:type="dxa"/>
            <w:gridSpan w:val="2"/>
            <w:noWrap w:val="0"/>
            <w:vAlign w:val="center"/>
          </w:tcPr>
          <w:p w14:paraId="286DE1F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33C5953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622870F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6</w:t>
            </w:r>
          </w:p>
        </w:tc>
        <w:tc>
          <w:tcPr>
            <w:tcW w:w="1033" w:type="dxa"/>
            <w:gridSpan w:val="2"/>
            <w:noWrap w:val="0"/>
            <w:vAlign w:val="center"/>
          </w:tcPr>
          <w:p w14:paraId="4832519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20%</w:t>
            </w:r>
          </w:p>
        </w:tc>
      </w:tr>
      <w:tr w14:paraId="28E47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07" w:hRule="atLeast"/>
          <w:jc w:val="center"/>
        </w:trPr>
        <w:tc>
          <w:tcPr>
            <w:tcW w:w="1345" w:type="dxa"/>
            <w:noWrap w:val="0"/>
            <w:vAlign w:val="center"/>
          </w:tcPr>
          <w:p w14:paraId="2682BA2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6C5680A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eastAsia="宋体" w:cs="Times New Roman"/>
                <w:color w:val="auto"/>
                <w:kern w:val="0"/>
                <w:szCs w:val="21"/>
                <w:highlight w:val="none"/>
                <w:lang w:eastAsia="zh-CN"/>
              </w:rPr>
              <w:t>冰草</w:t>
            </w:r>
          </w:p>
        </w:tc>
        <w:tc>
          <w:tcPr>
            <w:tcW w:w="1132" w:type="dxa"/>
            <w:noWrap w:val="0"/>
            <w:vAlign w:val="center"/>
          </w:tcPr>
          <w:p w14:paraId="7DDD17D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0.4</w:t>
            </w:r>
          </w:p>
        </w:tc>
        <w:tc>
          <w:tcPr>
            <w:tcW w:w="1000" w:type="dxa"/>
            <w:gridSpan w:val="2"/>
            <w:noWrap w:val="0"/>
            <w:vAlign w:val="center"/>
          </w:tcPr>
          <w:p w14:paraId="432F15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398DE01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555B169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1033" w:type="dxa"/>
            <w:gridSpan w:val="2"/>
            <w:noWrap w:val="0"/>
            <w:vAlign w:val="center"/>
          </w:tcPr>
          <w:p w14:paraId="47D2047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6B5DA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5E1D0B5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5C8FB54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132" w:type="dxa"/>
            <w:noWrap w:val="0"/>
            <w:vAlign w:val="center"/>
          </w:tcPr>
          <w:p w14:paraId="61BDBDA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000" w:type="dxa"/>
            <w:gridSpan w:val="2"/>
            <w:noWrap w:val="0"/>
            <w:vAlign w:val="center"/>
          </w:tcPr>
          <w:p w14:paraId="2945AA5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17DD993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56DE185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033" w:type="dxa"/>
            <w:gridSpan w:val="2"/>
            <w:noWrap w:val="0"/>
            <w:vAlign w:val="center"/>
          </w:tcPr>
          <w:p w14:paraId="766B6E6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r>
      <w:tr w14:paraId="194CE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8498" w:type="dxa"/>
            <w:gridSpan w:val="9"/>
            <w:noWrap w:val="0"/>
            <w:vAlign w:val="center"/>
          </w:tcPr>
          <w:p w14:paraId="5C2B0C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样方调查表（6）</w:t>
            </w:r>
          </w:p>
        </w:tc>
      </w:tr>
      <w:tr w14:paraId="30CC5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76" w:hRule="atLeast"/>
          <w:jc w:val="center"/>
        </w:trPr>
        <w:tc>
          <w:tcPr>
            <w:tcW w:w="1345" w:type="dxa"/>
            <w:noWrap w:val="0"/>
            <w:vAlign w:val="center"/>
          </w:tcPr>
          <w:p w14:paraId="6416689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3818766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6</w:t>
            </w:r>
          </w:p>
        </w:tc>
        <w:tc>
          <w:tcPr>
            <w:tcW w:w="1450" w:type="dxa"/>
            <w:noWrap w:val="0"/>
            <w:vAlign w:val="center"/>
          </w:tcPr>
          <w:p w14:paraId="41F67E6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748A2B3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1440E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4EDD360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72AD6C6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106.4953423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35.92401786</w:t>
            </w:r>
          </w:p>
        </w:tc>
        <w:tc>
          <w:tcPr>
            <w:tcW w:w="1450" w:type="dxa"/>
            <w:noWrap w:val="0"/>
            <w:vAlign w:val="center"/>
          </w:tcPr>
          <w:p w14:paraId="5B20F37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169B63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1536.924</w:t>
            </w:r>
          </w:p>
        </w:tc>
      </w:tr>
      <w:tr w14:paraId="3990A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3825EDC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2F1E89D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sz w:val="21"/>
                <w:szCs w:val="21"/>
                <w:highlight w:val="none"/>
                <w:lang w:val="en-US" w:eastAsia="zh-CN"/>
              </w:rPr>
              <w:t>白莲蒿群落</w:t>
            </w:r>
          </w:p>
        </w:tc>
        <w:tc>
          <w:tcPr>
            <w:tcW w:w="1450" w:type="dxa"/>
            <w:noWrap w:val="0"/>
            <w:vAlign w:val="center"/>
          </w:tcPr>
          <w:p w14:paraId="5AB893D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1159897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1506B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40B4D87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79565E5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2C57FF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7D65F49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37798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6F7BD74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30884DE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1m×1m</w:t>
            </w:r>
          </w:p>
        </w:tc>
        <w:tc>
          <w:tcPr>
            <w:tcW w:w="1450" w:type="dxa"/>
            <w:noWrap w:val="0"/>
            <w:vAlign w:val="center"/>
          </w:tcPr>
          <w:p w14:paraId="175DCE7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190C6A3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71BC9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2962C6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4AE4664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3B81000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1953AD2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356CD65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1EC85D9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458C713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53FB679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01BBF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76" w:hRule="atLeast"/>
          <w:jc w:val="center"/>
        </w:trPr>
        <w:tc>
          <w:tcPr>
            <w:tcW w:w="1345" w:type="dxa"/>
            <w:noWrap w:val="0"/>
            <w:vAlign w:val="center"/>
          </w:tcPr>
          <w:p w14:paraId="04E26D5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5BD6A0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eastAsia" w:cs="Times New Roman"/>
                <w:color w:val="auto"/>
                <w:kern w:val="0"/>
                <w:szCs w:val="21"/>
                <w:highlight w:val="none"/>
                <w:lang w:eastAsia="zh-CN"/>
              </w:rPr>
              <w:t>白莲蒿</w:t>
            </w:r>
          </w:p>
        </w:tc>
        <w:tc>
          <w:tcPr>
            <w:tcW w:w="1132" w:type="dxa"/>
            <w:noWrap w:val="0"/>
            <w:vAlign w:val="center"/>
          </w:tcPr>
          <w:p w14:paraId="5982247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0.35</w:t>
            </w:r>
          </w:p>
        </w:tc>
        <w:tc>
          <w:tcPr>
            <w:tcW w:w="1000" w:type="dxa"/>
            <w:gridSpan w:val="2"/>
            <w:noWrap w:val="0"/>
            <w:vAlign w:val="center"/>
          </w:tcPr>
          <w:p w14:paraId="5822FAA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450" w:type="dxa"/>
            <w:noWrap w:val="0"/>
            <w:vAlign w:val="center"/>
          </w:tcPr>
          <w:p w14:paraId="3E49903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129" w:type="dxa"/>
            <w:noWrap w:val="0"/>
            <w:vAlign w:val="center"/>
          </w:tcPr>
          <w:p w14:paraId="11682BC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8</w:t>
            </w:r>
          </w:p>
        </w:tc>
        <w:tc>
          <w:tcPr>
            <w:tcW w:w="1033" w:type="dxa"/>
            <w:gridSpan w:val="2"/>
            <w:noWrap w:val="0"/>
            <w:vAlign w:val="center"/>
          </w:tcPr>
          <w:p w14:paraId="5C22508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30%</w:t>
            </w:r>
          </w:p>
        </w:tc>
      </w:tr>
      <w:tr w14:paraId="28422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04" w:hRule="atLeast"/>
          <w:jc w:val="center"/>
        </w:trPr>
        <w:tc>
          <w:tcPr>
            <w:tcW w:w="1345" w:type="dxa"/>
            <w:noWrap w:val="0"/>
            <w:vAlign w:val="center"/>
          </w:tcPr>
          <w:p w14:paraId="0D64496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409" w:type="dxa"/>
            <w:noWrap w:val="0"/>
            <w:vAlign w:val="center"/>
          </w:tcPr>
          <w:p w14:paraId="217B1E9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猪毛蒿</w:t>
            </w:r>
          </w:p>
        </w:tc>
        <w:tc>
          <w:tcPr>
            <w:tcW w:w="1132" w:type="dxa"/>
            <w:noWrap w:val="0"/>
            <w:vAlign w:val="center"/>
          </w:tcPr>
          <w:p w14:paraId="0F87666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0.3</w:t>
            </w:r>
          </w:p>
        </w:tc>
        <w:tc>
          <w:tcPr>
            <w:tcW w:w="1000" w:type="dxa"/>
            <w:gridSpan w:val="2"/>
            <w:noWrap w:val="0"/>
            <w:vAlign w:val="center"/>
          </w:tcPr>
          <w:p w14:paraId="22B94B4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1C39EA6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300C651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1033" w:type="dxa"/>
            <w:gridSpan w:val="2"/>
            <w:noWrap w:val="0"/>
            <w:vAlign w:val="center"/>
          </w:tcPr>
          <w:p w14:paraId="53CE037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w:t>
            </w:r>
          </w:p>
        </w:tc>
      </w:tr>
      <w:tr w14:paraId="4F925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30" w:hRule="atLeast"/>
          <w:jc w:val="center"/>
        </w:trPr>
        <w:tc>
          <w:tcPr>
            <w:tcW w:w="1345" w:type="dxa"/>
            <w:noWrap w:val="0"/>
            <w:vAlign w:val="center"/>
          </w:tcPr>
          <w:p w14:paraId="24138BD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22A4111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eastAsia="宋体" w:cs="Times New Roman"/>
                <w:color w:val="auto"/>
                <w:kern w:val="0"/>
                <w:szCs w:val="21"/>
                <w:highlight w:val="none"/>
                <w:lang w:eastAsia="zh-CN"/>
              </w:rPr>
              <w:t>冰草</w:t>
            </w:r>
          </w:p>
        </w:tc>
        <w:tc>
          <w:tcPr>
            <w:tcW w:w="1132" w:type="dxa"/>
            <w:noWrap w:val="0"/>
            <w:vAlign w:val="center"/>
          </w:tcPr>
          <w:p w14:paraId="2016850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0.3</w:t>
            </w:r>
          </w:p>
        </w:tc>
        <w:tc>
          <w:tcPr>
            <w:tcW w:w="1000" w:type="dxa"/>
            <w:gridSpan w:val="2"/>
            <w:noWrap w:val="0"/>
            <w:vAlign w:val="center"/>
          </w:tcPr>
          <w:p w14:paraId="759E2EF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1F5CDBF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782028F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kern w:val="0"/>
                <w:szCs w:val="21"/>
                <w:highlight w:val="none"/>
                <w:lang w:val="en-US" w:eastAsia="zh-CN"/>
              </w:rPr>
              <w:t>14</w:t>
            </w:r>
          </w:p>
        </w:tc>
        <w:tc>
          <w:tcPr>
            <w:tcW w:w="1033" w:type="dxa"/>
            <w:gridSpan w:val="2"/>
            <w:noWrap w:val="0"/>
            <w:vAlign w:val="center"/>
          </w:tcPr>
          <w:p w14:paraId="7CE6D5C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r>
      <w:tr w14:paraId="6AE54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53A6BD0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4B693F9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132" w:type="dxa"/>
            <w:noWrap w:val="0"/>
            <w:vAlign w:val="center"/>
          </w:tcPr>
          <w:p w14:paraId="3FF336F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000" w:type="dxa"/>
            <w:gridSpan w:val="2"/>
            <w:noWrap w:val="0"/>
            <w:vAlign w:val="center"/>
          </w:tcPr>
          <w:p w14:paraId="3A2D898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52BB97E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7A7DFF5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033" w:type="dxa"/>
            <w:gridSpan w:val="2"/>
            <w:noWrap w:val="0"/>
            <w:vAlign w:val="center"/>
          </w:tcPr>
          <w:p w14:paraId="42ED9ED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r>
      <w:tr w14:paraId="2798C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0A0493A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63A7B11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132" w:type="dxa"/>
            <w:noWrap w:val="0"/>
            <w:vAlign w:val="center"/>
          </w:tcPr>
          <w:p w14:paraId="219C393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000" w:type="dxa"/>
            <w:gridSpan w:val="2"/>
            <w:noWrap w:val="0"/>
            <w:vAlign w:val="center"/>
          </w:tcPr>
          <w:p w14:paraId="22B8835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35C4A45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0340072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p>
        </w:tc>
        <w:tc>
          <w:tcPr>
            <w:tcW w:w="1033" w:type="dxa"/>
            <w:gridSpan w:val="2"/>
            <w:noWrap w:val="0"/>
            <w:vAlign w:val="center"/>
          </w:tcPr>
          <w:p w14:paraId="0AC94F8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r>
      <w:tr w14:paraId="3D7F6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8498" w:type="dxa"/>
            <w:gridSpan w:val="9"/>
            <w:noWrap w:val="0"/>
            <w:vAlign w:val="center"/>
          </w:tcPr>
          <w:p w14:paraId="5F74A4B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样方调查表（7）</w:t>
            </w:r>
          </w:p>
        </w:tc>
      </w:tr>
      <w:tr w14:paraId="36DFC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2F7A05E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4513A30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w:t>
            </w:r>
          </w:p>
        </w:tc>
        <w:tc>
          <w:tcPr>
            <w:tcW w:w="1450" w:type="dxa"/>
            <w:noWrap w:val="0"/>
            <w:vAlign w:val="center"/>
          </w:tcPr>
          <w:p w14:paraId="2D87EF5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63B5EB7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38E49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18" w:hRule="atLeast"/>
          <w:jc w:val="center"/>
        </w:trPr>
        <w:tc>
          <w:tcPr>
            <w:tcW w:w="1345" w:type="dxa"/>
            <w:noWrap w:val="0"/>
            <w:vAlign w:val="center"/>
          </w:tcPr>
          <w:p w14:paraId="7A66FE7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35A776E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106.422055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35.90932069</w:t>
            </w:r>
          </w:p>
        </w:tc>
        <w:tc>
          <w:tcPr>
            <w:tcW w:w="1450" w:type="dxa"/>
            <w:noWrap w:val="0"/>
            <w:vAlign w:val="center"/>
          </w:tcPr>
          <w:p w14:paraId="1238607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5F6A1CF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1667.634</w:t>
            </w:r>
          </w:p>
        </w:tc>
      </w:tr>
      <w:tr w14:paraId="05C84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4FB7E87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4748E59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sz w:val="21"/>
                <w:szCs w:val="21"/>
                <w:highlight w:val="none"/>
                <w:lang w:val="en-US" w:eastAsia="zh-CN"/>
              </w:rPr>
              <w:t>针茅-白莲蒿群落</w:t>
            </w:r>
          </w:p>
        </w:tc>
        <w:tc>
          <w:tcPr>
            <w:tcW w:w="1450" w:type="dxa"/>
            <w:noWrap w:val="0"/>
            <w:vAlign w:val="center"/>
          </w:tcPr>
          <w:p w14:paraId="0C8F043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18F9371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190F8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105D9AF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07A6408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3712C5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5FE2C19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66ACC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792B95F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0FA5B17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1m×1m</w:t>
            </w:r>
          </w:p>
        </w:tc>
        <w:tc>
          <w:tcPr>
            <w:tcW w:w="1450" w:type="dxa"/>
            <w:noWrap w:val="0"/>
            <w:vAlign w:val="center"/>
          </w:tcPr>
          <w:p w14:paraId="41E37FA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70C413B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6D95A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512C0CD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7D4C4F8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1990A5F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72CAACF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338F888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2136C0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2081DBE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34554C2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63BAA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0609AEA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5E9C5A8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eastAsia" w:cs="Times New Roman"/>
                <w:color w:val="auto"/>
                <w:kern w:val="0"/>
                <w:szCs w:val="21"/>
                <w:highlight w:val="none"/>
                <w:lang w:eastAsia="zh-CN"/>
              </w:rPr>
              <w:t>针茅</w:t>
            </w:r>
          </w:p>
        </w:tc>
        <w:tc>
          <w:tcPr>
            <w:tcW w:w="1132" w:type="dxa"/>
            <w:noWrap w:val="0"/>
            <w:vAlign w:val="center"/>
          </w:tcPr>
          <w:p w14:paraId="69C61C1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0.5</w:t>
            </w:r>
          </w:p>
        </w:tc>
        <w:tc>
          <w:tcPr>
            <w:tcW w:w="1000" w:type="dxa"/>
            <w:gridSpan w:val="2"/>
            <w:noWrap w:val="0"/>
            <w:vAlign w:val="center"/>
          </w:tcPr>
          <w:p w14:paraId="0ED10A5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450" w:type="dxa"/>
            <w:noWrap w:val="0"/>
            <w:vAlign w:val="center"/>
          </w:tcPr>
          <w:p w14:paraId="6E7F2F9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129" w:type="dxa"/>
            <w:noWrap w:val="0"/>
            <w:vAlign w:val="center"/>
          </w:tcPr>
          <w:p w14:paraId="3A3F036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74</w:t>
            </w:r>
          </w:p>
        </w:tc>
        <w:tc>
          <w:tcPr>
            <w:tcW w:w="1033" w:type="dxa"/>
            <w:gridSpan w:val="2"/>
            <w:noWrap w:val="0"/>
            <w:vAlign w:val="center"/>
          </w:tcPr>
          <w:p w14:paraId="222254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30%</w:t>
            </w:r>
          </w:p>
        </w:tc>
      </w:tr>
      <w:tr w14:paraId="35678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0E4F814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409" w:type="dxa"/>
            <w:shd w:val="clear" w:color="auto" w:fill="auto"/>
            <w:noWrap w:val="0"/>
            <w:vAlign w:val="center"/>
          </w:tcPr>
          <w:p w14:paraId="16F0ED1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eastAsia="zh-CN"/>
              </w:rPr>
              <w:t>白莲蒿</w:t>
            </w:r>
          </w:p>
        </w:tc>
        <w:tc>
          <w:tcPr>
            <w:tcW w:w="1132" w:type="dxa"/>
            <w:noWrap w:val="0"/>
            <w:vAlign w:val="center"/>
          </w:tcPr>
          <w:p w14:paraId="295FF91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0.4</w:t>
            </w:r>
          </w:p>
        </w:tc>
        <w:tc>
          <w:tcPr>
            <w:tcW w:w="1000" w:type="dxa"/>
            <w:gridSpan w:val="2"/>
            <w:noWrap w:val="0"/>
            <w:vAlign w:val="center"/>
          </w:tcPr>
          <w:p w14:paraId="00B730F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4318A75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25ED5A7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41</w:t>
            </w:r>
          </w:p>
        </w:tc>
        <w:tc>
          <w:tcPr>
            <w:tcW w:w="1033" w:type="dxa"/>
            <w:gridSpan w:val="2"/>
            <w:noWrap w:val="0"/>
            <w:vAlign w:val="center"/>
          </w:tcPr>
          <w:p w14:paraId="20A3E81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15%</w:t>
            </w:r>
          </w:p>
        </w:tc>
      </w:tr>
      <w:tr w14:paraId="15BBB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89" w:hRule="atLeast"/>
          <w:jc w:val="center"/>
        </w:trPr>
        <w:tc>
          <w:tcPr>
            <w:tcW w:w="1345" w:type="dxa"/>
            <w:noWrap w:val="0"/>
            <w:vAlign w:val="center"/>
          </w:tcPr>
          <w:p w14:paraId="04569DA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shd w:val="clear" w:color="auto" w:fill="auto"/>
            <w:noWrap w:val="0"/>
            <w:vAlign w:val="center"/>
          </w:tcPr>
          <w:p w14:paraId="292407B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猪毛蒿</w:t>
            </w:r>
          </w:p>
        </w:tc>
        <w:tc>
          <w:tcPr>
            <w:tcW w:w="1132" w:type="dxa"/>
            <w:noWrap w:val="0"/>
            <w:vAlign w:val="center"/>
          </w:tcPr>
          <w:p w14:paraId="4C4CF56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0.15</w:t>
            </w:r>
          </w:p>
        </w:tc>
        <w:tc>
          <w:tcPr>
            <w:tcW w:w="1000" w:type="dxa"/>
            <w:gridSpan w:val="2"/>
            <w:noWrap w:val="0"/>
            <w:vAlign w:val="center"/>
          </w:tcPr>
          <w:p w14:paraId="1467E26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6B584CD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26504BF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5</w:t>
            </w:r>
          </w:p>
        </w:tc>
        <w:tc>
          <w:tcPr>
            <w:tcW w:w="1033" w:type="dxa"/>
            <w:gridSpan w:val="2"/>
            <w:noWrap w:val="0"/>
            <w:vAlign w:val="center"/>
          </w:tcPr>
          <w:p w14:paraId="4705225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5B355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48" w:hRule="atLeast"/>
          <w:jc w:val="center"/>
        </w:trPr>
        <w:tc>
          <w:tcPr>
            <w:tcW w:w="1345" w:type="dxa"/>
            <w:noWrap w:val="0"/>
            <w:vAlign w:val="center"/>
          </w:tcPr>
          <w:p w14:paraId="37C110A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shd w:val="clear" w:color="auto" w:fill="auto"/>
            <w:noWrap w:val="0"/>
            <w:vAlign w:val="center"/>
          </w:tcPr>
          <w:p w14:paraId="32C2884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Cs w:val="21"/>
                <w:highlight w:val="none"/>
                <w:lang w:eastAsia="zh-CN"/>
              </w:rPr>
              <w:t>冰草</w:t>
            </w:r>
          </w:p>
        </w:tc>
        <w:tc>
          <w:tcPr>
            <w:tcW w:w="1132" w:type="dxa"/>
            <w:noWrap w:val="0"/>
            <w:vAlign w:val="center"/>
          </w:tcPr>
          <w:p w14:paraId="4D1A354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0.3</w:t>
            </w:r>
          </w:p>
        </w:tc>
        <w:tc>
          <w:tcPr>
            <w:tcW w:w="1000" w:type="dxa"/>
            <w:gridSpan w:val="2"/>
            <w:noWrap w:val="0"/>
            <w:vAlign w:val="center"/>
          </w:tcPr>
          <w:p w14:paraId="0F94B07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73DF295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2913D7D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c>
          <w:tcPr>
            <w:tcW w:w="1033" w:type="dxa"/>
            <w:gridSpan w:val="2"/>
            <w:noWrap w:val="0"/>
            <w:vAlign w:val="center"/>
          </w:tcPr>
          <w:p w14:paraId="382319F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w:t>
            </w:r>
          </w:p>
        </w:tc>
      </w:tr>
      <w:tr w14:paraId="0F6D8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6C38BD6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4DD1C29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132" w:type="dxa"/>
            <w:noWrap w:val="0"/>
            <w:vAlign w:val="center"/>
          </w:tcPr>
          <w:p w14:paraId="76821F3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0.2</w:t>
            </w:r>
          </w:p>
        </w:tc>
        <w:tc>
          <w:tcPr>
            <w:tcW w:w="1000" w:type="dxa"/>
            <w:gridSpan w:val="2"/>
            <w:noWrap w:val="0"/>
            <w:vAlign w:val="center"/>
          </w:tcPr>
          <w:p w14:paraId="5F136C6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3A06779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5F144D7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p>
        </w:tc>
        <w:tc>
          <w:tcPr>
            <w:tcW w:w="1033" w:type="dxa"/>
            <w:gridSpan w:val="2"/>
            <w:noWrap w:val="0"/>
            <w:vAlign w:val="center"/>
          </w:tcPr>
          <w:p w14:paraId="4E1D40F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r>
      <w:tr w14:paraId="6B5E2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148" w:hRule="atLeast"/>
          <w:jc w:val="center"/>
        </w:trPr>
        <w:tc>
          <w:tcPr>
            <w:tcW w:w="8498" w:type="dxa"/>
            <w:gridSpan w:val="9"/>
            <w:noWrap w:val="0"/>
            <w:vAlign w:val="center"/>
          </w:tcPr>
          <w:p w14:paraId="38784AB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0"/>
                <w:sz w:val="24"/>
                <w:szCs w:val="24"/>
                <w:highlight w:val="none"/>
                <w:lang w:val="en-US" w:eastAsia="zh-CN"/>
              </w:rPr>
            </w:pPr>
            <w:r>
              <w:rPr>
                <w:rFonts w:hint="eastAsia" w:cs="Times New Roman"/>
                <w:b/>
                <w:bCs/>
                <w:color w:val="auto"/>
                <w:kern w:val="0"/>
                <w:szCs w:val="21"/>
                <w:highlight w:val="none"/>
                <w:lang w:val="en-US" w:eastAsia="zh-CN"/>
              </w:rPr>
              <w:t>样方调查表（8）</w:t>
            </w:r>
          </w:p>
        </w:tc>
      </w:tr>
      <w:tr w14:paraId="472BF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0AB92A3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3929055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8</w:t>
            </w:r>
          </w:p>
        </w:tc>
        <w:tc>
          <w:tcPr>
            <w:tcW w:w="1450" w:type="dxa"/>
            <w:noWrap w:val="0"/>
            <w:vAlign w:val="center"/>
          </w:tcPr>
          <w:p w14:paraId="74115E7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6B685DF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7356E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74BE857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3B9B41B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106.4466629</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35.9099309</w:t>
            </w:r>
          </w:p>
        </w:tc>
        <w:tc>
          <w:tcPr>
            <w:tcW w:w="1450" w:type="dxa"/>
            <w:noWrap w:val="0"/>
            <w:vAlign w:val="center"/>
          </w:tcPr>
          <w:p w14:paraId="17CC11C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3B3EA19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1628.317</w:t>
            </w:r>
          </w:p>
        </w:tc>
      </w:tr>
      <w:tr w14:paraId="62251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54F3C0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4139297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sz w:val="21"/>
                <w:szCs w:val="21"/>
                <w:highlight w:val="none"/>
                <w:lang w:val="en-US" w:eastAsia="zh-CN"/>
              </w:rPr>
              <w:t>针茅-白莲蒿群落</w:t>
            </w:r>
          </w:p>
        </w:tc>
        <w:tc>
          <w:tcPr>
            <w:tcW w:w="1450" w:type="dxa"/>
            <w:noWrap w:val="0"/>
            <w:vAlign w:val="center"/>
          </w:tcPr>
          <w:p w14:paraId="506745C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65A05AA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6B3EA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2638F30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62D01A9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43DA4D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544D63A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444AC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47ADC77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79CFDF9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1m×1m</w:t>
            </w:r>
          </w:p>
        </w:tc>
        <w:tc>
          <w:tcPr>
            <w:tcW w:w="1450" w:type="dxa"/>
            <w:noWrap w:val="0"/>
            <w:vAlign w:val="center"/>
          </w:tcPr>
          <w:p w14:paraId="030D55C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6702742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79502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1BA1DF7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1FDFE4C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0E3F373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67DC038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7DFBE46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7B63955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54076E0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4228DEC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43A1F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04" w:hRule="atLeast"/>
          <w:jc w:val="center"/>
        </w:trPr>
        <w:tc>
          <w:tcPr>
            <w:tcW w:w="1345" w:type="dxa"/>
            <w:noWrap w:val="0"/>
            <w:vAlign w:val="center"/>
          </w:tcPr>
          <w:p w14:paraId="3D8FD8B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草本层</w:t>
            </w:r>
          </w:p>
        </w:tc>
        <w:tc>
          <w:tcPr>
            <w:tcW w:w="1409" w:type="dxa"/>
            <w:shd w:val="clear" w:color="auto" w:fill="auto"/>
            <w:noWrap w:val="0"/>
            <w:vAlign w:val="center"/>
          </w:tcPr>
          <w:p w14:paraId="4565F1E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eastAsia="zh-CN"/>
              </w:rPr>
              <w:t>针茅</w:t>
            </w:r>
          </w:p>
        </w:tc>
        <w:tc>
          <w:tcPr>
            <w:tcW w:w="1132" w:type="dxa"/>
            <w:shd w:val="clear" w:color="auto" w:fill="auto"/>
            <w:noWrap w:val="0"/>
            <w:vAlign w:val="center"/>
          </w:tcPr>
          <w:p w14:paraId="213DA10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0.5</w:t>
            </w:r>
          </w:p>
        </w:tc>
        <w:tc>
          <w:tcPr>
            <w:tcW w:w="1000" w:type="dxa"/>
            <w:gridSpan w:val="2"/>
            <w:shd w:val="clear" w:color="auto" w:fill="auto"/>
            <w:noWrap w:val="0"/>
            <w:vAlign w:val="center"/>
          </w:tcPr>
          <w:p w14:paraId="0CC2DF4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50" w:type="dxa"/>
            <w:shd w:val="clear" w:color="auto" w:fill="auto"/>
            <w:noWrap w:val="0"/>
            <w:vAlign w:val="center"/>
          </w:tcPr>
          <w:p w14:paraId="4F863CA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29" w:type="dxa"/>
            <w:shd w:val="clear" w:color="auto" w:fill="auto"/>
            <w:noWrap w:val="0"/>
            <w:vAlign w:val="center"/>
          </w:tcPr>
          <w:p w14:paraId="1FC78ED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27</w:t>
            </w:r>
          </w:p>
        </w:tc>
        <w:tc>
          <w:tcPr>
            <w:tcW w:w="1033" w:type="dxa"/>
            <w:gridSpan w:val="2"/>
            <w:shd w:val="clear" w:color="auto" w:fill="auto"/>
            <w:noWrap w:val="0"/>
            <w:vAlign w:val="center"/>
          </w:tcPr>
          <w:p w14:paraId="4C09CDE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20%</w:t>
            </w:r>
          </w:p>
        </w:tc>
      </w:tr>
      <w:tr w14:paraId="7D52C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40" w:hRule="atLeast"/>
          <w:jc w:val="center"/>
        </w:trPr>
        <w:tc>
          <w:tcPr>
            <w:tcW w:w="1345" w:type="dxa"/>
            <w:noWrap w:val="0"/>
            <w:vAlign w:val="center"/>
          </w:tcPr>
          <w:p w14:paraId="6E6D004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409" w:type="dxa"/>
            <w:shd w:val="clear" w:color="auto" w:fill="auto"/>
            <w:noWrap w:val="0"/>
            <w:vAlign w:val="center"/>
          </w:tcPr>
          <w:p w14:paraId="641AC72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eastAsia="zh-CN"/>
              </w:rPr>
              <w:t>白莲蒿</w:t>
            </w:r>
          </w:p>
        </w:tc>
        <w:tc>
          <w:tcPr>
            <w:tcW w:w="1132" w:type="dxa"/>
            <w:shd w:val="clear" w:color="auto" w:fill="auto"/>
            <w:noWrap w:val="0"/>
            <w:vAlign w:val="center"/>
          </w:tcPr>
          <w:p w14:paraId="1AE5F28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0.7</w:t>
            </w:r>
          </w:p>
        </w:tc>
        <w:tc>
          <w:tcPr>
            <w:tcW w:w="1000" w:type="dxa"/>
            <w:gridSpan w:val="2"/>
            <w:shd w:val="clear" w:color="auto" w:fill="auto"/>
            <w:noWrap w:val="0"/>
            <w:vAlign w:val="center"/>
          </w:tcPr>
          <w:p w14:paraId="4FA0801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50" w:type="dxa"/>
            <w:shd w:val="clear" w:color="auto" w:fill="auto"/>
            <w:noWrap w:val="0"/>
            <w:vAlign w:val="center"/>
          </w:tcPr>
          <w:p w14:paraId="1B72B68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29" w:type="dxa"/>
            <w:shd w:val="clear" w:color="auto" w:fill="auto"/>
            <w:noWrap w:val="0"/>
            <w:vAlign w:val="center"/>
          </w:tcPr>
          <w:p w14:paraId="720B220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bidi="ar-SA"/>
              </w:rPr>
              <w:t>35</w:t>
            </w:r>
          </w:p>
        </w:tc>
        <w:tc>
          <w:tcPr>
            <w:tcW w:w="1033" w:type="dxa"/>
            <w:gridSpan w:val="2"/>
            <w:shd w:val="clear" w:color="auto" w:fill="auto"/>
            <w:noWrap w:val="0"/>
            <w:vAlign w:val="center"/>
          </w:tcPr>
          <w:p w14:paraId="5C0F160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25%</w:t>
            </w:r>
          </w:p>
        </w:tc>
      </w:tr>
      <w:tr w14:paraId="538FB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07" w:hRule="atLeast"/>
          <w:jc w:val="center"/>
        </w:trPr>
        <w:tc>
          <w:tcPr>
            <w:tcW w:w="1345" w:type="dxa"/>
            <w:noWrap w:val="0"/>
            <w:vAlign w:val="center"/>
          </w:tcPr>
          <w:p w14:paraId="76B53EC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shd w:val="clear" w:color="auto" w:fill="auto"/>
            <w:noWrap w:val="0"/>
            <w:vAlign w:val="center"/>
          </w:tcPr>
          <w:p w14:paraId="4B4E4F4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猪毛蒿</w:t>
            </w:r>
          </w:p>
        </w:tc>
        <w:tc>
          <w:tcPr>
            <w:tcW w:w="1132" w:type="dxa"/>
            <w:shd w:val="clear" w:color="auto" w:fill="auto"/>
            <w:noWrap w:val="0"/>
            <w:vAlign w:val="center"/>
          </w:tcPr>
          <w:p w14:paraId="1B5DC54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0.5</w:t>
            </w:r>
          </w:p>
        </w:tc>
        <w:tc>
          <w:tcPr>
            <w:tcW w:w="1000" w:type="dxa"/>
            <w:gridSpan w:val="2"/>
            <w:shd w:val="clear" w:color="auto" w:fill="auto"/>
            <w:noWrap w:val="0"/>
            <w:vAlign w:val="center"/>
          </w:tcPr>
          <w:p w14:paraId="68A9EE3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50" w:type="dxa"/>
            <w:shd w:val="clear" w:color="auto" w:fill="auto"/>
            <w:noWrap w:val="0"/>
            <w:vAlign w:val="center"/>
          </w:tcPr>
          <w:p w14:paraId="6A8F902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29" w:type="dxa"/>
            <w:shd w:val="clear" w:color="auto" w:fill="auto"/>
            <w:noWrap w:val="0"/>
            <w:vAlign w:val="center"/>
          </w:tcPr>
          <w:p w14:paraId="0E3B9B4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4</w:t>
            </w:r>
          </w:p>
        </w:tc>
        <w:tc>
          <w:tcPr>
            <w:tcW w:w="1033" w:type="dxa"/>
            <w:gridSpan w:val="2"/>
            <w:shd w:val="clear" w:color="auto" w:fill="auto"/>
            <w:noWrap w:val="0"/>
            <w:vAlign w:val="center"/>
          </w:tcPr>
          <w:p w14:paraId="1C2F95D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w:t>
            </w:r>
          </w:p>
        </w:tc>
      </w:tr>
      <w:tr w14:paraId="12FBE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4289474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shd w:val="clear" w:color="auto" w:fill="auto"/>
            <w:noWrap w:val="0"/>
            <w:vAlign w:val="center"/>
          </w:tcPr>
          <w:p w14:paraId="3F1164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Cs w:val="21"/>
                <w:highlight w:val="none"/>
                <w:lang w:eastAsia="zh-CN"/>
              </w:rPr>
              <w:t>冰草</w:t>
            </w:r>
          </w:p>
        </w:tc>
        <w:tc>
          <w:tcPr>
            <w:tcW w:w="1132" w:type="dxa"/>
            <w:shd w:val="clear" w:color="auto" w:fill="auto"/>
            <w:noWrap w:val="0"/>
            <w:vAlign w:val="center"/>
          </w:tcPr>
          <w:p w14:paraId="70D5C18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0.4</w:t>
            </w:r>
          </w:p>
        </w:tc>
        <w:tc>
          <w:tcPr>
            <w:tcW w:w="1000" w:type="dxa"/>
            <w:gridSpan w:val="2"/>
            <w:shd w:val="clear" w:color="auto" w:fill="auto"/>
            <w:noWrap w:val="0"/>
            <w:vAlign w:val="center"/>
          </w:tcPr>
          <w:p w14:paraId="79EEA2F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50" w:type="dxa"/>
            <w:shd w:val="clear" w:color="auto" w:fill="auto"/>
            <w:noWrap w:val="0"/>
            <w:vAlign w:val="center"/>
          </w:tcPr>
          <w:p w14:paraId="492F5A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29" w:type="dxa"/>
            <w:shd w:val="clear" w:color="auto" w:fill="auto"/>
            <w:noWrap w:val="0"/>
            <w:vAlign w:val="center"/>
          </w:tcPr>
          <w:p w14:paraId="0FD1040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2</w:t>
            </w:r>
          </w:p>
        </w:tc>
        <w:tc>
          <w:tcPr>
            <w:tcW w:w="1033" w:type="dxa"/>
            <w:gridSpan w:val="2"/>
            <w:shd w:val="clear" w:color="auto" w:fill="auto"/>
            <w:noWrap w:val="0"/>
            <w:vAlign w:val="center"/>
          </w:tcPr>
          <w:p w14:paraId="210D32F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w:t>
            </w:r>
          </w:p>
        </w:tc>
      </w:tr>
      <w:tr w14:paraId="1E2DE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8498" w:type="dxa"/>
            <w:gridSpan w:val="9"/>
            <w:noWrap w:val="0"/>
            <w:vAlign w:val="center"/>
          </w:tcPr>
          <w:p w14:paraId="7A35979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样方调查表（9）</w:t>
            </w:r>
          </w:p>
        </w:tc>
      </w:tr>
      <w:tr w14:paraId="083C2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76" w:hRule="atLeast"/>
          <w:jc w:val="center"/>
        </w:trPr>
        <w:tc>
          <w:tcPr>
            <w:tcW w:w="1345" w:type="dxa"/>
            <w:noWrap w:val="0"/>
            <w:vAlign w:val="center"/>
          </w:tcPr>
          <w:p w14:paraId="257E6E4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样方编号</w:t>
            </w:r>
          </w:p>
        </w:tc>
        <w:tc>
          <w:tcPr>
            <w:tcW w:w="3541" w:type="dxa"/>
            <w:gridSpan w:val="4"/>
            <w:noWrap w:val="0"/>
            <w:vAlign w:val="center"/>
          </w:tcPr>
          <w:p w14:paraId="7667B42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9</w:t>
            </w:r>
          </w:p>
        </w:tc>
        <w:tc>
          <w:tcPr>
            <w:tcW w:w="1450" w:type="dxa"/>
            <w:noWrap w:val="0"/>
            <w:vAlign w:val="center"/>
          </w:tcPr>
          <w:p w14:paraId="367372E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调查时间</w:t>
            </w:r>
          </w:p>
        </w:tc>
        <w:tc>
          <w:tcPr>
            <w:tcW w:w="2162" w:type="dxa"/>
            <w:gridSpan w:val="3"/>
            <w:noWrap w:val="0"/>
            <w:vAlign w:val="center"/>
          </w:tcPr>
          <w:p w14:paraId="5706722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2025.</w:t>
            </w:r>
            <w:r>
              <w:rPr>
                <w:rFonts w:hint="eastAsia" w:cs="Times New Roman"/>
                <w:color w:val="auto"/>
                <w:kern w:val="0"/>
                <w:szCs w:val="21"/>
                <w:highlight w:val="none"/>
                <w:lang w:val="en-US" w:eastAsia="zh-CN"/>
              </w:rPr>
              <w:t>10.21</w:t>
            </w:r>
          </w:p>
        </w:tc>
      </w:tr>
      <w:tr w14:paraId="2EFE3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14E18D1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经纬度</w:t>
            </w:r>
          </w:p>
        </w:tc>
        <w:tc>
          <w:tcPr>
            <w:tcW w:w="3541" w:type="dxa"/>
            <w:gridSpan w:val="4"/>
            <w:noWrap w:val="0"/>
            <w:vAlign w:val="center"/>
          </w:tcPr>
          <w:p w14:paraId="1E3CD24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ascii="Times New Roman" w:hAnsi="Times New Roman" w:cs="Times New Roman"/>
                <w:color w:val="auto"/>
                <w:sz w:val="21"/>
                <w:szCs w:val="21"/>
                <w:highlight w:val="none"/>
                <w:lang w:val="en-US" w:eastAsia="zh-CN"/>
              </w:rPr>
              <w:t>106.4832509</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35.91706691</w:t>
            </w:r>
          </w:p>
        </w:tc>
        <w:tc>
          <w:tcPr>
            <w:tcW w:w="1450" w:type="dxa"/>
            <w:noWrap w:val="0"/>
            <w:vAlign w:val="center"/>
          </w:tcPr>
          <w:p w14:paraId="4E4CDDF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海拔</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lang w:eastAsia="zh-CN"/>
              </w:rPr>
              <w:t>）</w:t>
            </w:r>
          </w:p>
        </w:tc>
        <w:tc>
          <w:tcPr>
            <w:tcW w:w="2162" w:type="dxa"/>
            <w:gridSpan w:val="3"/>
            <w:noWrap w:val="0"/>
            <w:vAlign w:val="center"/>
          </w:tcPr>
          <w:p w14:paraId="67ECA9D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1548.885</w:t>
            </w:r>
          </w:p>
        </w:tc>
      </w:tr>
      <w:tr w14:paraId="35AAE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42723A6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植被类型</w:t>
            </w:r>
          </w:p>
        </w:tc>
        <w:tc>
          <w:tcPr>
            <w:tcW w:w="3541" w:type="dxa"/>
            <w:gridSpan w:val="4"/>
            <w:noWrap w:val="0"/>
            <w:vAlign w:val="center"/>
          </w:tcPr>
          <w:p w14:paraId="2DE41FF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r>
              <w:rPr>
                <w:rFonts w:hint="eastAsia" w:cs="Times New Roman"/>
                <w:color w:val="auto"/>
                <w:sz w:val="21"/>
                <w:szCs w:val="21"/>
                <w:highlight w:val="none"/>
                <w:lang w:val="en-US" w:eastAsia="zh-CN"/>
              </w:rPr>
              <w:t>针茅-白莲蒿群落</w:t>
            </w:r>
          </w:p>
        </w:tc>
        <w:tc>
          <w:tcPr>
            <w:tcW w:w="1450" w:type="dxa"/>
            <w:noWrap w:val="0"/>
            <w:vAlign w:val="center"/>
          </w:tcPr>
          <w:p w14:paraId="41A9EDD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调查地点</w:t>
            </w:r>
          </w:p>
        </w:tc>
        <w:tc>
          <w:tcPr>
            <w:tcW w:w="2162" w:type="dxa"/>
            <w:gridSpan w:val="3"/>
            <w:noWrap w:val="0"/>
            <w:vAlign w:val="center"/>
          </w:tcPr>
          <w:p w14:paraId="66B44CE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彭阳县</w:t>
            </w:r>
          </w:p>
        </w:tc>
      </w:tr>
      <w:tr w14:paraId="4110D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72A18C0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42688C0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1450" w:type="dxa"/>
            <w:noWrap w:val="0"/>
            <w:vAlign w:val="center"/>
          </w:tcPr>
          <w:p w14:paraId="3C8A20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灌木层面积（m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62" w:type="dxa"/>
            <w:gridSpan w:val="3"/>
            <w:noWrap w:val="0"/>
            <w:vAlign w:val="center"/>
          </w:tcPr>
          <w:p w14:paraId="4FF04DC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387F3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0CFF066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草本层面积（m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3541" w:type="dxa"/>
            <w:gridSpan w:val="4"/>
            <w:noWrap w:val="0"/>
            <w:vAlign w:val="center"/>
          </w:tcPr>
          <w:p w14:paraId="7C9A4B3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1m×1m</w:t>
            </w:r>
          </w:p>
        </w:tc>
        <w:tc>
          <w:tcPr>
            <w:tcW w:w="1450" w:type="dxa"/>
            <w:noWrap w:val="0"/>
            <w:vAlign w:val="center"/>
          </w:tcPr>
          <w:p w14:paraId="4555364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乔本层闭郁度</w:t>
            </w:r>
          </w:p>
        </w:tc>
        <w:tc>
          <w:tcPr>
            <w:tcW w:w="2162" w:type="dxa"/>
            <w:gridSpan w:val="3"/>
            <w:noWrap w:val="0"/>
            <w:vAlign w:val="center"/>
          </w:tcPr>
          <w:p w14:paraId="68DD2D7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w:t>
            </w:r>
          </w:p>
        </w:tc>
      </w:tr>
      <w:tr w14:paraId="232DA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jc w:val="center"/>
        </w:trPr>
        <w:tc>
          <w:tcPr>
            <w:tcW w:w="1345" w:type="dxa"/>
            <w:noWrap w:val="0"/>
            <w:vAlign w:val="center"/>
          </w:tcPr>
          <w:p w14:paraId="2C496D8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垂直结构</w:t>
            </w:r>
          </w:p>
        </w:tc>
        <w:tc>
          <w:tcPr>
            <w:tcW w:w="1409" w:type="dxa"/>
            <w:noWrap w:val="0"/>
            <w:vAlign w:val="center"/>
          </w:tcPr>
          <w:p w14:paraId="32FC8B9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植物名称</w:t>
            </w:r>
          </w:p>
        </w:tc>
        <w:tc>
          <w:tcPr>
            <w:tcW w:w="1132" w:type="dxa"/>
            <w:noWrap w:val="0"/>
            <w:vAlign w:val="center"/>
          </w:tcPr>
          <w:p w14:paraId="769521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平均高度（m）</w:t>
            </w:r>
          </w:p>
        </w:tc>
        <w:tc>
          <w:tcPr>
            <w:tcW w:w="1000" w:type="dxa"/>
            <w:gridSpan w:val="2"/>
            <w:noWrap w:val="0"/>
            <w:vAlign w:val="center"/>
          </w:tcPr>
          <w:p w14:paraId="4332ED7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平均胸径（cm）</w:t>
            </w:r>
          </w:p>
        </w:tc>
        <w:tc>
          <w:tcPr>
            <w:tcW w:w="1450" w:type="dxa"/>
            <w:noWrap w:val="0"/>
            <w:vAlign w:val="center"/>
          </w:tcPr>
          <w:p w14:paraId="7DD889E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平均冠幅（m）</w:t>
            </w:r>
          </w:p>
        </w:tc>
        <w:tc>
          <w:tcPr>
            <w:tcW w:w="1129" w:type="dxa"/>
            <w:noWrap w:val="0"/>
            <w:vAlign w:val="center"/>
          </w:tcPr>
          <w:p w14:paraId="434A7B9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多度</w:t>
            </w:r>
          </w:p>
          <w:p w14:paraId="042AC88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（株/丛）</w:t>
            </w:r>
          </w:p>
        </w:tc>
        <w:tc>
          <w:tcPr>
            <w:tcW w:w="1033" w:type="dxa"/>
            <w:gridSpan w:val="2"/>
            <w:noWrap w:val="0"/>
            <w:vAlign w:val="center"/>
          </w:tcPr>
          <w:p w14:paraId="5407134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盖度（%）</w:t>
            </w:r>
          </w:p>
        </w:tc>
      </w:tr>
      <w:tr w14:paraId="3D6E4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76" w:hRule="atLeast"/>
          <w:jc w:val="center"/>
        </w:trPr>
        <w:tc>
          <w:tcPr>
            <w:tcW w:w="1345" w:type="dxa"/>
            <w:noWrap w:val="0"/>
            <w:vAlign w:val="center"/>
          </w:tcPr>
          <w:p w14:paraId="1C045E9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草本层</w:t>
            </w:r>
          </w:p>
        </w:tc>
        <w:tc>
          <w:tcPr>
            <w:tcW w:w="1409" w:type="dxa"/>
            <w:noWrap w:val="0"/>
            <w:vAlign w:val="center"/>
          </w:tcPr>
          <w:p w14:paraId="091A4C1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eastAsia="zh-CN"/>
              </w:rPr>
            </w:pPr>
            <w:r>
              <w:rPr>
                <w:rFonts w:hint="eastAsia" w:cs="Times New Roman"/>
                <w:color w:val="auto"/>
                <w:kern w:val="0"/>
                <w:szCs w:val="21"/>
                <w:highlight w:val="none"/>
                <w:lang w:eastAsia="zh-CN"/>
              </w:rPr>
              <w:t>针茅</w:t>
            </w:r>
          </w:p>
        </w:tc>
        <w:tc>
          <w:tcPr>
            <w:tcW w:w="1132" w:type="dxa"/>
            <w:noWrap w:val="0"/>
            <w:vAlign w:val="center"/>
          </w:tcPr>
          <w:p w14:paraId="0D39835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eastAsia="宋体" w:cs="Times New Roman"/>
                <w:color w:val="auto"/>
                <w:kern w:val="0"/>
                <w:szCs w:val="21"/>
                <w:highlight w:val="none"/>
                <w:lang w:val="en-US" w:eastAsia="zh-CN"/>
              </w:rPr>
              <w:t>0.5</w:t>
            </w:r>
          </w:p>
        </w:tc>
        <w:tc>
          <w:tcPr>
            <w:tcW w:w="1000" w:type="dxa"/>
            <w:gridSpan w:val="2"/>
            <w:noWrap w:val="0"/>
            <w:vAlign w:val="center"/>
          </w:tcPr>
          <w:p w14:paraId="1583170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450" w:type="dxa"/>
            <w:noWrap w:val="0"/>
            <w:vAlign w:val="center"/>
          </w:tcPr>
          <w:p w14:paraId="4FB2DD3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129" w:type="dxa"/>
            <w:noWrap w:val="0"/>
            <w:vAlign w:val="center"/>
          </w:tcPr>
          <w:p w14:paraId="4A0F463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eastAsia="宋体" w:cs="Times New Roman"/>
                <w:color w:val="auto"/>
                <w:kern w:val="0"/>
                <w:szCs w:val="21"/>
                <w:highlight w:val="none"/>
                <w:lang w:val="en-US" w:eastAsia="zh-CN"/>
              </w:rPr>
              <w:t>11</w:t>
            </w:r>
          </w:p>
        </w:tc>
        <w:tc>
          <w:tcPr>
            <w:tcW w:w="1033" w:type="dxa"/>
            <w:gridSpan w:val="2"/>
            <w:noWrap w:val="0"/>
            <w:vAlign w:val="center"/>
          </w:tcPr>
          <w:p w14:paraId="7062A74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r>
              <w:rPr>
                <w:rFonts w:hint="eastAsia" w:eastAsia="宋体" w:cs="Times New Roman"/>
                <w:color w:val="auto"/>
                <w:kern w:val="0"/>
                <w:szCs w:val="21"/>
                <w:highlight w:val="none"/>
                <w:lang w:val="en-US" w:eastAsia="zh-CN"/>
              </w:rPr>
              <w:t>10%</w:t>
            </w:r>
          </w:p>
        </w:tc>
      </w:tr>
      <w:tr w14:paraId="02086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04" w:hRule="atLeast"/>
          <w:jc w:val="center"/>
        </w:trPr>
        <w:tc>
          <w:tcPr>
            <w:tcW w:w="1345" w:type="dxa"/>
            <w:noWrap w:val="0"/>
            <w:vAlign w:val="center"/>
          </w:tcPr>
          <w:p w14:paraId="3555B2C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409" w:type="dxa"/>
            <w:shd w:val="clear" w:color="auto" w:fill="auto"/>
            <w:noWrap w:val="0"/>
            <w:vAlign w:val="center"/>
          </w:tcPr>
          <w:p w14:paraId="7BDFD7F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eastAsia="zh-CN"/>
              </w:rPr>
              <w:t>白莲蒿</w:t>
            </w:r>
          </w:p>
        </w:tc>
        <w:tc>
          <w:tcPr>
            <w:tcW w:w="1132" w:type="dxa"/>
            <w:shd w:val="clear" w:color="auto" w:fill="auto"/>
            <w:noWrap w:val="0"/>
            <w:vAlign w:val="center"/>
          </w:tcPr>
          <w:p w14:paraId="1DB350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0.35</w:t>
            </w:r>
          </w:p>
        </w:tc>
        <w:tc>
          <w:tcPr>
            <w:tcW w:w="1000" w:type="dxa"/>
            <w:gridSpan w:val="2"/>
            <w:shd w:val="clear" w:color="auto" w:fill="auto"/>
            <w:noWrap w:val="0"/>
            <w:vAlign w:val="center"/>
          </w:tcPr>
          <w:p w14:paraId="342094B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50" w:type="dxa"/>
            <w:shd w:val="clear" w:color="auto" w:fill="auto"/>
            <w:noWrap w:val="0"/>
            <w:vAlign w:val="center"/>
          </w:tcPr>
          <w:p w14:paraId="086354F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29" w:type="dxa"/>
            <w:shd w:val="clear" w:color="auto" w:fill="auto"/>
            <w:noWrap w:val="0"/>
            <w:vAlign w:val="center"/>
          </w:tcPr>
          <w:p w14:paraId="3FEC145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18</w:t>
            </w:r>
          </w:p>
        </w:tc>
        <w:tc>
          <w:tcPr>
            <w:tcW w:w="1033" w:type="dxa"/>
            <w:gridSpan w:val="2"/>
            <w:shd w:val="clear" w:color="auto" w:fill="auto"/>
            <w:noWrap w:val="0"/>
            <w:vAlign w:val="center"/>
          </w:tcPr>
          <w:p w14:paraId="68B1D40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20%</w:t>
            </w:r>
          </w:p>
        </w:tc>
      </w:tr>
      <w:tr w14:paraId="2245B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330" w:hRule="atLeast"/>
          <w:jc w:val="center"/>
        </w:trPr>
        <w:tc>
          <w:tcPr>
            <w:tcW w:w="1345" w:type="dxa"/>
            <w:noWrap w:val="0"/>
            <w:vAlign w:val="center"/>
          </w:tcPr>
          <w:p w14:paraId="450537A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shd w:val="clear" w:color="auto" w:fill="auto"/>
            <w:noWrap w:val="0"/>
            <w:vAlign w:val="center"/>
          </w:tcPr>
          <w:p w14:paraId="5D3EEA9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猪毛蒿</w:t>
            </w:r>
          </w:p>
        </w:tc>
        <w:tc>
          <w:tcPr>
            <w:tcW w:w="1132" w:type="dxa"/>
            <w:shd w:val="clear" w:color="auto" w:fill="auto"/>
            <w:noWrap w:val="0"/>
            <w:vAlign w:val="center"/>
          </w:tcPr>
          <w:p w14:paraId="46132F2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0.3</w:t>
            </w:r>
          </w:p>
        </w:tc>
        <w:tc>
          <w:tcPr>
            <w:tcW w:w="1000" w:type="dxa"/>
            <w:gridSpan w:val="2"/>
            <w:shd w:val="clear" w:color="auto" w:fill="auto"/>
            <w:noWrap w:val="0"/>
            <w:vAlign w:val="center"/>
          </w:tcPr>
          <w:p w14:paraId="3E8DA1E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50" w:type="dxa"/>
            <w:shd w:val="clear" w:color="auto" w:fill="auto"/>
            <w:noWrap w:val="0"/>
            <w:vAlign w:val="center"/>
          </w:tcPr>
          <w:p w14:paraId="78B96C9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29" w:type="dxa"/>
            <w:shd w:val="clear" w:color="auto" w:fill="auto"/>
            <w:noWrap w:val="0"/>
            <w:vAlign w:val="center"/>
          </w:tcPr>
          <w:p w14:paraId="2D9E3A5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3</w:t>
            </w:r>
          </w:p>
        </w:tc>
        <w:tc>
          <w:tcPr>
            <w:tcW w:w="1033" w:type="dxa"/>
            <w:gridSpan w:val="2"/>
            <w:shd w:val="clear" w:color="auto" w:fill="auto"/>
            <w:noWrap w:val="0"/>
            <w:vAlign w:val="center"/>
          </w:tcPr>
          <w:p w14:paraId="27A3D78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w:t>
            </w:r>
          </w:p>
        </w:tc>
      </w:tr>
      <w:tr w14:paraId="6709A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200" w:hRule="atLeast"/>
          <w:jc w:val="center"/>
        </w:trPr>
        <w:tc>
          <w:tcPr>
            <w:tcW w:w="1345" w:type="dxa"/>
            <w:noWrap w:val="0"/>
            <w:vAlign w:val="center"/>
          </w:tcPr>
          <w:p w14:paraId="188C519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shd w:val="clear" w:color="auto" w:fill="auto"/>
            <w:noWrap w:val="0"/>
            <w:vAlign w:val="center"/>
          </w:tcPr>
          <w:p w14:paraId="7EAD9F0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32" w:type="dxa"/>
            <w:shd w:val="clear" w:color="auto" w:fill="auto"/>
            <w:noWrap w:val="0"/>
            <w:vAlign w:val="center"/>
          </w:tcPr>
          <w:p w14:paraId="22F2143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000" w:type="dxa"/>
            <w:gridSpan w:val="2"/>
            <w:shd w:val="clear" w:color="auto" w:fill="auto"/>
            <w:noWrap w:val="0"/>
            <w:vAlign w:val="center"/>
          </w:tcPr>
          <w:p w14:paraId="311930C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50" w:type="dxa"/>
            <w:shd w:val="clear" w:color="auto" w:fill="auto"/>
            <w:noWrap w:val="0"/>
            <w:vAlign w:val="center"/>
          </w:tcPr>
          <w:p w14:paraId="23E1AE0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29" w:type="dxa"/>
            <w:shd w:val="clear" w:color="auto" w:fill="auto"/>
            <w:noWrap w:val="0"/>
            <w:vAlign w:val="center"/>
          </w:tcPr>
          <w:p w14:paraId="2F63BAD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033" w:type="dxa"/>
            <w:gridSpan w:val="2"/>
            <w:shd w:val="clear" w:color="auto" w:fill="auto"/>
            <w:noWrap w:val="0"/>
            <w:vAlign w:val="center"/>
          </w:tcPr>
          <w:p w14:paraId="2D1CE64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6212A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9" w:type="dxa"/>
            <w:bottom w:w="0" w:type="dxa"/>
            <w:right w:w="29" w:type="dxa"/>
          </w:tblCellMar>
        </w:tblPrEx>
        <w:trPr>
          <w:gridBefore w:val="1"/>
          <w:wBefore w:w="79" w:type="dxa"/>
          <w:trHeight w:val="90" w:hRule="atLeast"/>
          <w:jc w:val="center"/>
        </w:trPr>
        <w:tc>
          <w:tcPr>
            <w:tcW w:w="1345" w:type="dxa"/>
            <w:noWrap w:val="0"/>
            <w:vAlign w:val="center"/>
          </w:tcPr>
          <w:p w14:paraId="608B886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09" w:type="dxa"/>
            <w:noWrap w:val="0"/>
            <w:vAlign w:val="center"/>
          </w:tcPr>
          <w:p w14:paraId="47A92A6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eastAsia="zh-CN"/>
              </w:rPr>
            </w:pPr>
          </w:p>
        </w:tc>
        <w:tc>
          <w:tcPr>
            <w:tcW w:w="1132" w:type="dxa"/>
            <w:noWrap w:val="0"/>
            <w:vAlign w:val="center"/>
          </w:tcPr>
          <w:p w14:paraId="411D766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c>
          <w:tcPr>
            <w:tcW w:w="1000" w:type="dxa"/>
            <w:gridSpan w:val="2"/>
            <w:noWrap w:val="0"/>
            <w:vAlign w:val="center"/>
          </w:tcPr>
          <w:p w14:paraId="248C85A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450" w:type="dxa"/>
            <w:noWrap w:val="0"/>
            <w:vAlign w:val="center"/>
          </w:tcPr>
          <w:p w14:paraId="4849D2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rPr>
            </w:pPr>
          </w:p>
        </w:tc>
        <w:tc>
          <w:tcPr>
            <w:tcW w:w="1129" w:type="dxa"/>
            <w:noWrap w:val="0"/>
            <w:vAlign w:val="center"/>
          </w:tcPr>
          <w:p w14:paraId="1DCEE9A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Cs w:val="21"/>
                <w:highlight w:val="none"/>
                <w:lang w:val="en-US"/>
              </w:rPr>
            </w:pPr>
          </w:p>
        </w:tc>
        <w:tc>
          <w:tcPr>
            <w:tcW w:w="1033" w:type="dxa"/>
            <w:gridSpan w:val="2"/>
            <w:noWrap w:val="0"/>
            <w:vAlign w:val="center"/>
          </w:tcPr>
          <w:p w14:paraId="0F25BA7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Cs w:val="21"/>
                <w:highlight w:val="none"/>
                <w:lang w:val="en-US" w:eastAsia="zh-CN"/>
              </w:rPr>
            </w:pPr>
          </w:p>
        </w:tc>
      </w:tr>
      <w:tr w14:paraId="3DCEB678">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jc w:val="center"/>
        </w:trPr>
        <w:tc>
          <w:tcPr>
            <w:tcW w:w="4261" w:type="dxa"/>
            <w:gridSpan w:val="5"/>
            <w:noWrap w:val="0"/>
            <w:vAlign w:val="top"/>
          </w:tcPr>
          <w:p w14:paraId="66CB01CD">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540000" cy="2119630"/>
                  <wp:effectExtent l="0" t="0" r="12700" b="13970"/>
                  <wp:docPr id="1" name="图片 1" descr="IMG_20250924_10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924_104641"/>
                          <pic:cNvPicPr>
                            <a:picLocks noChangeAspect="1"/>
                          </pic:cNvPicPr>
                        </pic:nvPicPr>
                        <pic:blipFill>
                          <a:blip r:embed="rId56"/>
                          <a:stretch>
                            <a:fillRect/>
                          </a:stretch>
                        </pic:blipFill>
                        <pic:spPr>
                          <a:xfrm>
                            <a:off x="0" y="0"/>
                            <a:ext cx="2540000" cy="2119630"/>
                          </a:xfrm>
                          <a:prstGeom prst="rect">
                            <a:avLst/>
                          </a:prstGeom>
                        </pic:spPr>
                      </pic:pic>
                    </a:graphicData>
                  </a:graphic>
                </wp:inline>
              </w:drawing>
            </w:r>
          </w:p>
        </w:tc>
        <w:tc>
          <w:tcPr>
            <w:tcW w:w="4261" w:type="dxa"/>
            <w:gridSpan w:val="4"/>
            <w:noWrap w:val="0"/>
            <w:vAlign w:val="top"/>
          </w:tcPr>
          <w:p w14:paraId="72FAC4E8">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540000" cy="2142490"/>
                  <wp:effectExtent l="0" t="0" r="12700" b="10160"/>
                  <wp:docPr id="2" name="图片 2" descr="IMG_20250924_10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924_104658"/>
                          <pic:cNvPicPr>
                            <a:picLocks noChangeAspect="1"/>
                          </pic:cNvPicPr>
                        </pic:nvPicPr>
                        <pic:blipFill>
                          <a:blip r:embed="rId57"/>
                          <a:stretch>
                            <a:fillRect/>
                          </a:stretch>
                        </pic:blipFill>
                        <pic:spPr>
                          <a:xfrm>
                            <a:off x="0" y="0"/>
                            <a:ext cx="2540000" cy="2142490"/>
                          </a:xfrm>
                          <a:prstGeom prst="rect">
                            <a:avLst/>
                          </a:prstGeom>
                        </pic:spPr>
                      </pic:pic>
                    </a:graphicData>
                  </a:graphic>
                </wp:inline>
              </w:drawing>
            </w:r>
          </w:p>
        </w:tc>
      </w:tr>
      <w:tr w14:paraId="0CB16DBC">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trHeight w:val="340" w:hRule="atLeast"/>
          <w:jc w:val="center"/>
        </w:trPr>
        <w:tc>
          <w:tcPr>
            <w:tcW w:w="4261" w:type="dxa"/>
            <w:gridSpan w:val="5"/>
            <w:noWrap w:val="0"/>
            <w:vAlign w:val="center"/>
          </w:tcPr>
          <w:p w14:paraId="198D1167">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样方 1</w:t>
            </w:r>
            <w:r>
              <w:rPr>
                <w:rFonts w:hint="eastAsia" w:cs="Times New Roman"/>
                <w:color w:val="auto"/>
                <w:sz w:val="24"/>
                <w:szCs w:val="24"/>
                <w:highlight w:val="none"/>
                <w:vertAlign w:val="superscript"/>
                <w:lang w:eastAsia="zh-CN"/>
              </w:rPr>
              <w:t>#</w:t>
            </w:r>
          </w:p>
        </w:tc>
        <w:tc>
          <w:tcPr>
            <w:tcW w:w="4261" w:type="dxa"/>
            <w:gridSpan w:val="4"/>
            <w:noWrap w:val="0"/>
            <w:vAlign w:val="center"/>
          </w:tcPr>
          <w:p w14:paraId="6C7E0330">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样方 2</w:t>
            </w:r>
            <w:r>
              <w:rPr>
                <w:rFonts w:hint="eastAsia" w:cs="Times New Roman"/>
                <w:color w:val="auto"/>
                <w:sz w:val="24"/>
                <w:szCs w:val="24"/>
                <w:highlight w:val="none"/>
                <w:vertAlign w:val="superscript"/>
                <w:lang w:eastAsia="zh-CN"/>
              </w:rPr>
              <w:t>#</w:t>
            </w:r>
          </w:p>
        </w:tc>
      </w:tr>
      <w:tr w14:paraId="6190E8D8">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jc w:val="center"/>
        </w:trPr>
        <w:tc>
          <w:tcPr>
            <w:tcW w:w="4261" w:type="dxa"/>
            <w:gridSpan w:val="5"/>
            <w:noWrap w:val="0"/>
            <w:vAlign w:val="center"/>
          </w:tcPr>
          <w:p w14:paraId="7C48DF33">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540000" cy="2177415"/>
                  <wp:effectExtent l="0" t="0" r="12700" b="13335"/>
                  <wp:docPr id="13" name="图片 13" descr="IMG_20250924_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924_115639"/>
                          <pic:cNvPicPr>
                            <a:picLocks noChangeAspect="1"/>
                          </pic:cNvPicPr>
                        </pic:nvPicPr>
                        <pic:blipFill>
                          <a:blip r:embed="rId58"/>
                          <a:stretch>
                            <a:fillRect/>
                          </a:stretch>
                        </pic:blipFill>
                        <pic:spPr>
                          <a:xfrm>
                            <a:off x="0" y="0"/>
                            <a:ext cx="2540000" cy="2177415"/>
                          </a:xfrm>
                          <a:prstGeom prst="rect">
                            <a:avLst/>
                          </a:prstGeom>
                        </pic:spPr>
                      </pic:pic>
                    </a:graphicData>
                  </a:graphic>
                </wp:inline>
              </w:drawing>
            </w:r>
          </w:p>
        </w:tc>
        <w:tc>
          <w:tcPr>
            <w:tcW w:w="4261" w:type="dxa"/>
            <w:gridSpan w:val="4"/>
            <w:noWrap w:val="0"/>
            <w:vAlign w:val="center"/>
          </w:tcPr>
          <w:p w14:paraId="7217F468">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536190" cy="2238375"/>
                  <wp:effectExtent l="0" t="0" r="16510" b="9525"/>
                  <wp:docPr id="18" name="图片 18" descr="ee9af9ac27b11e92578739e51ccd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e9af9ac27b11e92578739e51ccde230"/>
                          <pic:cNvPicPr>
                            <a:picLocks noChangeAspect="1"/>
                          </pic:cNvPicPr>
                        </pic:nvPicPr>
                        <pic:blipFill>
                          <a:blip r:embed="rId59"/>
                          <a:stretch>
                            <a:fillRect/>
                          </a:stretch>
                        </pic:blipFill>
                        <pic:spPr>
                          <a:xfrm>
                            <a:off x="0" y="0"/>
                            <a:ext cx="2536190" cy="2238375"/>
                          </a:xfrm>
                          <a:prstGeom prst="rect">
                            <a:avLst/>
                          </a:prstGeom>
                        </pic:spPr>
                      </pic:pic>
                    </a:graphicData>
                  </a:graphic>
                </wp:inline>
              </w:drawing>
            </w:r>
          </w:p>
        </w:tc>
      </w:tr>
      <w:tr w14:paraId="3AD79DF4">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jc w:val="center"/>
        </w:trPr>
        <w:tc>
          <w:tcPr>
            <w:tcW w:w="4261" w:type="dxa"/>
            <w:gridSpan w:val="5"/>
            <w:noWrap w:val="0"/>
            <w:vAlign w:val="center"/>
          </w:tcPr>
          <w:p w14:paraId="70A0AA38">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样方 3</w:t>
            </w:r>
            <w:r>
              <w:rPr>
                <w:rFonts w:hint="eastAsia" w:cs="Times New Roman"/>
                <w:color w:val="auto"/>
                <w:sz w:val="24"/>
                <w:szCs w:val="24"/>
                <w:highlight w:val="none"/>
                <w:vertAlign w:val="superscript"/>
                <w:lang w:eastAsia="zh-CN"/>
              </w:rPr>
              <w:t>#</w:t>
            </w:r>
          </w:p>
        </w:tc>
        <w:tc>
          <w:tcPr>
            <w:tcW w:w="4261" w:type="dxa"/>
            <w:gridSpan w:val="4"/>
            <w:noWrap w:val="0"/>
            <w:vAlign w:val="center"/>
          </w:tcPr>
          <w:p w14:paraId="1690696C">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样方 4</w:t>
            </w:r>
            <w:r>
              <w:rPr>
                <w:rFonts w:hint="eastAsia" w:cs="Times New Roman"/>
                <w:color w:val="auto"/>
                <w:sz w:val="24"/>
                <w:szCs w:val="24"/>
                <w:highlight w:val="none"/>
                <w:vertAlign w:val="superscript"/>
                <w:lang w:eastAsia="zh-CN"/>
              </w:rPr>
              <w:t>#</w:t>
            </w:r>
          </w:p>
        </w:tc>
      </w:tr>
      <w:tr w14:paraId="0418EF4C">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jc w:val="center"/>
        </w:trPr>
        <w:tc>
          <w:tcPr>
            <w:tcW w:w="4261" w:type="dxa"/>
            <w:gridSpan w:val="5"/>
            <w:noWrap w:val="0"/>
            <w:vAlign w:val="center"/>
          </w:tcPr>
          <w:p w14:paraId="2A439908">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536190" cy="2465070"/>
                  <wp:effectExtent l="0" t="0" r="16510" b="11430"/>
                  <wp:docPr id="24" name="图片 24" descr="3213d4861bb39a8ac332c665824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213d4861bb39a8ac332c66582442055"/>
                          <pic:cNvPicPr>
                            <a:picLocks noChangeAspect="1"/>
                          </pic:cNvPicPr>
                        </pic:nvPicPr>
                        <pic:blipFill>
                          <a:blip r:embed="rId60"/>
                          <a:stretch>
                            <a:fillRect/>
                          </a:stretch>
                        </pic:blipFill>
                        <pic:spPr>
                          <a:xfrm>
                            <a:off x="0" y="0"/>
                            <a:ext cx="2536190" cy="2465070"/>
                          </a:xfrm>
                          <a:prstGeom prst="rect">
                            <a:avLst/>
                          </a:prstGeom>
                        </pic:spPr>
                      </pic:pic>
                    </a:graphicData>
                  </a:graphic>
                </wp:inline>
              </w:drawing>
            </w:r>
          </w:p>
        </w:tc>
        <w:tc>
          <w:tcPr>
            <w:tcW w:w="4261" w:type="dxa"/>
            <w:gridSpan w:val="4"/>
            <w:noWrap w:val="0"/>
            <w:vAlign w:val="center"/>
          </w:tcPr>
          <w:p w14:paraId="2ECE4A5B">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drawing>
                <wp:inline distT="0" distB="0" distL="114300" distR="114300">
                  <wp:extent cx="2589530" cy="2428240"/>
                  <wp:effectExtent l="0" t="0" r="1270" b="10160"/>
                  <wp:docPr id="25" name="图片 25" descr="IMG_20250924_10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924_105223"/>
                          <pic:cNvPicPr>
                            <a:picLocks noChangeAspect="1"/>
                          </pic:cNvPicPr>
                        </pic:nvPicPr>
                        <pic:blipFill>
                          <a:blip r:embed="rId61"/>
                          <a:stretch>
                            <a:fillRect/>
                          </a:stretch>
                        </pic:blipFill>
                        <pic:spPr>
                          <a:xfrm>
                            <a:off x="0" y="0"/>
                            <a:ext cx="2589530" cy="2428240"/>
                          </a:xfrm>
                          <a:prstGeom prst="rect">
                            <a:avLst/>
                          </a:prstGeom>
                        </pic:spPr>
                      </pic:pic>
                    </a:graphicData>
                  </a:graphic>
                </wp:inline>
              </w:drawing>
            </w:r>
          </w:p>
        </w:tc>
      </w:tr>
      <w:tr w14:paraId="0BA62529">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trHeight w:val="340" w:hRule="atLeast"/>
          <w:jc w:val="center"/>
        </w:trPr>
        <w:tc>
          <w:tcPr>
            <w:tcW w:w="4261" w:type="dxa"/>
            <w:gridSpan w:val="5"/>
            <w:noWrap w:val="0"/>
            <w:vAlign w:val="center"/>
          </w:tcPr>
          <w:p w14:paraId="3036EC60">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样方 5</w:t>
            </w:r>
            <w:r>
              <w:rPr>
                <w:rFonts w:hint="eastAsia" w:cs="Times New Roman"/>
                <w:color w:val="auto"/>
                <w:sz w:val="24"/>
                <w:szCs w:val="24"/>
                <w:highlight w:val="none"/>
                <w:vertAlign w:val="superscript"/>
                <w:lang w:eastAsia="zh-CN"/>
              </w:rPr>
              <w:t>#</w:t>
            </w:r>
          </w:p>
        </w:tc>
        <w:tc>
          <w:tcPr>
            <w:tcW w:w="4261" w:type="dxa"/>
            <w:gridSpan w:val="4"/>
            <w:noWrap w:val="0"/>
            <w:vAlign w:val="center"/>
          </w:tcPr>
          <w:p w14:paraId="29B62BFD">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样方 6</w:t>
            </w:r>
            <w:r>
              <w:rPr>
                <w:rFonts w:hint="eastAsia" w:cs="Times New Roman"/>
                <w:color w:val="auto"/>
                <w:sz w:val="24"/>
                <w:szCs w:val="24"/>
                <w:highlight w:val="none"/>
                <w:vertAlign w:val="superscript"/>
                <w:lang w:eastAsia="zh-CN"/>
              </w:rPr>
              <w:t>#</w:t>
            </w:r>
          </w:p>
        </w:tc>
      </w:tr>
      <w:tr w14:paraId="099EE98F">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trHeight w:val="340" w:hRule="atLeast"/>
          <w:jc w:val="center"/>
        </w:trPr>
        <w:tc>
          <w:tcPr>
            <w:tcW w:w="4261" w:type="dxa"/>
            <w:gridSpan w:val="5"/>
            <w:noWrap w:val="0"/>
            <w:vAlign w:val="center"/>
          </w:tcPr>
          <w:p w14:paraId="3AB6BE3B">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drawing>
                <wp:inline distT="0" distB="0" distL="114300" distR="114300">
                  <wp:extent cx="2540000" cy="1905000"/>
                  <wp:effectExtent l="0" t="0" r="12700" b="0"/>
                  <wp:docPr id="14" name="图片 14" descr="IMG_20250924_10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924_105136"/>
                          <pic:cNvPicPr>
                            <a:picLocks noChangeAspect="1"/>
                          </pic:cNvPicPr>
                        </pic:nvPicPr>
                        <pic:blipFill>
                          <a:blip r:embed="rId62"/>
                          <a:stretch>
                            <a:fillRect/>
                          </a:stretch>
                        </pic:blipFill>
                        <pic:spPr>
                          <a:xfrm>
                            <a:off x="0" y="0"/>
                            <a:ext cx="2540000" cy="1905000"/>
                          </a:xfrm>
                          <a:prstGeom prst="rect">
                            <a:avLst/>
                          </a:prstGeom>
                        </pic:spPr>
                      </pic:pic>
                    </a:graphicData>
                  </a:graphic>
                </wp:inline>
              </w:drawing>
            </w:r>
          </w:p>
        </w:tc>
        <w:tc>
          <w:tcPr>
            <w:tcW w:w="4261" w:type="dxa"/>
            <w:gridSpan w:val="4"/>
            <w:noWrap w:val="0"/>
            <w:vAlign w:val="center"/>
          </w:tcPr>
          <w:p w14:paraId="50B9D0A6">
            <w:pPr>
              <w:pStyle w:val="13"/>
              <w:keepNext w:val="0"/>
              <w:keepLines w:val="0"/>
              <w:suppressLineNumbers w:val="0"/>
              <w:adjustRightInd w:val="0"/>
              <w:snapToGrid w:val="0"/>
              <w:spacing w:before="0" w:beforeAutospacing="0" w:after="0" w:afterAutospacing="0" w:line="240" w:lineRule="auto"/>
              <w:ind w:left="0" w:leftChars="0" w:right="0" w:firstLine="0" w:firstLineChars="0"/>
              <w:jc w:val="center"/>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drawing>
                <wp:inline distT="0" distB="0" distL="114300" distR="114300">
                  <wp:extent cx="2540000" cy="1905000"/>
                  <wp:effectExtent l="0" t="0" r="12700" b="0"/>
                  <wp:docPr id="15" name="图片 15" descr="IMG_20250924_10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924_105143"/>
                          <pic:cNvPicPr>
                            <a:picLocks noChangeAspect="1"/>
                          </pic:cNvPicPr>
                        </pic:nvPicPr>
                        <pic:blipFill>
                          <a:blip r:embed="rId63"/>
                          <a:stretch>
                            <a:fillRect/>
                          </a:stretch>
                        </pic:blipFill>
                        <pic:spPr>
                          <a:xfrm>
                            <a:off x="0" y="0"/>
                            <a:ext cx="2540000" cy="1905000"/>
                          </a:xfrm>
                          <a:prstGeom prst="rect">
                            <a:avLst/>
                          </a:prstGeom>
                        </pic:spPr>
                      </pic:pic>
                    </a:graphicData>
                  </a:graphic>
                </wp:inline>
              </w:drawing>
            </w:r>
          </w:p>
        </w:tc>
      </w:tr>
      <w:tr w14:paraId="4FB9690C">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trHeight w:val="340" w:hRule="atLeast"/>
          <w:jc w:val="center"/>
        </w:trPr>
        <w:tc>
          <w:tcPr>
            <w:tcW w:w="4261" w:type="dxa"/>
            <w:gridSpan w:val="5"/>
            <w:shd w:val="clear" w:color="auto" w:fill="auto"/>
            <w:noWrap w:val="0"/>
            <w:vAlign w:val="center"/>
          </w:tcPr>
          <w:p w14:paraId="7BD6DECA">
            <w:pPr>
              <w:pStyle w:val="13"/>
              <w:keepNext w:val="0"/>
              <w:keepLines w:val="0"/>
              <w:suppressLineNumbers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 xml:space="preserve">样方 </w:t>
            </w:r>
            <w:r>
              <w:rPr>
                <w:rFonts w:hint="eastAsia" w:cs="Times New Roman"/>
                <w:color w:val="auto"/>
                <w:sz w:val="24"/>
                <w:szCs w:val="24"/>
                <w:highlight w:val="none"/>
                <w:lang w:val="en-US" w:eastAsia="zh-CN"/>
              </w:rPr>
              <w:t>7</w:t>
            </w:r>
            <w:r>
              <w:rPr>
                <w:rFonts w:hint="eastAsia" w:cs="Times New Roman"/>
                <w:color w:val="auto"/>
                <w:sz w:val="24"/>
                <w:szCs w:val="24"/>
                <w:highlight w:val="none"/>
                <w:vertAlign w:val="superscript"/>
                <w:lang w:eastAsia="zh-CN"/>
              </w:rPr>
              <w:t>#</w:t>
            </w:r>
          </w:p>
        </w:tc>
        <w:tc>
          <w:tcPr>
            <w:tcW w:w="4261" w:type="dxa"/>
            <w:gridSpan w:val="4"/>
            <w:shd w:val="clear" w:color="auto" w:fill="auto"/>
            <w:noWrap w:val="0"/>
            <w:vAlign w:val="center"/>
          </w:tcPr>
          <w:p w14:paraId="70316C21">
            <w:pPr>
              <w:pStyle w:val="13"/>
              <w:keepNext w:val="0"/>
              <w:keepLines w:val="0"/>
              <w:suppressLineNumbers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 xml:space="preserve">样方 </w:t>
            </w:r>
            <w:r>
              <w:rPr>
                <w:rFonts w:hint="eastAsia" w:cs="Times New Roman"/>
                <w:color w:val="auto"/>
                <w:sz w:val="24"/>
                <w:szCs w:val="24"/>
                <w:highlight w:val="none"/>
                <w:lang w:val="en-US" w:eastAsia="zh-CN"/>
              </w:rPr>
              <w:t>8</w:t>
            </w:r>
            <w:r>
              <w:rPr>
                <w:rFonts w:hint="eastAsia" w:cs="Times New Roman"/>
                <w:color w:val="auto"/>
                <w:sz w:val="24"/>
                <w:szCs w:val="24"/>
                <w:highlight w:val="none"/>
                <w:vertAlign w:val="superscript"/>
                <w:lang w:eastAsia="zh-CN"/>
              </w:rPr>
              <w:t>#</w:t>
            </w:r>
          </w:p>
        </w:tc>
      </w:tr>
      <w:tr w14:paraId="2F583246">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trHeight w:val="340" w:hRule="atLeast"/>
          <w:jc w:val="center"/>
        </w:trPr>
        <w:tc>
          <w:tcPr>
            <w:tcW w:w="4261" w:type="dxa"/>
            <w:gridSpan w:val="5"/>
            <w:shd w:val="clear" w:color="auto" w:fill="auto"/>
            <w:noWrap w:val="0"/>
            <w:vAlign w:val="center"/>
          </w:tcPr>
          <w:p w14:paraId="468BDE2D">
            <w:pPr>
              <w:pStyle w:val="13"/>
              <w:keepNext w:val="0"/>
              <w:keepLines w:val="0"/>
              <w:suppressLineNumbers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2536190" cy="1746885"/>
                  <wp:effectExtent l="0" t="0" r="16510" b="5715"/>
                  <wp:docPr id="17" name="图片 17" descr="465fc218073a1fa34f270c70b2e3e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65fc218073a1fa34f270c70b2e3e4dc"/>
                          <pic:cNvPicPr>
                            <a:picLocks noChangeAspect="1"/>
                          </pic:cNvPicPr>
                        </pic:nvPicPr>
                        <pic:blipFill>
                          <a:blip r:embed="rId64"/>
                          <a:srcRect t="16770" b="9052"/>
                          <a:stretch>
                            <a:fillRect/>
                          </a:stretch>
                        </pic:blipFill>
                        <pic:spPr>
                          <a:xfrm>
                            <a:off x="0" y="0"/>
                            <a:ext cx="2536190" cy="1746885"/>
                          </a:xfrm>
                          <a:prstGeom prst="rect">
                            <a:avLst/>
                          </a:prstGeom>
                        </pic:spPr>
                      </pic:pic>
                    </a:graphicData>
                  </a:graphic>
                </wp:inline>
              </w:drawing>
            </w:r>
          </w:p>
        </w:tc>
        <w:tc>
          <w:tcPr>
            <w:tcW w:w="4261" w:type="dxa"/>
            <w:gridSpan w:val="4"/>
            <w:shd w:val="clear" w:color="auto" w:fill="auto"/>
            <w:noWrap w:val="0"/>
            <w:vAlign w:val="center"/>
          </w:tcPr>
          <w:p w14:paraId="73DAFCE9">
            <w:pPr>
              <w:pStyle w:val="13"/>
              <w:keepNext w:val="0"/>
              <w:keepLines w:val="0"/>
              <w:suppressLineNumbers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highlight w:val="none"/>
                <w:lang w:val="en-US" w:eastAsia="zh-CN" w:bidi="ar-SA"/>
              </w:rPr>
            </w:pPr>
          </w:p>
        </w:tc>
      </w:tr>
      <w:tr w14:paraId="07ED4BFE">
        <w:tblPrEx>
          <w:tblBorders>
            <w:top w:val="single" w:color="auto" w:sz="12" w:space="0"/>
            <w:left w:val="single" w:color="000000" w:sz="12" w:space="0"/>
            <w:bottom w:val="single" w:color="auto" w:sz="12" w:space="0"/>
            <w:right w:val="single" w:color="000000" w:sz="12" w:space="0"/>
            <w:insideH w:val="none" w:color="auto" w:sz="0" w:space="0"/>
            <w:insideV w:val="single" w:color="auto" w:sz="12" w:space="0"/>
          </w:tblBorders>
          <w:tblCellMar>
            <w:top w:w="0" w:type="dxa"/>
            <w:left w:w="108" w:type="dxa"/>
            <w:bottom w:w="0" w:type="dxa"/>
            <w:right w:w="108" w:type="dxa"/>
          </w:tblCellMar>
        </w:tblPrEx>
        <w:trPr>
          <w:gridAfter w:val="1"/>
          <w:wAfter w:w="55" w:type="dxa"/>
          <w:trHeight w:val="340" w:hRule="atLeast"/>
          <w:jc w:val="center"/>
        </w:trPr>
        <w:tc>
          <w:tcPr>
            <w:tcW w:w="4261" w:type="dxa"/>
            <w:gridSpan w:val="5"/>
            <w:shd w:val="clear" w:color="auto" w:fill="auto"/>
            <w:noWrap w:val="0"/>
            <w:vAlign w:val="center"/>
          </w:tcPr>
          <w:p w14:paraId="1DC99CDA">
            <w:pPr>
              <w:pStyle w:val="13"/>
              <w:keepNext w:val="0"/>
              <w:keepLines w:val="0"/>
              <w:suppressLineNumbers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 xml:space="preserve">样方 </w:t>
            </w:r>
            <w:r>
              <w:rPr>
                <w:rFonts w:hint="eastAsia" w:cs="Times New Roman"/>
                <w:color w:val="auto"/>
                <w:sz w:val="24"/>
                <w:szCs w:val="24"/>
                <w:highlight w:val="none"/>
                <w:lang w:val="en-US" w:eastAsia="zh-CN"/>
              </w:rPr>
              <w:t>9</w:t>
            </w:r>
            <w:r>
              <w:rPr>
                <w:rFonts w:hint="eastAsia" w:cs="Times New Roman"/>
                <w:color w:val="auto"/>
                <w:sz w:val="24"/>
                <w:szCs w:val="24"/>
                <w:highlight w:val="none"/>
                <w:vertAlign w:val="superscript"/>
                <w:lang w:eastAsia="zh-CN"/>
              </w:rPr>
              <w:t>#</w:t>
            </w:r>
          </w:p>
        </w:tc>
        <w:tc>
          <w:tcPr>
            <w:tcW w:w="4261" w:type="dxa"/>
            <w:gridSpan w:val="4"/>
            <w:shd w:val="clear" w:color="auto" w:fill="auto"/>
            <w:noWrap w:val="0"/>
            <w:vAlign w:val="center"/>
          </w:tcPr>
          <w:p w14:paraId="1FE1A583">
            <w:pPr>
              <w:pStyle w:val="13"/>
              <w:keepNext w:val="0"/>
              <w:keepLines w:val="0"/>
              <w:suppressLineNumbers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4"/>
                <w:szCs w:val="24"/>
                <w:highlight w:val="none"/>
                <w:lang w:val="en-US" w:eastAsia="zh-CN" w:bidi="ar-SA"/>
              </w:rPr>
            </w:pPr>
          </w:p>
        </w:tc>
      </w:tr>
    </w:tbl>
    <w:p w14:paraId="33650812">
      <w:pPr>
        <w:pStyle w:val="13"/>
        <w:jc w:val="center"/>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图5.6-1 样方调查现场照片</w:t>
      </w:r>
    </w:p>
    <w:p w14:paraId="30A2A730">
      <w:pPr>
        <w:pStyle w:val="13"/>
        <w:keepNext w:val="0"/>
        <w:keepLines w:val="0"/>
        <w:pageBreakBefore w:val="0"/>
        <w:widowControl w:val="0"/>
        <w:kinsoku/>
        <w:wordWrap/>
        <w:overflowPunct/>
        <w:topLinePunct w:val="0"/>
        <w:autoSpaceDE/>
        <w:autoSpaceDN/>
        <w:bidi w:val="0"/>
        <w:adjustRightInd w:val="0"/>
        <w:snapToGrid w:val="0"/>
        <w:spacing w:after="0"/>
        <w:ind w:left="0" w:firstLine="0" w:firstLineChars="0"/>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陆生动物调查方法</w:t>
      </w:r>
    </w:p>
    <w:p w14:paraId="2819926F">
      <w:pPr>
        <w:jc w:val="both"/>
        <w:outlineLvl w:val="9"/>
        <w:rPr>
          <w:rFonts w:hint="default"/>
          <w:color w:val="auto"/>
          <w:highlight w:val="none"/>
          <w:lang w:val="en-US" w:eastAsia="zh-CN"/>
        </w:rPr>
      </w:pPr>
      <w:r>
        <w:rPr>
          <w:rFonts w:hint="default"/>
          <w:color w:val="auto"/>
          <w:highlight w:val="none"/>
          <w:lang w:val="en-US" w:eastAsia="zh-CN"/>
        </w:rPr>
        <w:t>首先广泛查阅相关文献，收集调查区域已做相关项目陆生动物资料，对调查区域的动物资源进行大致了解。根据两栖类、爬行类、鸟类和哺乳类分布的特点以及调查地点的环境特征，确定调查方法及路线。</w:t>
      </w:r>
    </w:p>
    <w:p w14:paraId="5952340D">
      <w:pPr>
        <w:jc w:val="both"/>
        <w:outlineLvl w:val="9"/>
        <w:rPr>
          <w:rFonts w:hint="default"/>
          <w:color w:val="auto"/>
          <w:highlight w:val="none"/>
          <w:lang w:val="en-US" w:eastAsia="zh-CN"/>
        </w:rPr>
      </w:pPr>
      <w:r>
        <w:rPr>
          <w:rFonts w:hint="default"/>
          <w:color w:val="auto"/>
          <w:highlight w:val="none"/>
          <w:lang w:val="en-US" w:eastAsia="zh-CN"/>
        </w:rPr>
        <w:t>参照《生物多样性观测技术导则陆生哺乳动物》（HJ710.3-2014）、《生物多样性观测技术导则鸟类》（HJ710.4-2014）、《生物多样性观测技术导则爬行动物》（HJ710.5-2014）、《生物多样性观测技术导则两栖动物》（HJ710.6-2014）、《全国动物物种资源调查技术规定（试行）》等陆生动物调查方法主要采用样线、样点、样方法对评价范围陆生动物进行调查。本次调查主要采用样线法。</w:t>
      </w:r>
    </w:p>
    <w:p w14:paraId="439BC535">
      <w:pPr>
        <w:jc w:val="both"/>
        <w:outlineLvl w:val="9"/>
        <w:rPr>
          <w:rFonts w:hint="default"/>
          <w:color w:val="auto"/>
          <w:highlight w:val="none"/>
          <w:lang w:val="en-US" w:eastAsia="zh-CN"/>
        </w:rPr>
      </w:pPr>
      <w:r>
        <w:rPr>
          <w:rFonts w:hint="default"/>
          <w:color w:val="auto"/>
          <w:highlight w:val="none"/>
          <w:lang w:val="en-US" w:eastAsia="zh-CN"/>
        </w:rPr>
        <w:t>①两栖类与爬行类样线法调查：调查方法以样线法为主，具体操作为：3人一组，样线左右两侧各1人负责观察寻找，剩余1人负责记录，调查人员沿选定的路线匀速前进，一般行进速度为2km/h。在实地调查过程中，仔细搜寻样线两侧的两栖动物和爬行动物，并对物种进行定位，详细记录动物发现位点的地理坐标、海拔、生境及航迹等信息，对物种实体及其生境进行拍照。尽量不采集标本，对当场不能辨认的物种，采集1</w:t>
      </w:r>
      <w:r>
        <w:rPr>
          <w:rFonts w:hint="eastAsia"/>
          <w:color w:val="auto"/>
          <w:highlight w:val="none"/>
          <w:lang w:val="en-US" w:eastAsia="zh-CN"/>
        </w:rPr>
        <w:t>～</w:t>
      </w:r>
      <w:r>
        <w:rPr>
          <w:rFonts w:hint="default"/>
          <w:color w:val="auto"/>
          <w:highlight w:val="none"/>
          <w:lang w:val="en-US" w:eastAsia="zh-CN"/>
        </w:rPr>
        <w:t>2只带回住所进行鉴定，并于鉴定后放生。</w:t>
      </w:r>
    </w:p>
    <w:p w14:paraId="001364F0">
      <w:pPr>
        <w:jc w:val="both"/>
        <w:outlineLvl w:val="9"/>
        <w:rPr>
          <w:rFonts w:hint="default"/>
          <w:color w:val="auto"/>
          <w:highlight w:val="none"/>
          <w:lang w:val="en-US" w:eastAsia="zh-CN"/>
        </w:rPr>
      </w:pPr>
      <w:r>
        <w:rPr>
          <w:rFonts w:hint="default"/>
          <w:color w:val="auto"/>
          <w:highlight w:val="none"/>
          <w:lang w:val="en-US" w:eastAsia="zh-CN"/>
        </w:rPr>
        <w:t>②鸟类样线</w:t>
      </w:r>
      <w:r>
        <w:rPr>
          <w:rFonts w:hint="eastAsia"/>
          <w:color w:val="auto"/>
          <w:highlight w:val="none"/>
          <w:lang w:val="en-US" w:eastAsia="zh-CN"/>
        </w:rPr>
        <w:t>法调</w:t>
      </w:r>
      <w:r>
        <w:rPr>
          <w:rFonts w:hint="default"/>
          <w:color w:val="auto"/>
          <w:highlight w:val="none"/>
          <w:lang w:val="en-US" w:eastAsia="zh-CN"/>
        </w:rPr>
        <w:t>查：查区内大部分地区的鸟类调查采用样线法。在每个调查点依据生境类型和地形布设样线，各样线互不重叠；样线长度以1</w:t>
      </w:r>
      <w:r>
        <w:rPr>
          <w:rFonts w:hint="eastAsia"/>
          <w:color w:val="auto"/>
          <w:highlight w:val="none"/>
          <w:lang w:val="en-US" w:eastAsia="zh-CN"/>
        </w:rPr>
        <w:t>～</w:t>
      </w:r>
      <w:r>
        <w:rPr>
          <w:rFonts w:hint="default"/>
          <w:color w:val="auto"/>
          <w:highlight w:val="none"/>
          <w:lang w:val="en-US" w:eastAsia="zh-CN"/>
        </w:rPr>
        <w:t>3km为宜。通过望远镜、数码摄像机、数码相机等观察样带两侧约200m以内的鸟类，辅以鸟类鸣叫声、飞行姿势、生态习性和羽毛等辨认。仔细记录发现鸟类的名称、数量、距离中线的距离，并记录鸟类物种发现点的经纬度、海拔、生境、样带长度及航迹等信息。如未观察到鸟类，但能听到鸟类鸣叫声的，借助录音笔记录其鸣声，以此作为识别物种的依据。</w:t>
      </w:r>
    </w:p>
    <w:p w14:paraId="0EF89271">
      <w:pPr>
        <w:jc w:val="both"/>
        <w:outlineLvl w:val="9"/>
        <w:rPr>
          <w:rFonts w:hint="default"/>
          <w:color w:val="auto"/>
          <w:highlight w:val="none"/>
          <w:lang w:val="en-US" w:eastAsia="zh-CN"/>
        </w:rPr>
      </w:pPr>
      <w:r>
        <w:rPr>
          <w:rFonts w:hint="default"/>
          <w:color w:val="auto"/>
          <w:highlight w:val="none"/>
          <w:lang w:val="en-US" w:eastAsia="zh-CN"/>
        </w:rPr>
        <w:t>③哺乳类样线法调查：哺乳类调查与鸟类调查同时进行。调查时统计样线两边的哺乳类足迹、粪便、叫声及活体的活动情况等，并在发现动物实体或其痕迹时，利用奥维互动地图软件或轨迹记录仪记录动物名称、数量、痕迹种类及地理位置、航迹等信息。</w:t>
      </w:r>
    </w:p>
    <w:p w14:paraId="2A913660">
      <w:pPr>
        <w:jc w:val="both"/>
        <w:outlineLvl w:val="9"/>
        <w:rPr>
          <w:rFonts w:hint="default"/>
          <w:color w:val="auto"/>
          <w:highlight w:val="none"/>
          <w:lang w:val="en-US" w:eastAsia="zh-CN"/>
        </w:rPr>
      </w:pPr>
      <w:r>
        <w:rPr>
          <w:rFonts w:hint="default"/>
          <w:color w:val="auto"/>
          <w:highlight w:val="none"/>
          <w:lang w:val="en-US" w:eastAsia="zh-CN"/>
        </w:rPr>
        <w:t>评价范围域内动物调查样线情况见表</w:t>
      </w:r>
      <w:r>
        <w:rPr>
          <w:rFonts w:hint="eastAsia"/>
          <w:color w:val="auto"/>
          <w:highlight w:val="none"/>
          <w:lang w:val="en-US" w:eastAsia="zh-CN"/>
        </w:rPr>
        <w:t>5.6-4</w:t>
      </w:r>
      <w:r>
        <w:rPr>
          <w:rFonts w:hint="default"/>
          <w:color w:val="auto"/>
          <w:highlight w:val="none"/>
          <w:lang w:val="en-US" w:eastAsia="zh-CN"/>
        </w:rPr>
        <w:t>。</w:t>
      </w:r>
    </w:p>
    <w:p w14:paraId="7E36D5A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w:t>
      </w:r>
      <w:r>
        <w:rPr>
          <w:rFonts w:hint="eastAsia" w:ascii="Times New Roman" w:hAnsi="Times New Roman" w:cs="Times New Roman"/>
          <w:b/>
          <w:bCs/>
          <w:color w:val="auto"/>
          <w:sz w:val="24"/>
          <w:szCs w:val="24"/>
          <w:highlight w:val="none"/>
          <w:lang w:val="en-US" w:eastAsia="zh-CN"/>
        </w:rPr>
        <w:t>5.6-</w:t>
      </w:r>
      <w:r>
        <w:rPr>
          <w:rFonts w:hint="eastAsia" w:cs="Times New Roman"/>
          <w:b/>
          <w:bCs/>
          <w:color w:val="auto"/>
          <w:sz w:val="24"/>
          <w:szCs w:val="24"/>
          <w:highlight w:val="none"/>
          <w:lang w:val="en-US" w:eastAsia="zh-CN"/>
        </w:rPr>
        <w:t>4</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 xml:space="preserve"> 野生动物调查样线表</w:t>
      </w:r>
    </w:p>
    <w:tbl>
      <w:tblPr>
        <w:tblStyle w:val="3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16"/>
        <w:gridCol w:w="1171"/>
        <w:gridCol w:w="1005"/>
        <w:gridCol w:w="761"/>
        <w:gridCol w:w="1129"/>
        <w:gridCol w:w="1154"/>
        <w:gridCol w:w="795"/>
        <w:gridCol w:w="860"/>
        <w:gridCol w:w="934"/>
        <w:gridCol w:w="392"/>
      </w:tblGrid>
      <w:tr w14:paraId="1CC0F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5" w:hRule="atLeast"/>
          <w:tblHeader/>
          <w:jc w:val="center"/>
        </w:trPr>
        <w:tc>
          <w:tcPr>
            <w:tcW w:w="185" w:type="pct"/>
            <w:vMerge w:val="restart"/>
            <w:tcBorders>
              <w:top w:val="single" w:color="000000" w:sz="12" w:space="0"/>
              <w:left w:val="nil"/>
              <w:bottom w:val="single" w:color="000000" w:sz="4" w:space="0"/>
              <w:right w:val="single" w:color="000000" w:sz="4" w:space="0"/>
              <w:tl2br w:val="nil"/>
              <w:tr2bl w:val="nil"/>
            </w:tcBorders>
            <w:noWrap w:val="0"/>
            <w:vAlign w:val="center"/>
          </w:tcPr>
          <w:p w14:paraId="1FE3E14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编号</w:t>
            </w:r>
          </w:p>
        </w:tc>
        <w:tc>
          <w:tcPr>
            <w:tcW w:w="1277" w:type="pct"/>
            <w:gridSpan w:val="2"/>
            <w:tcBorders>
              <w:top w:val="single" w:color="000000" w:sz="12" w:space="0"/>
              <w:left w:val="single" w:color="000000" w:sz="4" w:space="0"/>
              <w:bottom w:val="single" w:color="000000" w:sz="4" w:space="0"/>
              <w:right w:val="single" w:color="000000" w:sz="4" w:space="0"/>
              <w:tl2br w:val="nil"/>
              <w:tr2bl w:val="nil"/>
            </w:tcBorders>
            <w:noWrap w:val="0"/>
            <w:vAlign w:val="center"/>
          </w:tcPr>
          <w:p w14:paraId="0D2BF1D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样线起点坐标</w:t>
            </w:r>
          </w:p>
        </w:tc>
        <w:tc>
          <w:tcPr>
            <w:tcW w:w="446" w:type="pct"/>
            <w:vMerge w:val="restart"/>
            <w:tcBorders>
              <w:top w:val="single" w:color="000000" w:sz="12" w:space="0"/>
              <w:left w:val="single" w:color="000000" w:sz="4" w:space="0"/>
              <w:right w:val="single" w:color="000000" w:sz="4" w:space="0"/>
              <w:tl2br w:val="nil"/>
              <w:tr2bl w:val="nil"/>
            </w:tcBorders>
            <w:noWrap w:val="0"/>
            <w:vAlign w:val="center"/>
          </w:tcPr>
          <w:p w14:paraId="0D92ABD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eastAsia="宋体"/>
                <w:b/>
                <w:bCs/>
                <w:color w:val="auto"/>
                <w:highlight w:val="none"/>
                <w:lang w:eastAsia="zh-CN"/>
              </w:rPr>
            </w:pPr>
            <w:r>
              <w:rPr>
                <w:rFonts w:hint="eastAsia"/>
                <w:b/>
                <w:bCs/>
                <w:color w:val="auto"/>
                <w:highlight w:val="none"/>
                <w:lang w:eastAsia="zh-CN"/>
              </w:rPr>
              <w:t>海拔（</w:t>
            </w:r>
            <w:r>
              <w:rPr>
                <w:rFonts w:hint="eastAsia"/>
                <w:b/>
                <w:bCs/>
                <w:color w:val="auto"/>
                <w:highlight w:val="none"/>
                <w:lang w:val="en-US" w:eastAsia="zh-CN"/>
              </w:rPr>
              <w:t>m</w:t>
            </w:r>
            <w:r>
              <w:rPr>
                <w:rFonts w:hint="eastAsia"/>
                <w:b/>
                <w:bCs/>
                <w:color w:val="auto"/>
                <w:highlight w:val="none"/>
                <w:lang w:eastAsia="zh-CN"/>
              </w:rPr>
              <w:t>）</w:t>
            </w:r>
          </w:p>
        </w:tc>
        <w:tc>
          <w:tcPr>
            <w:tcW w:w="1340" w:type="pct"/>
            <w:gridSpan w:val="2"/>
            <w:tcBorders>
              <w:top w:val="single" w:color="000000" w:sz="12" w:space="0"/>
              <w:left w:val="single" w:color="000000" w:sz="4" w:space="0"/>
              <w:bottom w:val="single" w:color="000000" w:sz="4" w:space="0"/>
              <w:right w:val="single" w:color="000000" w:sz="4" w:space="0"/>
              <w:tl2br w:val="nil"/>
              <w:tr2bl w:val="nil"/>
            </w:tcBorders>
            <w:noWrap w:val="0"/>
            <w:vAlign w:val="center"/>
          </w:tcPr>
          <w:p w14:paraId="153A2B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样线终点坐标</w:t>
            </w:r>
          </w:p>
        </w:tc>
        <w:tc>
          <w:tcPr>
            <w:tcW w:w="466" w:type="pct"/>
            <w:vMerge w:val="restart"/>
            <w:tcBorders>
              <w:top w:val="single" w:color="000000" w:sz="12" w:space="0"/>
              <w:left w:val="single" w:color="000000" w:sz="4" w:space="0"/>
              <w:right w:val="single" w:color="000000" w:sz="4" w:space="0"/>
              <w:tl2br w:val="nil"/>
              <w:tr2bl w:val="nil"/>
            </w:tcBorders>
            <w:noWrap w:val="0"/>
            <w:vAlign w:val="center"/>
          </w:tcPr>
          <w:p w14:paraId="33A8768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eastAsia"/>
                <w:b/>
                <w:bCs/>
                <w:color w:val="auto"/>
                <w:highlight w:val="none"/>
                <w:lang w:eastAsia="zh-CN"/>
              </w:rPr>
              <w:t>海拔（</w:t>
            </w:r>
            <w:r>
              <w:rPr>
                <w:rFonts w:hint="eastAsia"/>
                <w:b/>
                <w:bCs/>
                <w:color w:val="auto"/>
                <w:highlight w:val="none"/>
                <w:lang w:val="en-US" w:eastAsia="zh-CN"/>
              </w:rPr>
              <w:t>m</w:t>
            </w:r>
            <w:r>
              <w:rPr>
                <w:rFonts w:hint="eastAsia"/>
                <w:b/>
                <w:bCs/>
                <w:color w:val="auto"/>
                <w:highlight w:val="none"/>
                <w:lang w:eastAsia="zh-CN"/>
              </w:rPr>
              <w:t>）</w:t>
            </w:r>
          </w:p>
        </w:tc>
        <w:tc>
          <w:tcPr>
            <w:tcW w:w="504"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14:paraId="4FC71BE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样线长度（m）</w:t>
            </w:r>
          </w:p>
        </w:tc>
        <w:tc>
          <w:tcPr>
            <w:tcW w:w="548"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14:paraId="4B209CF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lang w:eastAsia="zh-CN"/>
              </w:rPr>
            </w:pPr>
            <w:r>
              <w:rPr>
                <w:rFonts w:hint="default"/>
                <w:b/>
                <w:bCs/>
                <w:color w:val="auto"/>
                <w:highlight w:val="none"/>
                <w:lang w:eastAsia="zh-CN"/>
              </w:rPr>
              <w:t>主要生境</w:t>
            </w:r>
          </w:p>
        </w:tc>
        <w:tc>
          <w:tcPr>
            <w:tcW w:w="230" w:type="pct"/>
            <w:vMerge w:val="restart"/>
            <w:tcBorders>
              <w:top w:val="single" w:color="000000" w:sz="12" w:space="0"/>
              <w:left w:val="single" w:color="000000" w:sz="4" w:space="0"/>
              <w:bottom w:val="single" w:color="000000" w:sz="4" w:space="0"/>
              <w:right w:val="nil"/>
              <w:tl2br w:val="nil"/>
              <w:tr2bl w:val="nil"/>
            </w:tcBorders>
            <w:noWrap w:val="0"/>
            <w:vAlign w:val="center"/>
          </w:tcPr>
          <w:p w14:paraId="15C52FF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lang w:eastAsia="zh-CN"/>
              </w:rPr>
            </w:pPr>
            <w:r>
              <w:rPr>
                <w:rFonts w:hint="default"/>
                <w:b/>
                <w:bCs/>
                <w:color w:val="auto"/>
                <w:highlight w:val="none"/>
                <w:lang w:eastAsia="zh-CN"/>
              </w:rPr>
              <w:t>评价等级</w:t>
            </w:r>
          </w:p>
        </w:tc>
      </w:tr>
      <w:tr w14:paraId="36FBB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7" w:hRule="atLeast"/>
          <w:tblHeader/>
          <w:jc w:val="center"/>
        </w:trPr>
        <w:tc>
          <w:tcPr>
            <w:tcW w:w="185" w:type="pct"/>
            <w:vMerge w:val="continue"/>
            <w:tcBorders>
              <w:top w:val="single" w:color="000000" w:sz="4" w:space="0"/>
              <w:left w:val="nil"/>
              <w:bottom w:val="single" w:color="000000" w:sz="4" w:space="0"/>
              <w:right w:val="single" w:color="000000" w:sz="4" w:space="0"/>
              <w:tl2br w:val="nil"/>
              <w:tr2bl w:val="nil"/>
            </w:tcBorders>
            <w:noWrap w:val="0"/>
            <w:vAlign w:val="center"/>
          </w:tcPr>
          <w:p w14:paraId="0731419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p>
        </w:tc>
        <w:tc>
          <w:tcPr>
            <w:tcW w:w="68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03A0E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东经</w:t>
            </w:r>
          </w:p>
        </w:tc>
        <w:tc>
          <w:tcPr>
            <w:tcW w:w="59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AE2B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北纬</w:t>
            </w:r>
          </w:p>
        </w:tc>
        <w:tc>
          <w:tcPr>
            <w:tcW w:w="446" w:type="pct"/>
            <w:vMerge w:val="continue"/>
            <w:tcBorders>
              <w:left w:val="single" w:color="000000" w:sz="4" w:space="0"/>
              <w:bottom w:val="single" w:color="000000" w:sz="4" w:space="0"/>
              <w:right w:val="single" w:color="000000" w:sz="4" w:space="0"/>
              <w:tl2br w:val="nil"/>
              <w:tr2bl w:val="nil"/>
            </w:tcBorders>
            <w:noWrap w:val="0"/>
            <w:vAlign w:val="center"/>
          </w:tcPr>
          <w:p w14:paraId="67216E7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p>
        </w:tc>
        <w:tc>
          <w:tcPr>
            <w:tcW w:w="66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77FE7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东经</w:t>
            </w:r>
          </w:p>
        </w:tc>
        <w:tc>
          <w:tcPr>
            <w:tcW w:w="6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11E2C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r>
              <w:rPr>
                <w:rFonts w:hint="default"/>
                <w:b/>
                <w:bCs/>
                <w:color w:val="auto"/>
                <w:highlight w:val="none"/>
              </w:rPr>
              <w:t>北纬</w:t>
            </w:r>
          </w:p>
        </w:tc>
        <w:tc>
          <w:tcPr>
            <w:tcW w:w="466" w:type="pct"/>
            <w:vMerge w:val="continue"/>
            <w:tcBorders>
              <w:left w:val="single" w:color="000000" w:sz="4" w:space="0"/>
              <w:bottom w:val="single" w:color="000000" w:sz="4" w:space="0"/>
              <w:right w:val="single" w:color="000000" w:sz="4" w:space="0"/>
              <w:tl2br w:val="nil"/>
              <w:tr2bl w:val="nil"/>
            </w:tcBorders>
            <w:noWrap w:val="0"/>
            <w:vAlign w:val="center"/>
          </w:tcPr>
          <w:p w14:paraId="5C16DB9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p>
        </w:tc>
        <w:tc>
          <w:tcPr>
            <w:tcW w:w="50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74EF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rPr>
            </w:pPr>
          </w:p>
        </w:tc>
        <w:tc>
          <w:tcPr>
            <w:tcW w:w="54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444EF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lang w:eastAsia="zh-CN"/>
              </w:rPr>
            </w:pPr>
          </w:p>
        </w:tc>
        <w:tc>
          <w:tcPr>
            <w:tcW w:w="230" w:type="pct"/>
            <w:vMerge w:val="continue"/>
            <w:tcBorders>
              <w:top w:val="single" w:color="000000" w:sz="4" w:space="0"/>
              <w:left w:val="single" w:color="000000" w:sz="4" w:space="0"/>
              <w:bottom w:val="single" w:color="000000" w:sz="4" w:space="0"/>
              <w:right w:val="nil"/>
              <w:tl2br w:val="nil"/>
              <w:tr2bl w:val="nil"/>
            </w:tcBorders>
            <w:noWrap w:val="0"/>
            <w:vAlign w:val="center"/>
          </w:tcPr>
          <w:p w14:paraId="378D82F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b/>
                <w:bCs/>
                <w:color w:val="auto"/>
                <w:highlight w:val="none"/>
                <w:lang w:eastAsia="zh-CN"/>
              </w:rPr>
            </w:pPr>
          </w:p>
        </w:tc>
      </w:tr>
      <w:tr w14:paraId="6D8E65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85" w:type="pct"/>
            <w:tcBorders>
              <w:top w:val="single" w:color="000000" w:sz="4" w:space="0"/>
              <w:left w:val="nil"/>
              <w:bottom w:val="single" w:color="000000" w:sz="4" w:space="0"/>
              <w:right w:val="single" w:color="000000" w:sz="4" w:space="0"/>
              <w:tl2br w:val="nil"/>
              <w:tr2bl w:val="nil"/>
            </w:tcBorders>
            <w:noWrap w:val="0"/>
            <w:vAlign w:val="center"/>
          </w:tcPr>
          <w:p w14:paraId="6A6E19D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7662E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106.427809</w:t>
            </w:r>
          </w:p>
        </w:tc>
        <w:tc>
          <w:tcPr>
            <w:tcW w:w="10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61EE4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35.910875</w:t>
            </w:r>
          </w:p>
        </w:tc>
        <w:tc>
          <w:tcPr>
            <w:tcW w:w="8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B62F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1715.5</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DDE4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106.430951</w:t>
            </w:r>
          </w:p>
        </w:tc>
        <w:tc>
          <w:tcPr>
            <w:tcW w:w="12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8ED1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35.911189</w:t>
            </w:r>
          </w:p>
        </w:tc>
        <w:tc>
          <w:tcPr>
            <w:tcW w:w="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3AC16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1648.5</w:t>
            </w:r>
          </w:p>
        </w:tc>
        <w:tc>
          <w:tcPr>
            <w:tcW w:w="9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4DED4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699</w:t>
            </w:r>
          </w:p>
        </w:tc>
        <w:tc>
          <w:tcPr>
            <w:tcW w:w="54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1BBC1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林地</w:t>
            </w:r>
          </w:p>
        </w:tc>
        <w:tc>
          <w:tcPr>
            <w:tcW w:w="230" w:type="pct"/>
            <w:tcBorders>
              <w:top w:val="single" w:color="000000" w:sz="4" w:space="0"/>
              <w:left w:val="single" w:color="000000" w:sz="4" w:space="0"/>
              <w:bottom w:val="single" w:color="000000" w:sz="4" w:space="0"/>
              <w:right w:val="nil"/>
              <w:tl2br w:val="nil"/>
              <w:tr2bl w:val="nil"/>
            </w:tcBorders>
            <w:noWrap w:val="0"/>
            <w:vAlign w:val="center"/>
          </w:tcPr>
          <w:p w14:paraId="71A4A59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二级</w:t>
            </w:r>
          </w:p>
        </w:tc>
      </w:tr>
      <w:tr w14:paraId="40CD1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85" w:type="pct"/>
            <w:tcBorders>
              <w:top w:val="single" w:color="000000" w:sz="4" w:space="0"/>
              <w:left w:val="nil"/>
              <w:bottom w:val="single" w:color="000000" w:sz="4" w:space="0"/>
              <w:right w:val="single" w:color="000000" w:sz="4" w:space="0"/>
              <w:tl2br w:val="nil"/>
              <w:tr2bl w:val="nil"/>
            </w:tcBorders>
            <w:noWrap w:val="0"/>
            <w:vAlign w:val="center"/>
          </w:tcPr>
          <w:p w14:paraId="52B4B45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16D6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106.442811</w:t>
            </w:r>
          </w:p>
        </w:tc>
        <w:tc>
          <w:tcPr>
            <w:tcW w:w="10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BA901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35.909373</w:t>
            </w:r>
          </w:p>
        </w:tc>
        <w:tc>
          <w:tcPr>
            <w:tcW w:w="8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BE262">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1635.5</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C206E">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106.446232</w:t>
            </w:r>
          </w:p>
        </w:tc>
        <w:tc>
          <w:tcPr>
            <w:tcW w:w="12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EF5E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35.909851</w:t>
            </w:r>
          </w:p>
        </w:tc>
        <w:tc>
          <w:tcPr>
            <w:tcW w:w="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8DFF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1627.2</w:t>
            </w:r>
          </w:p>
        </w:tc>
        <w:tc>
          <w:tcPr>
            <w:tcW w:w="9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59737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487</w:t>
            </w:r>
          </w:p>
        </w:tc>
        <w:tc>
          <w:tcPr>
            <w:tcW w:w="54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B183D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林地</w:t>
            </w:r>
          </w:p>
        </w:tc>
        <w:tc>
          <w:tcPr>
            <w:tcW w:w="230" w:type="pct"/>
            <w:tcBorders>
              <w:top w:val="single" w:color="000000" w:sz="4" w:space="0"/>
              <w:left w:val="single" w:color="000000" w:sz="4" w:space="0"/>
              <w:bottom w:val="single" w:color="000000" w:sz="4" w:space="0"/>
              <w:right w:val="nil"/>
              <w:tl2br w:val="nil"/>
              <w:tr2bl w:val="nil"/>
            </w:tcBorders>
            <w:noWrap w:val="0"/>
            <w:vAlign w:val="center"/>
          </w:tcPr>
          <w:p w14:paraId="59764A8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二级</w:t>
            </w:r>
          </w:p>
        </w:tc>
      </w:tr>
      <w:tr w14:paraId="6773F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85" w:type="pct"/>
            <w:tcBorders>
              <w:top w:val="single" w:color="000000" w:sz="4" w:space="0"/>
              <w:left w:val="nil"/>
              <w:bottom w:val="single" w:color="000000" w:sz="4" w:space="0"/>
              <w:right w:val="single" w:color="000000" w:sz="4" w:space="0"/>
              <w:tl2br w:val="nil"/>
              <w:tr2bl w:val="nil"/>
            </w:tcBorders>
            <w:noWrap w:val="0"/>
            <w:vAlign w:val="center"/>
          </w:tcPr>
          <w:p w14:paraId="09549A3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03BE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106.495409</w:t>
            </w:r>
          </w:p>
        </w:tc>
        <w:tc>
          <w:tcPr>
            <w:tcW w:w="10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3752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35.924057</w:t>
            </w:r>
          </w:p>
        </w:tc>
        <w:tc>
          <w:tcPr>
            <w:tcW w:w="8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D989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1538.3</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A7D4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106.502147</w:t>
            </w:r>
          </w:p>
        </w:tc>
        <w:tc>
          <w:tcPr>
            <w:tcW w:w="12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AFF5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35.924049</w:t>
            </w:r>
          </w:p>
        </w:tc>
        <w:tc>
          <w:tcPr>
            <w:tcW w:w="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3FCA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1609.2</w:t>
            </w:r>
          </w:p>
        </w:tc>
        <w:tc>
          <w:tcPr>
            <w:tcW w:w="9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FF631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1426</w:t>
            </w:r>
          </w:p>
        </w:tc>
        <w:tc>
          <w:tcPr>
            <w:tcW w:w="54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F2E0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林地</w:t>
            </w:r>
          </w:p>
        </w:tc>
        <w:tc>
          <w:tcPr>
            <w:tcW w:w="230" w:type="pct"/>
            <w:tcBorders>
              <w:top w:val="single" w:color="000000" w:sz="4" w:space="0"/>
              <w:left w:val="single" w:color="000000" w:sz="4" w:space="0"/>
              <w:bottom w:val="single" w:color="000000" w:sz="4" w:space="0"/>
              <w:right w:val="nil"/>
              <w:tl2br w:val="nil"/>
              <w:tr2bl w:val="nil"/>
            </w:tcBorders>
            <w:noWrap w:val="0"/>
            <w:vAlign w:val="center"/>
          </w:tcPr>
          <w:p w14:paraId="658D6F6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二级</w:t>
            </w:r>
          </w:p>
        </w:tc>
      </w:tr>
    </w:tbl>
    <w:p w14:paraId="04D6F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cs="Times New Roman"/>
          <w:b/>
          <w:bCs/>
          <w:color w:val="auto"/>
          <w:sz w:val="24"/>
          <w:szCs w:val="24"/>
          <w:highlight w:val="none"/>
          <w:lang w:val="en-US" w:eastAsia="zh-CN"/>
        </w:rPr>
      </w:pPr>
      <w:bookmarkStart w:id="4478" w:name="_Toc30531"/>
      <w:r>
        <w:rPr>
          <w:rFonts w:hint="eastAsia" w:ascii="Times New Roman" w:hAnsi="Times New Roman" w:cs="Times New Roman"/>
          <w:b/>
          <w:bCs/>
          <w:color w:val="auto"/>
          <w:sz w:val="24"/>
          <w:szCs w:val="24"/>
          <w:highlight w:val="none"/>
          <w:lang w:val="en-US" w:eastAsia="zh-CN"/>
        </w:rPr>
        <w:t>表5.6-5样线调查表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277"/>
        <w:gridCol w:w="1278"/>
        <w:gridCol w:w="1420"/>
        <w:gridCol w:w="511"/>
        <w:gridCol w:w="909"/>
        <w:gridCol w:w="1422"/>
      </w:tblGrid>
      <w:tr w14:paraId="6FB54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522" w:type="dxa"/>
            <w:gridSpan w:val="7"/>
            <w:tcBorders>
              <w:tl2br w:val="nil"/>
              <w:tr2bl w:val="nil"/>
            </w:tcBorders>
            <w:noWrap w:val="0"/>
            <w:vAlign w:val="center"/>
          </w:tcPr>
          <w:p w14:paraId="2CCC96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eastAsia" w:cs="Times New Roman"/>
                <w:color w:val="auto"/>
                <w:sz w:val="21"/>
                <w:szCs w:val="21"/>
                <w:highlight w:val="none"/>
                <w:lang w:val="en-US" w:eastAsia="zh-CN"/>
              </w:rPr>
            </w:pPr>
            <w:r>
              <w:rPr>
                <w:rFonts w:hint="eastAsia" w:cs="Times New Roman"/>
                <w:b/>
                <w:bCs/>
                <w:color w:val="auto"/>
                <w:sz w:val="21"/>
                <w:szCs w:val="21"/>
                <w:highlight w:val="none"/>
                <w:lang w:val="en-US" w:eastAsia="zh-CN"/>
              </w:rPr>
              <w:t>动物样线调查表（1）</w:t>
            </w:r>
          </w:p>
        </w:tc>
      </w:tr>
      <w:tr w14:paraId="04017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174665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eastAsia="zh-CN"/>
              </w:rPr>
              <w:t>样线编号</w:t>
            </w:r>
          </w:p>
        </w:tc>
        <w:tc>
          <w:tcPr>
            <w:tcW w:w="2555" w:type="dxa"/>
            <w:gridSpan w:val="2"/>
            <w:tcBorders>
              <w:tl2br w:val="nil"/>
              <w:tr2bl w:val="nil"/>
            </w:tcBorders>
            <w:noWrap w:val="0"/>
            <w:vAlign w:val="center"/>
          </w:tcPr>
          <w:p w14:paraId="4CE920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Times New Roman" w:cs="Times New Roman"/>
                <w:color w:val="auto"/>
                <w:sz w:val="21"/>
                <w:szCs w:val="21"/>
                <w:highlight w:val="none"/>
              </w:rPr>
              <w:t>样线1</w:t>
            </w:r>
          </w:p>
        </w:tc>
        <w:tc>
          <w:tcPr>
            <w:tcW w:w="1931" w:type="dxa"/>
            <w:gridSpan w:val="2"/>
            <w:tcBorders>
              <w:tl2br w:val="nil"/>
              <w:tr2bl w:val="nil"/>
            </w:tcBorders>
            <w:noWrap w:val="0"/>
            <w:vAlign w:val="center"/>
          </w:tcPr>
          <w:p w14:paraId="1A8A29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rPr>
              <w:t>地点</w:t>
            </w:r>
          </w:p>
        </w:tc>
        <w:tc>
          <w:tcPr>
            <w:tcW w:w="2331" w:type="dxa"/>
            <w:gridSpan w:val="2"/>
            <w:tcBorders>
              <w:tl2br w:val="nil"/>
              <w:tr2bl w:val="nil"/>
            </w:tcBorders>
            <w:noWrap w:val="0"/>
            <w:vAlign w:val="center"/>
          </w:tcPr>
          <w:p w14:paraId="495F75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eastAsia" w:cs="Times New Roman"/>
                <w:color w:val="auto"/>
                <w:sz w:val="21"/>
                <w:szCs w:val="21"/>
                <w:highlight w:val="none"/>
                <w:lang w:val="en-US" w:eastAsia="zh-CN"/>
              </w:rPr>
              <w:t>彭阳县</w:t>
            </w:r>
          </w:p>
        </w:tc>
      </w:tr>
      <w:tr w14:paraId="7FE99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517C60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eastAsia="zh-CN"/>
              </w:rPr>
              <w:t>日期</w:t>
            </w:r>
          </w:p>
        </w:tc>
        <w:tc>
          <w:tcPr>
            <w:tcW w:w="2555" w:type="dxa"/>
            <w:gridSpan w:val="2"/>
            <w:tcBorders>
              <w:tl2br w:val="nil"/>
              <w:tr2bl w:val="nil"/>
            </w:tcBorders>
            <w:noWrap w:val="0"/>
            <w:vAlign w:val="center"/>
          </w:tcPr>
          <w:p w14:paraId="3AF624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eastAsia" w:cs="Times New Roman"/>
                <w:color w:val="auto"/>
                <w:kern w:val="0"/>
                <w:sz w:val="21"/>
                <w:szCs w:val="21"/>
                <w:highlight w:val="none"/>
                <w:vertAlign w:val="baseline"/>
                <w:lang w:eastAsia="zh-CN"/>
              </w:rPr>
              <w:t>2025年10月21日</w:t>
            </w:r>
          </w:p>
        </w:tc>
        <w:tc>
          <w:tcPr>
            <w:tcW w:w="1931" w:type="dxa"/>
            <w:gridSpan w:val="2"/>
            <w:tcBorders>
              <w:tl2br w:val="nil"/>
              <w:tr2bl w:val="nil"/>
            </w:tcBorders>
            <w:noWrap w:val="0"/>
            <w:vAlign w:val="center"/>
          </w:tcPr>
          <w:p w14:paraId="083BF6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rPr>
              <w:t>天气</w:t>
            </w:r>
          </w:p>
        </w:tc>
        <w:tc>
          <w:tcPr>
            <w:tcW w:w="2331" w:type="dxa"/>
            <w:gridSpan w:val="2"/>
            <w:tcBorders>
              <w:tl2br w:val="nil"/>
              <w:tr2bl w:val="nil"/>
            </w:tcBorders>
            <w:noWrap w:val="0"/>
            <w:vAlign w:val="center"/>
          </w:tcPr>
          <w:p w14:paraId="43CB4F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szCs w:val="21"/>
                <w:highlight w:val="none"/>
              </w:rPr>
              <w:sym w:font="Wingdings 2" w:char="0052"/>
            </w:r>
            <w:r>
              <w:rPr>
                <w:rFonts w:hint="default" w:ascii="Times New Roman" w:hAnsi="Times New Roman" w:eastAsia="宋体" w:cs="Times New Roman"/>
                <w:color w:val="auto"/>
                <w:kern w:val="0"/>
                <w:sz w:val="21"/>
                <w:szCs w:val="21"/>
                <w:highlight w:val="none"/>
                <w:lang w:val="en-US" w:eastAsia="zh-CN"/>
              </w:rPr>
              <w:t>晴口阴口雾口小雨口晴转阴口阴转晴口其他</w:t>
            </w:r>
          </w:p>
        </w:tc>
      </w:tr>
      <w:tr w14:paraId="7609C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1C476E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样线起点</w:t>
            </w:r>
          </w:p>
        </w:tc>
        <w:tc>
          <w:tcPr>
            <w:tcW w:w="1277" w:type="dxa"/>
            <w:tcBorders>
              <w:tl2br w:val="nil"/>
              <w:tr2bl w:val="nil"/>
            </w:tcBorders>
            <w:shd w:val="clear" w:color="auto" w:fill="auto"/>
            <w:noWrap w:val="0"/>
            <w:vAlign w:val="center"/>
          </w:tcPr>
          <w:p w14:paraId="1CA4A18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106.427809</w:t>
            </w:r>
          </w:p>
        </w:tc>
        <w:tc>
          <w:tcPr>
            <w:tcW w:w="1278" w:type="dxa"/>
            <w:tcBorders>
              <w:tl2br w:val="nil"/>
              <w:tr2bl w:val="nil"/>
            </w:tcBorders>
            <w:shd w:val="clear" w:color="auto" w:fill="auto"/>
            <w:noWrap w:val="0"/>
            <w:vAlign w:val="center"/>
          </w:tcPr>
          <w:p w14:paraId="2E80CEC3">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35.910875</w:t>
            </w:r>
          </w:p>
        </w:tc>
        <w:tc>
          <w:tcPr>
            <w:tcW w:w="1931" w:type="dxa"/>
            <w:gridSpan w:val="2"/>
            <w:tcBorders>
              <w:tl2br w:val="nil"/>
              <w:tr2bl w:val="nil"/>
            </w:tcBorders>
            <w:noWrap w:val="0"/>
            <w:vAlign w:val="center"/>
          </w:tcPr>
          <w:p w14:paraId="29E242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海拔（m）</w:t>
            </w:r>
          </w:p>
        </w:tc>
        <w:tc>
          <w:tcPr>
            <w:tcW w:w="2331" w:type="dxa"/>
            <w:gridSpan w:val="2"/>
            <w:tcBorders>
              <w:tl2br w:val="nil"/>
              <w:tr2bl w:val="nil"/>
            </w:tcBorders>
            <w:noWrap w:val="0"/>
            <w:vAlign w:val="center"/>
          </w:tcPr>
          <w:p w14:paraId="5BEB90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1715.5</w:t>
            </w:r>
          </w:p>
        </w:tc>
      </w:tr>
      <w:tr w14:paraId="160F6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tcBorders>
              <w:tl2br w:val="nil"/>
              <w:tr2bl w:val="nil"/>
            </w:tcBorders>
            <w:noWrap w:val="0"/>
            <w:vAlign w:val="center"/>
          </w:tcPr>
          <w:p w14:paraId="1792F5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样线终点</w:t>
            </w:r>
          </w:p>
        </w:tc>
        <w:tc>
          <w:tcPr>
            <w:tcW w:w="1277" w:type="dxa"/>
            <w:tcBorders>
              <w:tl2br w:val="nil"/>
              <w:tr2bl w:val="nil"/>
            </w:tcBorders>
            <w:noWrap w:val="0"/>
            <w:vAlign w:val="center"/>
          </w:tcPr>
          <w:p w14:paraId="558236A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宋体" w:cs="Times New Roman"/>
                <w:color w:val="auto"/>
                <w:highlight w:val="none"/>
                <w:lang w:val="en-US" w:eastAsia="zh-CN"/>
              </w:rPr>
              <w:t>106.430951</w:t>
            </w:r>
          </w:p>
        </w:tc>
        <w:tc>
          <w:tcPr>
            <w:tcW w:w="1278" w:type="dxa"/>
            <w:tcBorders>
              <w:tl2br w:val="nil"/>
              <w:tr2bl w:val="nil"/>
            </w:tcBorders>
            <w:noWrap w:val="0"/>
            <w:vAlign w:val="center"/>
          </w:tcPr>
          <w:p w14:paraId="6064800B">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eastAsia="Times New Roman" w:cs="Times New Roman"/>
                <w:color w:val="auto"/>
                <w:sz w:val="21"/>
                <w:szCs w:val="21"/>
                <w:highlight w:val="none"/>
                <w:lang w:eastAsia="zh-CN"/>
              </w:rPr>
            </w:pPr>
            <w:r>
              <w:rPr>
                <w:rFonts w:hint="eastAsia" w:ascii="Times New Roman" w:hAnsi="Times New Roman" w:eastAsia="宋体" w:cs="Times New Roman"/>
                <w:color w:val="auto"/>
                <w:highlight w:val="none"/>
                <w:lang w:val="en-US" w:eastAsia="zh-CN"/>
              </w:rPr>
              <w:t>35.911189</w:t>
            </w:r>
          </w:p>
        </w:tc>
        <w:tc>
          <w:tcPr>
            <w:tcW w:w="1931" w:type="dxa"/>
            <w:gridSpan w:val="2"/>
            <w:tcBorders>
              <w:tl2br w:val="nil"/>
              <w:tr2bl w:val="nil"/>
            </w:tcBorders>
            <w:noWrap w:val="0"/>
            <w:vAlign w:val="center"/>
          </w:tcPr>
          <w:p w14:paraId="05A4A9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海拔（m）</w:t>
            </w:r>
          </w:p>
        </w:tc>
        <w:tc>
          <w:tcPr>
            <w:tcW w:w="2331" w:type="dxa"/>
            <w:gridSpan w:val="2"/>
            <w:tcBorders>
              <w:tl2br w:val="nil"/>
              <w:tr2bl w:val="nil"/>
            </w:tcBorders>
            <w:noWrap w:val="0"/>
            <w:vAlign w:val="center"/>
          </w:tcPr>
          <w:p w14:paraId="258449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1648.5</w:t>
            </w:r>
          </w:p>
        </w:tc>
      </w:tr>
      <w:tr w14:paraId="41F67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79F673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Cs w:val="21"/>
                <w:highlight w:val="none"/>
                <w:lang w:val="en-US" w:eastAsia="zh-CN"/>
              </w:rPr>
              <w:t>起始-结束时间（h）</w:t>
            </w:r>
          </w:p>
        </w:tc>
        <w:tc>
          <w:tcPr>
            <w:tcW w:w="2555" w:type="dxa"/>
            <w:gridSpan w:val="2"/>
            <w:tcBorders>
              <w:tl2br w:val="nil"/>
              <w:tr2bl w:val="nil"/>
            </w:tcBorders>
            <w:noWrap w:val="0"/>
            <w:vAlign w:val="center"/>
          </w:tcPr>
          <w:p w14:paraId="5DEDEF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0.5</w:t>
            </w:r>
          </w:p>
        </w:tc>
        <w:tc>
          <w:tcPr>
            <w:tcW w:w="1931" w:type="dxa"/>
            <w:gridSpan w:val="2"/>
            <w:tcBorders>
              <w:tl2br w:val="nil"/>
              <w:tr2bl w:val="nil"/>
            </w:tcBorders>
            <w:noWrap w:val="0"/>
            <w:vAlign w:val="center"/>
          </w:tcPr>
          <w:p w14:paraId="7BD14D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样线长度（m）</w:t>
            </w:r>
          </w:p>
        </w:tc>
        <w:tc>
          <w:tcPr>
            <w:tcW w:w="2331" w:type="dxa"/>
            <w:gridSpan w:val="2"/>
            <w:tcBorders>
              <w:tl2br w:val="nil"/>
              <w:tr2bl w:val="nil"/>
            </w:tcBorders>
            <w:noWrap w:val="0"/>
            <w:vAlign w:val="center"/>
          </w:tcPr>
          <w:p w14:paraId="49FDBEB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eastAsiaTheme="minorEastAsia"/>
                <w:color w:val="auto"/>
                <w:sz w:val="21"/>
                <w:szCs w:val="21"/>
                <w:highlight w:val="none"/>
                <w:lang w:val="en-US" w:eastAsia="zh-CN"/>
              </w:rPr>
              <w:t>699</w:t>
            </w:r>
          </w:p>
        </w:tc>
      </w:tr>
      <w:tr w14:paraId="57DA6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58B00F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中文名</w:t>
            </w:r>
          </w:p>
        </w:tc>
        <w:tc>
          <w:tcPr>
            <w:tcW w:w="1277" w:type="dxa"/>
            <w:tcBorders>
              <w:tl2br w:val="nil"/>
              <w:tr2bl w:val="nil"/>
            </w:tcBorders>
            <w:noWrap w:val="0"/>
            <w:vAlign w:val="center"/>
          </w:tcPr>
          <w:p w14:paraId="6F5848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数量</w:t>
            </w:r>
          </w:p>
        </w:tc>
        <w:tc>
          <w:tcPr>
            <w:tcW w:w="1278" w:type="dxa"/>
            <w:tcBorders>
              <w:tl2br w:val="nil"/>
              <w:tr2bl w:val="nil"/>
            </w:tcBorders>
            <w:noWrap w:val="0"/>
            <w:vAlign w:val="center"/>
          </w:tcPr>
          <w:p w14:paraId="7AFA9B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生境类型</w:t>
            </w:r>
          </w:p>
        </w:tc>
        <w:tc>
          <w:tcPr>
            <w:tcW w:w="1420" w:type="dxa"/>
            <w:tcBorders>
              <w:tl2br w:val="nil"/>
              <w:tr2bl w:val="nil"/>
            </w:tcBorders>
            <w:noWrap w:val="0"/>
            <w:vAlign w:val="center"/>
          </w:tcPr>
          <w:p w14:paraId="60355C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飞行高度（m）</w:t>
            </w:r>
          </w:p>
        </w:tc>
        <w:tc>
          <w:tcPr>
            <w:tcW w:w="1420" w:type="dxa"/>
            <w:gridSpan w:val="2"/>
            <w:tcBorders>
              <w:tl2br w:val="nil"/>
              <w:tr2bl w:val="nil"/>
            </w:tcBorders>
            <w:noWrap w:val="0"/>
            <w:vAlign w:val="center"/>
          </w:tcPr>
          <w:p w14:paraId="49A4CA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行为</w:t>
            </w:r>
          </w:p>
        </w:tc>
        <w:tc>
          <w:tcPr>
            <w:tcW w:w="1422" w:type="dxa"/>
            <w:tcBorders>
              <w:tl2br w:val="nil"/>
              <w:tr2bl w:val="nil"/>
            </w:tcBorders>
            <w:noWrap w:val="0"/>
            <w:vAlign w:val="center"/>
          </w:tcPr>
          <w:p w14:paraId="46640C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w:t>
            </w:r>
          </w:p>
        </w:tc>
      </w:tr>
      <w:tr w14:paraId="3A0C1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29726C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麻雀</w:t>
            </w:r>
          </w:p>
        </w:tc>
        <w:tc>
          <w:tcPr>
            <w:tcW w:w="1277" w:type="dxa"/>
            <w:tcBorders>
              <w:tl2br w:val="nil"/>
              <w:tr2bl w:val="nil"/>
            </w:tcBorders>
            <w:noWrap w:val="0"/>
            <w:vAlign w:val="center"/>
          </w:tcPr>
          <w:p w14:paraId="5DF59D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278" w:type="dxa"/>
            <w:vMerge w:val="restart"/>
            <w:tcBorders>
              <w:tl2br w:val="nil"/>
              <w:tr2bl w:val="nil"/>
            </w:tcBorders>
            <w:shd w:val="clear" w:color="auto" w:fill="auto"/>
            <w:noWrap w:val="0"/>
            <w:vAlign w:val="center"/>
          </w:tcPr>
          <w:p w14:paraId="42AD3C45">
            <w:pPr>
              <w:keepNext w:val="0"/>
              <w:keepLines w:val="0"/>
              <w:pageBreakBefore w:val="0"/>
              <w:widowControl w:val="0"/>
              <w:suppressLineNumbers w:val="0"/>
              <w:wordWrap/>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林地</w:t>
            </w:r>
          </w:p>
        </w:tc>
        <w:tc>
          <w:tcPr>
            <w:tcW w:w="1420" w:type="dxa"/>
            <w:tcBorders>
              <w:tl2br w:val="nil"/>
              <w:tr2bl w:val="nil"/>
            </w:tcBorders>
            <w:noWrap w:val="0"/>
            <w:vAlign w:val="center"/>
          </w:tcPr>
          <w:p w14:paraId="0F7C7CB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1420" w:type="dxa"/>
            <w:gridSpan w:val="2"/>
            <w:tcBorders>
              <w:tl2br w:val="nil"/>
              <w:tr2bl w:val="nil"/>
            </w:tcBorders>
            <w:noWrap w:val="0"/>
            <w:vAlign w:val="center"/>
          </w:tcPr>
          <w:p w14:paraId="5D0038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移动</w:t>
            </w:r>
          </w:p>
        </w:tc>
        <w:tc>
          <w:tcPr>
            <w:tcW w:w="1422" w:type="dxa"/>
            <w:tcBorders>
              <w:tl2br w:val="nil"/>
              <w:tr2bl w:val="nil"/>
            </w:tcBorders>
            <w:noWrap w:val="0"/>
            <w:vAlign w:val="center"/>
          </w:tcPr>
          <w:p w14:paraId="040C5B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199AE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1D0799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喜鹊</w:t>
            </w:r>
          </w:p>
        </w:tc>
        <w:tc>
          <w:tcPr>
            <w:tcW w:w="1277" w:type="dxa"/>
            <w:tcBorders>
              <w:tl2br w:val="nil"/>
              <w:tr2bl w:val="nil"/>
            </w:tcBorders>
            <w:noWrap w:val="0"/>
            <w:vAlign w:val="center"/>
          </w:tcPr>
          <w:p w14:paraId="16237A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278" w:type="dxa"/>
            <w:vMerge w:val="continue"/>
            <w:tcBorders>
              <w:tl2br w:val="nil"/>
              <w:tr2bl w:val="nil"/>
            </w:tcBorders>
            <w:noWrap w:val="0"/>
            <w:vAlign w:val="center"/>
          </w:tcPr>
          <w:p w14:paraId="285BCE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420" w:type="dxa"/>
            <w:tcBorders>
              <w:tl2br w:val="nil"/>
              <w:tr2bl w:val="nil"/>
            </w:tcBorders>
            <w:noWrap w:val="0"/>
            <w:vAlign w:val="center"/>
          </w:tcPr>
          <w:p w14:paraId="4C3542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420" w:type="dxa"/>
            <w:gridSpan w:val="2"/>
            <w:tcBorders>
              <w:tl2br w:val="nil"/>
              <w:tr2bl w:val="nil"/>
            </w:tcBorders>
            <w:noWrap w:val="0"/>
            <w:vAlign w:val="center"/>
          </w:tcPr>
          <w:p w14:paraId="2A440F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移动</w:t>
            </w:r>
          </w:p>
        </w:tc>
        <w:tc>
          <w:tcPr>
            <w:tcW w:w="1422" w:type="dxa"/>
            <w:tcBorders>
              <w:tl2br w:val="nil"/>
              <w:tr2bl w:val="nil"/>
            </w:tcBorders>
            <w:noWrap w:val="0"/>
            <w:vAlign w:val="center"/>
          </w:tcPr>
          <w:p w14:paraId="58846C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7234C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tcBorders>
              <w:tl2br w:val="nil"/>
              <w:tr2bl w:val="nil"/>
            </w:tcBorders>
            <w:shd w:val="clear" w:color="auto" w:fill="auto"/>
            <w:noWrap w:val="0"/>
            <w:vAlign w:val="center"/>
          </w:tcPr>
          <w:p w14:paraId="46E6C52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zh-CN"/>
              </w:rPr>
              <w:t>灰斑鸠</w:t>
            </w:r>
          </w:p>
        </w:tc>
        <w:tc>
          <w:tcPr>
            <w:tcW w:w="1277" w:type="dxa"/>
            <w:tcBorders>
              <w:tl2br w:val="nil"/>
              <w:tr2bl w:val="nil"/>
            </w:tcBorders>
            <w:shd w:val="clear" w:color="auto" w:fill="auto"/>
            <w:noWrap w:val="0"/>
            <w:vAlign w:val="center"/>
          </w:tcPr>
          <w:p w14:paraId="4B61A4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w:t>
            </w:r>
          </w:p>
        </w:tc>
        <w:tc>
          <w:tcPr>
            <w:tcW w:w="1278" w:type="dxa"/>
            <w:vMerge w:val="continue"/>
            <w:tcBorders>
              <w:tl2br w:val="nil"/>
              <w:tr2bl w:val="nil"/>
            </w:tcBorders>
            <w:shd w:val="clear" w:color="auto" w:fill="auto"/>
            <w:noWrap w:val="0"/>
            <w:vAlign w:val="center"/>
          </w:tcPr>
          <w:p w14:paraId="274AB5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420" w:type="dxa"/>
            <w:tcBorders>
              <w:tl2br w:val="nil"/>
              <w:tr2bl w:val="nil"/>
            </w:tcBorders>
            <w:shd w:val="clear" w:color="auto" w:fill="auto"/>
            <w:noWrap w:val="0"/>
            <w:vAlign w:val="center"/>
          </w:tcPr>
          <w:p w14:paraId="1D0FA4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c>
          <w:tcPr>
            <w:tcW w:w="1420" w:type="dxa"/>
            <w:gridSpan w:val="2"/>
            <w:tcBorders>
              <w:tl2br w:val="nil"/>
              <w:tr2bl w:val="nil"/>
            </w:tcBorders>
            <w:shd w:val="clear" w:color="auto" w:fill="auto"/>
            <w:noWrap w:val="0"/>
            <w:vAlign w:val="center"/>
          </w:tcPr>
          <w:p w14:paraId="1128DB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静止</w:t>
            </w:r>
          </w:p>
        </w:tc>
        <w:tc>
          <w:tcPr>
            <w:tcW w:w="1422" w:type="dxa"/>
            <w:tcBorders>
              <w:tl2br w:val="nil"/>
              <w:tr2bl w:val="nil"/>
            </w:tcBorders>
            <w:noWrap w:val="0"/>
            <w:vAlign w:val="center"/>
          </w:tcPr>
          <w:p w14:paraId="6654DB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14BDD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522" w:type="dxa"/>
            <w:gridSpan w:val="7"/>
            <w:tcBorders>
              <w:tl2br w:val="nil"/>
              <w:tr2bl w:val="nil"/>
            </w:tcBorders>
            <w:noWrap w:val="0"/>
            <w:vAlign w:val="center"/>
          </w:tcPr>
          <w:p w14:paraId="44D38C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bCs/>
                <w:color w:val="auto"/>
                <w:sz w:val="21"/>
                <w:szCs w:val="21"/>
                <w:highlight w:val="none"/>
                <w:lang w:val="en-US" w:eastAsia="zh-CN"/>
              </w:rPr>
              <w:t>动物样线调查表（2）</w:t>
            </w:r>
          </w:p>
        </w:tc>
      </w:tr>
      <w:tr w14:paraId="2CB6A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2131CB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eastAsia="zh-CN"/>
              </w:rPr>
              <w:t>样线编号</w:t>
            </w:r>
          </w:p>
        </w:tc>
        <w:tc>
          <w:tcPr>
            <w:tcW w:w="2555" w:type="dxa"/>
            <w:gridSpan w:val="2"/>
            <w:tcBorders>
              <w:tl2br w:val="nil"/>
              <w:tr2bl w:val="nil"/>
            </w:tcBorders>
            <w:noWrap w:val="0"/>
            <w:vAlign w:val="center"/>
          </w:tcPr>
          <w:p w14:paraId="34FA3B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Times New Roman" w:cs="Times New Roman"/>
                <w:color w:val="auto"/>
                <w:sz w:val="21"/>
                <w:szCs w:val="21"/>
                <w:highlight w:val="none"/>
              </w:rPr>
              <w:t>样线2</w:t>
            </w:r>
          </w:p>
        </w:tc>
        <w:tc>
          <w:tcPr>
            <w:tcW w:w="1931" w:type="dxa"/>
            <w:gridSpan w:val="2"/>
            <w:tcBorders>
              <w:tl2br w:val="nil"/>
              <w:tr2bl w:val="nil"/>
            </w:tcBorders>
            <w:noWrap w:val="0"/>
            <w:vAlign w:val="center"/>
          </w:tcPr>
          <w:p w14:paraId="2F32C7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rPr>
              <w:t>地点</w:t>
            </w:r>
          </w:p>
        </w:tc>
        <w:tc>
          <w:tcPr>
            <w:tcW w:w="2331" w:type="dxa"/>
            <w:gridSpan w:val="2"/>
            <w:tcBorders>
              <w:tl2br w:val="nil"/>
              <w:tr2bl w:val="nil"/>
            </w:tcBorders>
            <w:noWrap w:val="0"/>
            <w:vAlign w:val="center"/>
          </w:tcPr>
          <w:p w14:paraId="7DD6EB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eastAsia" w:cs="Times New Roman"/>
                <w:color w:val="auto"/>
                <w:sz w:val="21"/>
                <w:szCs w:val="21"/>
                <w:highlight w:val="none"/>
                <w:lang w:val="en-US" w:eastAsia="zh-CN"/>
              </w:rPr>
              <w:t>彭阳县</w:t>
            </w:r>
          </w:p>
        </w:tc>
      </w:tr>
      <w:tr w14:paraId="1AF10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0EC1EA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eastAsia="zh-CN"/>
              </w:rPr>
              <w:t>日期</w:t>
            </w:r>
          </w:p>
        </w:tc>
        <w:tc>
          <w:tcPr>
            <w:tcW w:w="2555" w:type="dxa"/>
            <w:gridSpan w:val="2"/>
            <w:tcBorders>
              <w:tl2br w:val="nil"/>
              <w:tr2bl w:val="nil"/>
            </w:tcBorders>
            <w:noWrap w:val="0"/>
            <w:vAlign w:val="center"/>
          </w:tcPr>
          <w:p w14:paraId="509CE2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eastAsia" w:cs="Times New Roman"/>
                <w:color w:val="auto"/>
                <w:kern w:val="0"/>
                <w:sz w:val="21"/>
                <w:szCs w:val="21"/>
                <w:highlight w:val="none"/>
                <w:vertAlign w:val="baseline"/>
                <w:lang w:eastAsia="zh-CN"/>
              </w:rPr>
              <w:t>2025年10月21日</w:t>
            </w:r>
          </w:p>
        </w:tc>
        <w:tc>
          <w:tcPr>
            <w:tcW w:w="1931" w:type="dxa"/>
            <w:gridSpan w:val="2"/>
            <w:tcBorders>
              <w:tl2br w:val="nil"/>
              <w:tr2bl w:val="nil"/>
            </w:tcBorders>
            <w:noWrap w:val="0"/>
            <w:vAlign w:val="center"/>
          </w:tcPr>
          <w:p w14:paraId="49F502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rPr>
              <w:t>天气</w:t>
            </w:r>
          </w:p>
        </w:tc>
        <w:tc>
          <w:tcPr>
            <w:tcW w:w="2331" w:type="dxa"/>
            <w:gridSpan w:val="2"/>
            <w:tcBorders>
              <w:tl2br w:val="nil"/>
              <w:tr2bl w:val="nil"/>
            </w:tcBorders>
            <w:noWrap w:val="0"/>
            <w:vAlign w:val="center"/>
          </w:tcPr>
          <w:p w14:paraId="612784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szCs w:val="21"/>
                <w:highlight w:val="none"/>
              </w:rPr>
              <w:sym w:font="Wingdings 2" w:char="0052"/>
            </w:r>
            <w:r>
              <w:rPr>
                <w:rFonts w:hint="default" w:ascii="Times New Roman" w:hAnsi="Times New Roman" w:eastAsia="宋体" w:cs="Times New Roman"/>
                <w:color w:val="auto"/>
                <w:kern w:val="0"/>
                <w:sz w:val="21"/>
                <w:szCs w:val="21"/>
                <w:highlight w:val="none"/>
                <w:lang w:val="en-US" w:eastAsia="zh-CN"/>
              </w:rPr>
              <w:t>晴口阴口雾口小雨口晴转阴口阴转晴口其他</w:t>
            </w:r>
          </w:p>
        </w:tc>
      </w:tr>
      <w:tr w14:paraId="4A036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05" w:type="dxa"/>
            <w:tcBorders>
              <w:tl2br w:val="nil"/>
              <w:tr2bl w:val="nil"/>
            </w:tcBorders>
            <w:noWrap w:val="0"/>
            <w:vAlign w:val="center"/>
          </w:tcPr>
          <w:p w14:paraId="205809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样线起点</w:t>
            </w:r>
          </w:p>
        </w:tc>
        <w:tc>
          <w:tcPr>
            <w:tcW w:w="1277" w:type="dxa"/>
            <w:tcBorders>
              <w:tl2br w:val="nil"/>
              <w:tr2bl w:val="nil"/>
            </w:tcBorders>
            <w:noWrap w:val="0"/>
            <w:vAlign w:val="center"/>
          </w:tcPr>
          <w:p w14:paraId="7B2EACF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106.442811</w:t>
            </w:r>
          </w:p>
        </w:tc>
        <w:tc>
          <w:tcPr>
            <w:tcW w:w="1278" w:type="dxa"/>
            <w:tcBorders>
              <w:tl2br w:val="nil"/>
              <w:tr2bl w:val="nil"/>
            </w:tcBorders>
            <w:noWrap w:val="0"/>
            <w:vAlign w:val="center"/>
          </w:tcPr>
          <w:p w14:paraId="40E0AE2F">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35.909373</w:t>
            </w:r>
          </w:p>
        </w:tc>
        <w:tc>
          <w:tcPr>
            <w:tcW w:w="1931" w:type="dxa"/>
            <w:gridSpan w:val="2"/>
            <w:tcBorders>
              <w:tl2br w:val="nil"/>
              <w:tr2bl w:val="nil"/>
            </w:tcBorders>
            <w:noWrap w:val="0"/>
            <w:vAlign w:val="center"/>
          </w:tcPr>
          <w:p w14:paraId="3EBE44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Cs w:val="21"/>
                <w:highlight w:val="none"/>
                <w:lang w:val="en-US" w:eastAsia="zh-CN"/>
              </w:rPr>
              <w:t>海拔（m）</w:t>
            </w:r>
          </w:p>
        </w:tc>
        <w:tc>
          <w:tcPr>
            <w:tcW w:w="2331" w:type="dxa"/>
            <w:gridSpan w:val="2"/>
            <w:tcBorders>
              <w:tl2br w:val="nil"/>
              <w:tr2bl w:val="nil"/>
            </w:tcBorders>
            <w:noWrap w:val="0"/>
            <w:vAlign w:val="center"/>
          </w:tcPr>
          <w:p w14:paraId="38D6A7D5">
            <w:pPr>
              <w:pStyle w:val="60"/>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1635.5</w:t>
            </w:r>
          </w:p>
        </w:tc>
      </w:tr>
      <w:tr w14:paraId="2748C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1459F1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样线终点</w:t>
            </w:r>
          </w:p>
        </w:tc>
        <w:tc>
          <w:tcPr>
            <w:tcW w:w="1277" w:type="dxa"/>
            <w:tcBorders>
              <w:tl2br w:val="nil"/>
              <w:tr2bl w:val="nil"/>
            </w:tcBorders>
            <w:noWrap w:val="0"/>
            <w:vAlign w:val="center"/>
          </w:tcPr>
          <w:p w14:paraId="0B05823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106.446232</w:t>
            </w:r>
          </w:p>
        </w:tc>
        <w:tc>
          <w:tcPr>
            <w:tcW w:w="1278" w:type="dxa"/>
            <w:tcBorders>
              <w:tl2br w:val="nil"/>
              <w:tr2bl w:val="nil"/>
            </w:tcBorders>
            <w:noWrap w:val="0"/>
            <w:vAlign w:val="center"/>
          </w:tcPr>
          <w:p w14:paraId="397A3FD0">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35.909851</w:t>
            </w:r>
          </w:p>
        </w:tc>
        <w:tc>
          <w:tcPr>
            <w:tcW w:w="1931" w:type="dxa"/>
            <w:gridSpan w:val="2"/>
            <w:tcBorders>
              <w:tl2br w:val="nil"/>
              <w:tr2bl w:val="nil"/>
            </w:tcBorders>
            <w:noWrap w:val="0"/>
            <w:vAlign w:val="center"/>
          </w:tcPr>
          <w:p w14:paraId="54711F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海拔（m）</w:t>
            </w:r>
          </w:p>
        </w:tc>
        <w:tc>
          <w:tcPr>
            <w:tcW w:w="2331" w:type="dxa"/>
            <w:gridSpan w:val="2"/>
            <w:tcBorders>
              <w:tl2br w:val="nil"/>
              <w:tr2bl w:val="nil"/>
            </w:tcBorders>
            <w:noWrap w:val="0"/>
            <w:vAlign w:val="center"/>
          </w:tcPr>
          <w:p w14:paraId="332F88D7">
            <w:pPr>
              <w:pStyle w:val="60"/>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1627.2</w:t>
            </w:r>
          </w:p>
        </w:tc>
      </w:tr>
      <w:tr w14:paraId="4BFD3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14E177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Cs w:val="21"/>
                <w:highlight w:val="none"/>
                <w:lang w:val="en-US" w:eastAsia="zh-CN"/>
              </w:rPr>
              <w:t>起始-结束时间（h）</w:t>
            </w:r>
          </w:p>
        </w:tc>
        <w:tc>
          <w:tcPr>
            <w:tcW w:w="2555" w:type="dxa"/>
            <w:gridSpan w:val="2"/>
            <w:tcBorders>
              <w:tl2br w:val="nil"/>
              <w:tr2bl w:val="nil"/>
            </w:tcBorders>
            <w:noWrap w:val="0"/>
            <w:vAlign w:val="center"/>
          </w:tcPr>
          <w:p w14:paraId="495743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0.5</w:t>
            </w:r>
          </w:p>
        </w:tc>
        <w:tc>
          <w:tcPr>
            <w:tcW w:w="1931" w:type="dxa"/>
            <w:gridSpan w:val="2"/>
            <w:tcBorders>
              <w:tl2br w:val="nil"/>
              <w:tr2bl w:val="nil"/>
            </w:tcBorders>
            <w:noWrap w:val="0"/>
            <w:vAlign w:val="center"/>
          </w:tcPr>
          <w:p w14:paraId="66C259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样线长度（m）</w:t>
            </w:r>
          </w:p>
        </w:tc>
        <w:tc>
          <w:tcPr>
            <w:tcW w:w="2331" w:type="dxa"/>
            <w:gridSpan w:val="2"/>
            <w:tcBorders>
              <w:tl2br w:val="nil"/>
              <w:tr2bl w:val="nil"/>
            </w:tcBorders>
            <w:noWrap w:val="0"/>
            <w:vAlign w:val="center"/>
          </w:tcPr>
          <w:p w14:paraId="329E89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487</w:t>
            </w:r>
          </w:p>
        </w:tc>
      </w:tr>
      <w:tr w14:paraId="0EE33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63C6D93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中文名</w:t>
            </w:r>
          </w:p>
        </w:tc>
        <w:tc>
          <w:tcPr>
            <w:tcW w:w="1277" w:type="dxa"/>
            <w:tcBorders>
              <w:tl2br w:val="nil"/>
              <w:tr2bl w:val="nil"/>
            </w:tcBorders>
            <w:noWrap w:val="0"/>
            <w:vAlign w:val="center"/>
          </w:tcPr>
          <w:p w14:paraId="346346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数量</w:t>
            </w:r>
          </w:p>
        </w:tc>
        <w:tc>
          <w:tcPr>
            <w:tcW w:w="1278" w:type="dxa"/>
            <w:tcBorders>
              <w:tl2br w:val="nil"/>
              <w:tr2bl w:val="nil"/>
            </w:tcBorders>
            <w:noWrap w:val="0"/>
            <w:vAlign w:val="center"/>
          </w:tcPr>
          <w:p w14:paraId="6CB30B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生境类型</w:t>
            </w:r>
          </w:p>
        </w:tc>
        <w:tc>
          <w:tcPr>
            <w:tcW w:w="1420" w:type="dxa"/>
            <w:tcBorders>
              <w:tl2br w:val="nil"/>
              <w:tr2bl w:val="nil"/>
            </w:tcBorders>
            <w:noWrap w:val="0"/>
            <w:vAlign w:val="center"/>
          </w:tcPr>
          <w:p w14:paraId="20355E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飞行高度（m）</w:t>
            </w:r>
          </w:p>
        </w:tc>
        <w:tc>
          <w:tcPr>
            <w:tcW w:w="1420" w:type="dxa"/>
            <w:gridSpan w:val="2"/>
            <w:tcBorders>
              <w:tl2br w:val="nil"/>
              <w:tr2bl w:val="nil"/>
            </w:tcBorders>
            <w:noWrap w:val="0"/>
            <w:vAlign w:val="center"/>
          </w:tcPr>
          <w:p w14:paraId="457438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行为</w:t>
            </w:r>
          </w:p>
        </w:tc>
        <w:tc>
          <w:tcPr>
            <w:tcW w:w="1422" w:type="dxa"/>
            <w:tcBorders>
              <w:tl2br w:val="nil"/>
              <w:tr2bl w:val="nil"/>
            </w:tcBorders>
            <w:noWrap w:val="0"/>
            <w:vAlign w:val="center"/>
          </w:tcPr>
          <w:p w14:paraId="0BF3ED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w:t>
            </w:r>
          </w:p>
        </w:tc>
      </w:tr>
      <w:tr w14:paraId="3EF62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705" w:type="dxa"/>
            <w:tcBorders>
              <w:tl2br w:val="nil"/>
              <w:tr2bl w:val="nil"/>
            </w:tcBorders>
            <w:noWrap w:val="0"/>
            <w:vAlign w:val="center"/>
          </w:tcPr>
          <w:p w14:paraId="75D254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喜鹊</w:t>
            </w:r>
          </w:p>
        </w:tc>
        <w:tc>
          <w:tcPr>
            <w:tcW w:w="1277" w:type="dxa"/>
            <w:tcBorders>
              <w:tl2br w:val="nil"/>
              <w:tr2bl w:val="nil"/>
            </w:tcBorders>
            <w:noWrap w:val="0"/>
            <w:vAlign w:val="center"/>
          </w:tcPr>
          <w:p w14:paraId="23CD5E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278" w:type="dxa"/>
            <w:vMerge w:val="restart"/>
            <w:tcBorders>
              <w:tl2br w:val="nil"/>
              <w:tr2bl w:val="nil"/>
            </w:tcBorders>
            <w:noWrap w:val="0"/>
            <w:vAlign w:val="center"/>
          </w:tcPr>
          <w:p w14:paraId="73A0B8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林地</w:t>
            </w:r>
          </w:p>
        </w:tc>
        <w:tc>
          <w:tcPr>
            <w:tcW w:w="1420" w:type="dxa"/>
            <w:tcBorders>
              <w:tl2br w:val="nil"/>
              <w:tr2bl w:val="nil"/>
            </w:tcBorders>
            <w:noWrap w:val="0"/>
            <w:vAlign w:val="center"/>
          </w:tcPr>
          <w:p w14:paraId="503A51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420" w:type="dxa"/>
            <w:gridSpan w:val="2"/>
            <w:tcBorders>
              <w:tl2br w:val="nil"/>
              <w:tr2bl w:val="nil"/>
            </w:tcBorders>
            <w:noWrap w:val="0"/>
            <w:vAlign w:val="center"/>
          </w:tcPr>
          <w:p w14:paraId="1CBA8C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移动</w:t>
            </w:r>
          </w:p>
        </w:tc>
        <w:tc>
          <w:tcPr>
            <w:tcW w:w="1422" w:type="dxa"/>
            <w:tcBorders>
              <w:tl2br w:val="nil"/>
              <w:tr2bl w:val="nil"/>
            </w:tcBorders>
            <w:noWrap w:val="0"/>
            <w:vAlign w:val="center"/>
          </w:tcPr>
          <w:p w14:paraId="06C94E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18F89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tcBorders>
              <w:tl2br w:val="nil"/>
              <w:tr2bl w:val="nil"/>
            </w:tcBorders>
            <w:noWrap w:val="0"/>
            <w:vAlign w:val="center"/>
          </w:tcPr>
          <w:p w14:paraId="2D6CF6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蒙古兔</w:t>
            </w:r>
          </w:p>
        </w:tc>
        <w:tc>
          <w:tcPr>
            <w:tcW w:w="1277" w:type="dxa"/>
            <w:tcBorders>
              <w:tl2br w:val="nil"/>
              <w:tr2bl w:val="nil"/>
            </w:tcBorders>
            <w:noWrap w:val="0"/>
            <w:vAlign w:val="center"/>
          </w:tcPr>
          <w:p w14:paraId="33AD6B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278" w:type="dxa"/>
            <w:vMerge w:val="continue"/>
            <w:tcBorders>
              <w:tl2br w:val="nil"/>
              <w:tr2bl w:val="nil"/>
            </w:tcBorders>
            <w:noWrap w:val="0"/>
            <w:vAlign w:val="center"/>
          </w:tcPr>
          <w:p w14:paraId="1079AA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420" w:type="dxa"/>
            <w:tcBorders>
              <w:tl2br w:val="nil"/>
              <w:tr2bl w:val="nil"/>
            </w:tcBorders>
            <w:noWrap w:val="0"/>
            <w:vAlign w:val="center"/>
          </w:tcPr>
          <w:p w14:paraId="37D047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420" w:type="dxa"/>
            <w:gridSpan w:val="2"/>
            <w:tcBorders>
              <w:tl2br w:val="nil"/>
              <w:tr2bl w:val="nil"/>
            </w:tcBorders>
            <w:noWrap w:val="0"/>
            <w:vAlign w:val="center"/>
          </w:tcPr>
          <w:p w14:paraId="53A0C0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移动</w:t>
            </w:r>
          </w:p>
        </w:tc>
        <w:tc>
          <w:tcPr>
            <w:tcW w:w="1422" w:type="dxa"/>
            <w:tcBorders>
              <w:tl2br w:val="nil"/>
              <w:tr2bl w:val="nil"/>
            </w:tcBorders>
            <w:noWrap w:val="0"/>
            <w:vAlign w:val="center"/>
          </w:tcPr>
          <w:p w14:paraId="14BECB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3C0A2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2CC679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77" w:type="dxa"/>
            <w:tcBorders>
              <w:tl2br w:val="nil"/>
              <w:tr2bl w:val="nil"/>
            </w:tcBorders>
            <w:noWrap w:val="0"/>
            <w:vAlign w:val="center"/>
          </w:tcPr>
          <w:p w14:paraId="7C59F4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78" w:type="dxa"/>
            <w:tcBorders>
              <w:tl2br w:val="nil"/>
              <w:tr2bl w:val="nil"/>
            </w:tcBorders>
            <w:noWrap w:val="0"/>
            <w:vAlign w:val="center"/>
          </w:tcPr>
          <w:p w14:paraId="7DD698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420" w:type="dxa"/>
            <w:tcBorders>
              <w:tl2br w:val="nil"/>
              <w:tr2bl w:val="nil"/>
            </w:tcBorders>
            <w:noWrap w:val="0"/>
            <w:vAlign w:val="center"/>
          </w:tcPr>
          <w:p w14:paraId="58F1BF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420" w:type="dxa"/>
            <w:gridSpan w:val="2"/>
            <w:tcBorders>
              <w:tl2br w:val="nil"/>
              <w:tr2bl w:val="nil"/>
            </w:tcBorders>
            <w:noWrap w:val="0"/>
            <w:vAlign w:val="center"/>
          </w:tcPr>
          <w:p w14:paraId="26B14C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422" w:type="dxa"/>
            <w:tcBorders>
              <w:tl2br w:val="nil"/>
              <w:tr2bl w:val="nil"/>
            </w:tcBorders>
            <w:noWrap w:val="0"/>
            <w:vAlign w:val="center"/>
          </w:tcPr>
          <w:p w14:paraId="786DB7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295DA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522" w:type="dxa"/>
            <w:gridSpan w:val="7"/>
            <w:tcBorders>
              <w:tl2br w:val="nil"/>
              <w:tr2bl w:val="nil"/>
            </w:tcBorders>
            <w:noWrap w:val="0"/>
            <w:vAlign w:val="center"/>
          </w:tcPr>
          <w:p w14:paraId="74E0B2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b/>
                <w:bCs/>
                <w:color w:val="auto"/>
                <w:sz w:val="21"/>
                <w:szCs w:val="21"/>
                <w:highlight w:val="none"/>
                <w:lang w:val="en-US" w:eastAsia="zh-CN"/>
              </w:rPr>
              <w:t>动物样线调查表（3）</w:t>
            </w:r>
          </w:p>
        </w:tc>
      </w:tr>
      <w:tr w14:paraId="1929D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319081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eastAsia="zh-CN"/>
              </w:rPr>
              <w:t>样线编号</w:t>
            </w:r>
          </w:p>
        </w:tc>
        <w:tc>
          <w:tcPr>
            <w:tcW w:w="2555" w:type="dxa"/>
            <w:gridSpan w:val="2"/>
            <w:tcBorders>
              <w:tl2br w:val="nil"/>
              <w:tr2bl w:val="nil"/>
            </w:tcBorders>
            <w:noWrap w:val="0"/>
            <w:vAlign w:val="center"/>
          </w:tcPr>
          <w:p w14:paraId="6A8A40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Times New Roman" w:cs="Times New Roman"/>
                <w:color w:val="auto"/>
                <w:sz w:val="21"/>
                <w:szCs w:val="21"/>
                <w:highlight w:val="none"/>
              </w:rPr>
              <w:t>样线</w:t>
            </w:r>
            <w:r>
              <w:rPr>
                <w:rFonts w:hint="eastAsia" w:eastAsia="宋体" w:cs="Times New Roman"/>
                <w:color w:val="auto"/>
                <w:sz w:val="21"/>
                <w:szCs w:val="21"/>
                <w:highlight w:val="none"/>
                <w:lang w:val="en-US" w:eastAsia="zh-CN"/>
              </w:rPr>
              <w:t>3</w:t>
            </w:r>
          </w:p>
        </w:tc>
        <w:tc>
          <w:tcPr>
            <w:tcW w:w="1931" w:type="dxa"/>
            <w:gridSpan w:val="2"/>
            <w:tcBorders>
              <w:tl2br w:val="nil"/>
              <w:tr2bl w:val="nil"/>
            </w:tcBorders>
            <w:noWrap w:val="0"/>
            <w:vAlign w:val="center"/>
          </w:tcPr>
          <w:p w14:paraId="6BBD22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rPr>
              <w:t>地点</w:t>
            </w:r>
          </w:p>
        </w:tc>
        <w:tc>
          <w:tcPr>
            <w:tcW w:w="2331" w:type="dxa"/>
            <w:gridSpan w:val="2"/>
            <w:tcBorders>
              <w:tl2br w:val="nil"/>
              <w:tr2bl w:val="nil"/>
            </w:tcBorders>
            <w:noWrap w:val="0"/>
            <w:vAlign w:val="center"/>
          </w:tcPr>
          <w:p w14:paraId="7BC0CE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eastAsia" w:eastAsia="宋体" w:cs="Times New Roman"/>
                <w:color w:val="auto"/>
                <w:sz w:val="21"/>
                <w:szCs w:val="21"/>
                <w:highlight w:val="none"/>
                <w:lang w:val="en-US" w:eastAsia="zh-CN"/>
              </w:rPr>
              <w:t>彭阳县</w:t>
            </w:r>
          </w:p>
        </w:tc>
      </w:tr>
      <w:tr w14:paraId="78A2E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23C36D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eastAsia="zh-CN"/>
              </w:rPr>
              <w:t>日期</w:t>
            </w:r>
          </w:p>
        </w:tc>
        <w:tc>
          <w:tcPr>
            <w:tcW w:w="2555" w:type="dxa"/>
            <w:gridSpan w:val="2"/>
            <w:tcBorders>
              <w:tl2br w:val="nil"/>
              <w:tr2bl w:val="nil"/>
            </w:tcBorders>
            <w:noWrap w:val="0"/>
            <w:vAlign w:val="center"/>
          </w:tcPr>
          <w:p w14:paraId="70F443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eastAsia" w:eastAsia="宋体" w:cs="Times New Roman"/>
                <w:color w:val="auto"/>
                <w:kern w:val="0"/>
                <w:sz w:val="21"/>
                <w:szCs w:val="21"/>
                <w:highlight w:val="none"/>
                <w:vertAlign w:val="baseline"/>
                <w:lang w:eastAsia="zh-CN"/>
              </w:rPr>
              <w:t>2025年10月21日</w:t>
            </w:r>
          </w:p>
        </w:tc>
        <w:tc>
          <w:tcPr>
            <w:tcW w:w="1931" w:type="dxa"/>
            <w:gridSpan w:val="2"/>
            <w:tcBorders>
              <w:tl2br w:val="nil"/>
              <w:tr2bl w:val="nil"/>
            </w:tcBorders>
            <w:noWrap w:val="0"/>
            <w:vAlign w:val="center"/>
          </w:tcPr>
          <w:p w14:paraId="4B4248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kern w:val="0"/>
                <w:sz w:val="21"/>
                <w:szCs w:val="21"/>
                <w:highlight w:val="none"/>
                <w:lang w:val="en-US" w:eastAsia="zh-CN"/>
              </w:rPr>
              <w:t>天气</w:t>
            </w:r>
          </w:p>
        </w:tc>
        <w:tc>
          <w:tcPr>
            <w:tcW w:w="2331" w:type="dxa"/>
            <w:gridSpan w:val="2"/>
            <w:tcBorders>
              <w:tl2br w:val="nil"/>
              <w:tr2bl w:val="nil"/>
            </w:tcBorders>
            <w:noWrap w:val="0"/>
            <w:vAlign w:val="center"/>
          </w:tcPr>
          <w:p w14:paraId="047818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eastAsia="宋体" w:cs="Times New Roman"/>
                <w:color w:val="auto"/>
                <w:szCs w:val="21"/>
                <w:highlight w:val="none"/>
              </w:rPr>
              <w:sym w:font="Wingdings 2" w:char="0052"/>
            </w:r>
            <w:r>
              <w:rPr>
                <w:rFonts w:hint="default" w:ascii="Times New Roman" w:hAnsi="Times New Roman" w:eastAsia="宋体" w:cs="Times New Roman"/>
                <w:color w:val="auto"/>
                <w:kern w:val="0"/>
                <w:sz w:val="21"/>
                <w:szCs w:val="21"/>
                <w:highlight w:val="none"/>
                <w:lang w:val="en-US" w:eastAsia="zh-CN"/>
              </w:rPr>
              <w:t>晴口阴口雾口小雨口晴转阴口阴转晴口其他</w:t>
            </w:r>
          </w:p>
        </w:tc>
      </w:tr>
      <w:tr w14:paraId="2FAE6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05" w:type="dxa"/>
            <w:tcBorders>
              <w:tl2br w:val="nil"/>
              <w:tr2bl w:val="nil"/>
            </w:tcBorders>
            <w:noWrap w:val="0"/>
            <w:vAlign w:val="center"/>
          </w:tcPr>
          <w:p w14:paraId="5CF165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样线起点</w:t>
            </w:r>
          </w:p>
        </w:tc>
        <w:tc>
          <w:tcPr>
            <w:tcW w:w="1277" w:type="dxa"/>
            <w:tcBorders>
              <w:tl2br w:val="nil"/>
              <w:tr2bl w:val="nil"/>
            </w:tcBorders>
            <w:noWrap w:val="0"/>
            <w:vAlign w:val="center"/>
          </w:tcPr>
          <w:p w14:paraId="1CE5964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106.495409</w:t>
            </w:r>
          </w:p>
        </w:tc>
        <w:tc>
          <w:tcPr>
            <w:tcW w:w="1278" w:type="dxa"/>
            <w:tcBorders>
              <w:tl2br w:val="nil"/>
              <w:tr2bl w:val="nil"/>
            </w:tcBorders>
            <w:noWrap w:val="0"/>
            <w:vAlign w:val="center"/>
          </w:tcPr>
          <w:p w14:paraId="324F8C0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35.924057</w:t>
            </w:r>
          </w:p>
        </w:tc>
        <w:tc>
          <w:tcPr>
            <w:tcW w:w="1931" w:type="dxa"/>
            <w:gridSpan w:val="2"/>
            <w:tcBorders>
              <w:tl2br w:val="nil"/>
              <w:tr2bl w:val="nil"/>
            </w:tcBorders>
            <w:noWrap w:val="0"/>
            <w:vAlign w:val="center"/>
          </w:tcPr>
          <w:p w14:paraId="2FB0A6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Cs w:val="21"/>
                <w:highlight w:val="none"/>
                <w:lang w:val="en-US" w:eastAsia="zh-CN"/>
              </w:rPr>
              <w:t>海拔（m）</w:t>
            </w:r>
          </w:p>
        </w:tc>
        <w:tc>
          <w:tcPr>
            <w:tcW w:w="2331" w:type="dxa"/>
            <w:gridSpan w:val="2"/>
            <w:tcBorders>
              <w:tl2br w:val="nil"/>
              <w:tr2bl w:val="nil"/>
            </w:tcBorders>
            <w:shd w:val="clear" w:color="auto" w:fill="auto"/>
            <w:noWrap w:val="0"/>
            <w:vAlign w:val="center"/>
          </w:tcPr>
          <w:p w14:paraId="29C4CDA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1538.3</w:t>
            </w:r>
          </w:p>
        </w:tc>
      </w:tr>
      <w:tr w14:paraId="63573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573B3C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样线终点</w:t>
            </w:r>
          </w:p>
        </w:tc>
        <w:tc>
          <w:tcPr>
            <w:tcW w:w="1277" w:type="dxa"/>
            <w:tcBorders>
              <w:tl2br w:val="nil"/>
              <w:tr2bl w:val="nil"/>
            </w:tcBorders>
            <w:noWrap w:val="0"/>
            <w:vAlign w:val="center"/>
          </w:tcPr>
          <w:p w14:paraId="24418751">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106.502147</w:t>
            </w:r>
          </w:p>
        </w:tc>
        <w:tc>
          <w:tcPr>
            <w:tcW w:w="1278" w:type="dxa"/>
            <w:tcBorders>
              <w:tl2br w:val="nil"/>
              <w:tr2bl w:val="nil"/>
            </w:tcBorders>
            <w:noWrap w:val="0"/>
            <w:vAlign w:val="center"/>
          </w:tcPr>
          <w:p w14:paraId="0C43378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20" w:leftChars="-50" w:right="-120" w:rightChars="-5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35.924049</w:t>
            </w:r>
          </w:p>
        </w:tc>
        <w:tc>
          <w:tcPr>
            <w:tcW w:w="1931" w:type="dxa"/>
            <w:gridSpan w:val="2"/>
            <w:tcBorders>
              <w:tl2br w:val="nil"/>
              <w:tr2bl w:val="nil"/>
            </w:tcBorders>
            <w:noWrap w:val="0"/>
            <w:vAlign w:val="center"/>
          </w:tcPr>
          <w:p w14:paraId="42512D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海拔（m）</w:t>
            </w:r>
          </w:p>
        </w:tc>
        <w:tc>
          <w:tcPr>
            <w:tcW w:w="2331" w:type="dxa"/>
            <w:gridSpan w:val="2"/>
            <w:tcBorders>
              <w:tl2br w:val="nil"/>
              <w:tr2bl w:val="nil"/>
            </w:tcBorders>
            <w:noWrap w:val="0"/>
            <w:vAlign w:val="center"/>
          </w:tcPr>
          <w:p w14:paraId="031999CC">
            <w:pPr>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1609.2</w:t>
            </w:r>
          </w:p>
        </w:tc>
      </w:tr>
      <w:tr w14:paraId="3192C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34FDD6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Cs w:val="21"/>
                <w:highlight w:val="none"/>
                <w:lang w:val="en-US" w:eastAsia="zh-CN"/>
              </w:rPr>
              <w:t>起始-结束时间（h）</w:t>
            </w:r>
          </w:p>
        </w:tc>
        <w:tc>
          <w:tcPr>
            <w:tcW w:w="2555" w:type="dxa"/>
            <w:gridSpan w:val="2"/>
            <w:tcBorders>
              <w:tl2br w:val="nil"/>
              <w:tr2bl w:val="nil"/>
            </w:tcBorders>
            <w:noWrap w:val="0"/>
            <w:vAlign w:val="center"/>
          </w:tcPr>
          <w:p w14:paraId="7C9B26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0.5</w:t>
            </w:r>
          </w:p>
        </w:tc>
        <w:tc>
          <w:tcPr>
            <w:tcW w:w="1931" w:type="dxa"/>
            <w:gridSpan w:val="2"/>
            <w:tcBorders>
              <w:tl2br w:val="nil"/>
              <w:tr2bl w:val="nil"/>
            </w:tcBorders>
            <w:noWrap w:val="0"/>
            <w:vAlign w:val="center"/>
          </w:tcPr>
          <w:p w14:paraId="237626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样线长度（m）</w:t>
            </w:r>
          </w:p>
        </w:tc>
        <w:tc>
          <w:tcPr>
            <w:tcW w:w="2331" w:type="dxa"/>
            <w:gridSpan w:val="2"/>
            <w:tcBorders>
              <w:tl2br w:val="nil"/>
              <w:tr2bl w:val="nil"/>
            </w:tcBorders>
            <w:noWrap w:val="0"/>
            <w:vAlign w:val="center"/>
          </w:tcPr>
          <w:p w14:paraId="189A76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1426</w:t>
            </w:r>
          </w:p>
        </w:tc>
      </w:tr>
      <w:tr w14:paraId="53FB8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00D34A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中文名</w:t>
            </w:r>
          </w:p>
        </w:tc>
        <w:tc>
          <w:tcPr>
            <w:tcW w:w="1277" w:type="dxa"/>
            <w:tcBorders>
              <w:tl2br w:val="nil"/>
              <w:tr2bl w:val="nil"/>
            </w:tcBorders>
            <w:noWrap w:val="0"/>
            <w:vAlign w:val="center"/>
          </w:tcPr>
          <w:p w14:paraId="70C40E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数量</w:t>
            </w:r>
          </w:p>
        </w:tc>
        <w:tc>
          <w:tcPr>
            <w:tcW w:w="1278" w:type="dxa"/>
            <w:tcBorders>
              <w:tl2br w:val="nil"/>
              <w:tr2bl w:val="nil"/>
            </w:tcBorders>
            <w:noWrap w:val="0"/>
            <w:vAlign w:val="center"/>
          </w:tcPr>
          <w:p w14:paraId="2DBF35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生境类型</w:t>
            </w:r>
          </w:p>
        </w:tc>
        <w:tc>
          <w:tcPr>
            <w:tcW w:w="1420" w:type="dxa"/>
            <w:tcBorders>
              <w:tl2br w:val="nil"/>
              <w:tr2bl w:val="nil"/>
            </w:tcBorders>
            <w:noWrap w:val="0"/>
            <w:vAlign w:val="center"/>
          </w:tcPr>
          <w:p w14:paraId="17CC31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飞行高度（m）</w:t>
            </w:r>
          </w:p>
        </w:tc>
        <w:tc>
          <w:tcPr>
            <w:tcW w:w="1420" w:type="dxa"/>
            <w:gridSpan w:val="2"/>
            <w:tcBorders>
              <w:tl2br w:val="nil"/>
              <w:tr2bl w:val="nil"/>
            </w:tcBorders>
            <w:noWrap w:val="0"/>
            <w:vAlign w:val="center"/>
          </w:tcPr>
          <w:p w14:paraId="7316FE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行为</w:t>
            </w:r>
          </w:p>
        </w:tc>
        <w:tc>
          <w:tcPr>
            <w:tcW w:w="1422" w:type="dxa"/>
            <w:tcBorders>
              <w:tl2br w:val="nil"/>
              <w:tr2bl w:val="nil"/>
            </w:tcBorders>
            <w:noWrap w:val="0"/>
            <w:vAlign w:val="center"/>
          </w:tcPr>
          <w:p w14:paraId="337248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w:t>
            </w:r>
          </w:p>
        </w:tc>
      </w:tr>
      <w:tr w14:paraId="1116A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tcBorders>
              <w:tl2br w:val="nil"/>
              <w:tr2bl w:val="nil"/>
            </w:tcBorders>
            <w:noWrap w:val="0"/>
            <w:vAlign w:val="center"/>
          </w:tcPr>
          <w:p w14:paraId="55F6E6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喜鹊</w:t>
            </w:r>
          </w:p>
        </w:tc>
        <w:tc>
          <w:tcPr>
            <w:tcW w:w="1277" w:type="dxa"/>
            <w:tcBorders>
              <w:tl2br w:val="nil"/>
              <w:tr2bl w:val="nil"/>
            </w:tcBorders>
            <w:noWrap w:val="0"/>
            <w:vAlign w:val="center"/>
          </w:tcPr>
          <w:p w14:paraId="0B7468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w:t>
            </w:r>
          </w:p>
        </w:tc>
        <w:tc>
          <w:tcPr>
            <w:tcW w:w="1278" w:type="dxa"/>
            <w:vMerge w:val="restart"/>
            <w:tcBorders>
              <w:tl2br w:val="nil"/>
              <w:tr2bl w:val="nil"/>
            </w:tcBorders>
            <w:noWrap w:val="0"/>
            <w:vAlign w:val="center"/>
          </w:tcPr>
          <w:p w14:paraId="0C0187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林地</w:t>
            </w:r>
          </w:p>
        </w:tc>
        <w:tc>
          <w:tcPr>
            <w:tcW w:w="1420" w:type="dxa"/>
            <w:tcBorders>
              <w:tl2br w:val="nil"/>
              <w:tr2bl w:val="nil"/>
            </w:tcBorders>
            <w:noWrap w:val="0"/>
            <w:vAlign w:val="center"/>
          </w:tcPr>
          <w:p w14:paraId="54EC1D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420" w:type="dxa"/>
            <w:gridSpan w:val="2"/>
            <w:tcBorders>
              <w:tl2br w:val="nil"/>
              <w:tr2bl w:val="nil"/>
            </w:tcBorders>
            <w:noWrap w:val="0"/>
            <w:vAlign w:val="center"/>
          </w:tcPr>
          <w:p w14:paraId="4E377A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移动</w:t>
            </w:r>
          </w:p>
        </w:tc>
        <w:tc>
          <w:tcPr>
            <w:tcW w:w="1422" w:type="dxa"/>
            <w:tcBorders>
              <w:tl2br w:val="nil"/>
              <w:tr2bl w:val="nil"/>
            </w:tcBorders>
            <w:noWrap w:val="0"/>
            <w:vAlign w:val="center"/>
          </w:tcPr>
          <w:p w14:paraId="10FD88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012EF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5" w:type="dxa"/>
            <w:tcBorders>
              <w:tl2br w:val="nil"/>
              <w:tr2bl w:val="nil"/>
            </w:tcBorders>
            <w:noWrap w:val="0"/>
            <w:vAlign w:val="center"/>
          </w:tcPr>
          <w:p w14:paraId="0A56CD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红嘴山鸦</w:t>
            </w:r>
          </w:p>
        </w:tc>
        <w:tc>
          <w:tcPr>
            <w:tcW w:w="1277" w:type="dxa"/>
            <w:tcBorders>
              <w:tl2br w:val="nil"/>
              <w:tr2bl w:val="nil"/>
            </w:tcBorders>
            <w:noWrap w:val="0"/>
            <w:vAlign w:val="center"/>
          </w:tcPr>
          <w:p w14:paraId="346281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w:t>
            </w:r>
          </w:p>
        </w:tc>
        <w:tc>
          <w:tcPr>
            <w:tcW w:w="1278" w:type="dxa"/>
            <w:vMerge w:val="continue"/>
            <w:tcBorders>
              <w:tl2br w:val="nil"/>
              <w:tr2bl w:val="nil"/>
            </w:tcBorders>
            <w:noWrap w:val="0"/>
            <w:vAlign w:val="center"/>
          </w:tcPr>
          <w:p w14:paraId="537B23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420" w:type="dxa"/>
            <w:tcBorders>
              <w:tl2br w:val="nil"/>
              <w:tr2bl w:val="nil"/>
            </w:tcBorders>
            <w:noWrap w:val="0"/>
            <w:vAlign w:val="center"/>
          </w:tcPr>
          <w:p w14:paraId="4FB9A2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w:t>
            </w:r>
          </w:p>
        </w:tc>
        <w:tc>
          <w:tcPr>
            <w:tcW w:w="1420" w:type="dxa"/>
            <w:gridSpan w:val="2"/>
            <w:tcBorders>
              <w:tl2br w:val="nil"/>
              <w:tr2bl w:val="nil"/>
            </w:tcBorders>
            <w:noWrap w:val="0"/>
            <w:vAlign w:val="center"/>
          </w:tcPr>
          <w:p w14:paraId="16ECA7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鸣叫</w:t>
            </w:r>
          </w:p>
        </w:tc>
        <w:tc>
          <w:tcPr>
            <w:tcW w:w="1422" w:type="dxa"/>
            <w:tcBorders>
              <w:tl2br w:val="nil"/>
              <w:tr2bl w:val="nil"/>
            </w:tcBorders>
            <w:noWrap w:val="0"/>
            <w:vAlign w:val="center"/>
          </w:tcPr>
          <w:p w14:paraId="2B008F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5F04E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Borders>
              <w:tl2br w:val="nil"/>
              <w:tr2bl w:val="nil"/>
            </w:tcBorders>
            <w:noWrap w:val="0"/>
            <w:vAlign w:val="center"/>
          </w:tcPr>
          <w:p w14:paraId="26C850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北长尾山雀</w:t>
            </w:r>
          </w:p>
        </w:tc>
        <w:tc>
          <w:tcPr>
            <w:tcW w:w="1277" w:type="dxa"/>
            <w:tcBorders>
              <w:tl2br w:val="nil"/>
              <w:tr2bl w:val="nil"/>
            </w:tcBorders>
            <w:noWrap w:val="0"/>
            <w:vAlign w:val="center"/>
          </w:tcPr>
          <w:p w14:paraId="3CAEF3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w:t>
            </w:r>
          </w:p>
        </w:tc>
        <w:tc>
          <w:tcPr>
            <w:tcW w:w="1278" w:type="dxa"/>
            <w:vMerge w:val="continue"/>
            <w:tcBorders>
              <w:tl2br w:val="nil"/>
              <w:tr2bl w:val="nil"/>
            </w:tcBorders>
            <w:noWrap w:val="0"/>
            <w:vAlign w:val="center"/>
          </w:tcPr>
          <w:p w14:paraId="3F4B42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420" w:type="dxa"/>
            <w:tcBorders>
              <w:tl2br w:val="nil"/>
              <w:tr2bl w:val="nil"/>
            </w:tcBorders>
            <w:noWrap w:val="0"/>
            <w:vAlign w:val="center"/>
          </w:tcPr>
          <w:p w14:paraId="1A5FB6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8</w:t>
            </w:r>
          </w:p>
        </w:tc>
        <w:tc>
          <w:tcPr>
            <w:tcW w:w="1420" w:type="dxa"/>
            <w:gridSpan w:val="2"/>
            <w:tcBorders>
              <w:tl2br w:val="nil"/>
              <w:tr2bl w:val="nil"/>
            </w:tcBorders>
            <w:noWrap w:val="0"/>
            <w:vAlign w:val="center"/>
          </w:tcPr>
          <w:p w14:paraId="1D5A15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移动</w:t>
            </w:r>
          </w:p>
        </w:tc>
        <w:tc>
          <w:tcPr>
            <w:tcW w:w="1422" w:type="dxa"/>
            <w:tcBorders>
              <w:tl2br w:val="nil"/>
              <w:tr2bl w:val="nil"/>
            </w:tcBorders>
            <w:noWrap w:val="0"/>
            <w:vAlign w:val="center"/>
          </w:tcPr>
          <w:p w14:paraId="7F14A58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5AD84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522" w:type="dxa"/>
            <w:gridSpan w:val="7"/>
            <w:tcBorders>
              <w:tl2br w:val="nil"/>
              <w:tr2bl w:val="nil"/>
            </w:tcBorders>
            <w:noWrap w:val="0"/>
            <w:vAlign w:val="center"/>
          </w:tcPr>
          <w:p w14:paraId="49405E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20" w:rightChars="-5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注：行为：A1觅食、A2飞行、A3打斗、A4鸣叫、A5静止、A6潜水、A7移动、A8理毛</w:t>
            </w:r>
          </w:p>
        </w:tc>
      </w:tr>
    </w:tbl>
    <w:p w14:paraId="6ECD9D83">
      <w:pPr>
        <w:pStyle w:val="7"/>
        <w:tabs>
          <w:tab w:val="left" w:pos="864"/>
        </w:tabs>
        <w:bidi w:val="0"/>
        <w:outlineLvl w:val="3"/>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5.6.1.3主要生态系统类型及特点</w:t>
      </w:r>
      <w:bookmarkEnd w:id="4478"/>
      <w:r>
        <w:rPr>
          <w:rFonts w:hint="eastAsia" w:cs="Times New Roman"/>
          <w:color w:val="auto"/>
          <w:sz w:val="28"/>
          <w:szCs w:val="28"/>
          <w:highlight w:val="none"/>
          <w:lang w:val="en-US" w:eastAsia="zh-CN"/>
        </w:rPr>
        <w:t xml:space="preserve"> </w:t>
      </w:r>
    </w:p>
    <w:p w14:paraId="07E0D6D9">
      <w:pPr>
        <w:rPr>
          <w:rFonts w:hint="default"/>
          <w:color w:val="auto"/>
          <w:highlight w:val="none"/>
          <w:lang w:val="en-US" w:eastAsia="zh-CN"/>
        </w:rPr>
      </w:pPr>
      <w:bookmarkStart w:id="4479" w:name="_Toc17158"/>
      <w:r>
        <w:rPr>
          <w:rFonts w:hint="default"/>
          <w:color w:val="auto"/>
          <w:highlight w:val="none"/>
          <w:lang w:val="en-US" w:eastAsia="zh-CN"/>
        </w:rPr>
        <w:t>本次采用遥感的技术手段，根据《全国生态状况调查评估技术规范—生态系统遥感解译与野外核查》（HJ1166-2021）的分类方法，对评价区生态系统进行分类，具体如下：</w:t>
      </w:r>
    </w:p>
    <w:p w14:paraId="7589B051">
      <w:pPr>
        <w:rPr>
          <w:rFonts w:hint="default"/>
          <w:color w:val="auto"/>
          <w:highlight w:val="none"/>
          <w:lang w:val="en-US" w:eastAsia="zh-CN"/>
        </w:rPr>
      </w:pPr>
      <w:r>
        <w:rPr>
          <w:rFonts w:hint="default"/>
          <w:color w:val="auto"/>
          <w:highlight w:val="none"/>
          <w:lang w:val="en-US" w:eastAsia="zh-CN"/>
        </w:rPr>
        <w:t>①</w:t>
      </w:r>
      <w:r>
        <w:rPr>
          <w:rFonts w:hint="eastAsia"/>
          <w:color w:val="auto"/>
          <w:highlight w:val="none"/>
          <w:lang w:val="en-US" w:eastAsia="zh-CN"/>
        </w:rPr>
        <w:t>林地</w:t>
      </w:r>
      <w:r>
        <w:rPr>
          <w:rFonts w:hint="default"/>
          <w:color w:val="auto"/>
          <w:highlight w:val="none"/>
          <w:lang w:val="en-US" w:eastAsia="zh-CN"/>
        </w:rPr>
        <w:t>生态系统</w:t>
      </w:r>
    </w:p>
    <w:p w14:paraId="24CEFB32">
      <w:pPr>
        <w:rPr>
          <w:rFonts w:hint="default"/>
          <w:color w:val="auto"/>
          <w:highlight w:val="none"/>
          <w:lang w:val="en-US" w:eastAsia="zh-CN"/>
        </w:rPr>
      </w:pPr>
      <w:r>
        <w:rPr>
          <w:rFonts w:hint="eastAsia"/>
          <w:color w:val="auto"/>
          <w:highlight w:val="none"/>
          <w:lang w:val="en-US" w:eastAsia="zh-CN"/>
        </w:rPr>
        <w:t>林地</w:t>
      </w:r>
      <w:r>
        <w:rPr>
          <w:rFonts w:hint="default"/>
          <w:color w:val="auto"/>
          <w:highlight w:val="none"/>
          <w:lang w:val="en-US" w:eastAsia="zh-CN"/>
        </w:rPr>
        <w:t>生态系统主要位于评价</w:t>
      </w:r>
      <w:r>
        <w:rPr>
          <w:rFonts w:hint="eastAsia"/>
          <w:color w:val="auto"/>
          <w:highlight w:val="none"/>
          <w:lang w:val="en-US" w:eastAsia="zh-CN"/>
        </w:rPr>
        <w:t>区两侧山地</w:t>
      </w:r>
      <w:r>
        <w:rPr>
          <w:rFonts w:hint="default"/>
          <w:color w:val="auto"/>
          <w:highlight w:val="none"/>
          <w:lang w:val="en-US" w:eastAsia="zh-CN"/>
        </w:rPr>
        <w:t>，以</w:t>
      </w:r>
      <w:r>
        <w:rPr>
          <w:rFonts w:hint="eastAsia"/>
          <w:color w:val="auto"/>
          <w:highlight w:val="none"/>
          <w:lang w:val="en-US" w:eastAsia="zh-CN"/>
        </w:rPr>
        <w:t>山杏</w:t>
      </w:r>
      <w:r>
        <w:rPr>
          <w:rFonts w:hint="default"/>
          <w:color w:val="auto"/>
          <w:highlight w:val="none"/>
          <w:lang w:val="en-US" w:eastAsia="zh-CN"/>
        </w:rPr>
        <w:t>群系为主，天然植被主要为针茅、</w:t>
      </w:r>
      <w:r>
        <w:rPr>
          <w:rFonts w:hint="eastAsia"/>
          <w:color w:val="auto"/>
          <w:highlight w:val="none"/>
          <w:lang w:val="en-US" w:eastAsia="zh-CN"/>
        </w:rPr>
        <w:t>猪毛蒿、白莲蒿</w:t>
      </w:r>
      <w:r>
        <w:rPr>
          <w:rFonts w:hint="default"/>
          <w:color w:val="auto"/>
          <w:highlight w:val="none"/>
          <w:lang w:val="en-US" w:eastAsia="zh-CN"/>
        </w:rPr>
        <w:t>、冰草等。</w:t>
      </w:r>
      <w:r>
        <w:rPr>
          <w:rFonts w:hint="eastAsia"/>
          <w:color w:val="auto"/>
          <w:highlight w:val="none"/>
          <w:lang w:val="en-US" w:eastAsia="zh-CN"/>
        </w:rPr>
        <w:t>调查期间观察到灰仓鼠。</w:t>
      </w:r>
    </w:p>
    <w:p w14:paraId="642CA155">
      <w:pPr>
        <w:rPr>
          <w:rFonts w:hint="default"/>
          <w:color w:val="auto"/>
          <w:highlight w:val="none"/>
          <w:lang w:val="en-US" w:eastAsia="zh-CN"/>
        </w:rPr>
      </w:pPr>
      <w:r>
        <w:rPr>
          <w:rFonts w:hint="default"/>
          <w:color w:val="auto"/>
          <w:highlight w:val="none"/>
          <w:lang w:val="en-US" w:eastAsia="zh-CN"/>
        </w:rPr>
        <w:t>②草地生态系统</w:t>
      </w:r>
    </w:p>
    <w:p w14:paraId="7CBF13BF">
      <w:pPr>
        <w:rPr>
          <w:rFonts w:hint="default"/>
          <w:color w:val="auto"/>
          <w:highlight w:val="none"/>
          <w:lang w:val="en-US" w:eastAsia="zh-CN"/>
        </w:rPr>
      </w:pPr>
      <w:r>
        <w:rPr>
          <w:rFonts w:hint="default"/>
          <w:color w:val="auto"/>
          <w:highlight w:val="none"/>
          <w:lang w:val="en-US" w:eastAsia="zh-CN"/>
        </w:rPr>
        <w:t>草地生态系统在评价区均有分布。草地生态系统以针茅</w:t>
      </w:r>
      <w:r>
        <w:rPr>
          <w:rFonts w:hint="eastAsia"/>
          <w:color w:val="auto"/>
          <w:highlight w:val="none"/>
          <w:lang w:val="en-US" w:eastAsia="zh-CN"/>
        </w:rPr>
        <w:t>、白莲蒿</w:t>
      </w:r>
      <w:r>
        <w:rPr>
          <w:rFonts w:hint="default"/>
          <w:color w:val="auto"/>
          <w:highlight w:val="none"/>
          <w:lang w:val="en-US" w:eastAsia="zh-CN"/>
        </w:rPr>
        <w:t>群系为主，天然生长的植物主要有</w:t>
      </w:r>
      <w:r>
        <w:rPr>
          <w:rFonts w:hint="eastAsia"/>
          <w:color w:val="auto"/>
          <w:highlight w:val="none"/>
          <w:lang w:val="en-US" w:eastAsia="zh-CN"/>
        </w:rPr>
        <w:t>白莲蒿、冰草、猪毛蒿、狗娃花、苦苣菜、豌豆</w:t>
      </w:r>
      <w:r>
        <w:rPr>
          <w:rFonts w:hint="default"/>
          <w:color w:val="auto"/>
          <w:highlight w:val="none"/>
          <w:lang w:val="en-US" w:eastAsia="zh-CN"/>
        </w:rPr>
        <w:t>。调查期间观察到喜鹊、环颈雉数只，再未发现其他野生动物出没。</w:t>
      </w:r>
    </w:p>
    <w:p w14:paraId="5B8AB692">
      <w:pPr>
        <w:rPr>
          <w:rFonts w:hint="default"/>
          <w:color w:val="auto"/>
          <w:highlight w:val="none"/>
          <w:lang w:val="en-US" w:eastAsia="zh-CN"/>
        </w:rPr>
      </w:pPr>
      <w:r>
        <w:rPr>
          <w:rFonts w:hint="eastAsia"/>
          <w:color w:val="auto"/>
          <w:highlight w:val="none"/>
          <w:lang w:val="en-US" w:eastAsia="zh-CN"/>
        </w:rPr>
        <w:t>③</w:t>
      </w:r>
      <w:r>
        <w:rPr>
          <w:rFonts w:hint="default"/>
          <w:color w:val="auto"/>
          <w:highlight w:val="none"/>
          <w:lang w:val="en-US" w:eastAsia="zh-CN"/>
        </w:rPr>
        <w:t>城镇生态系统</w:t>
      </w:r>
    </w:p>
    <w:p w14:paraId="273DE6F3">
      <w:pPr>
        <w:rPr>
          <w:rFonts w:hint="default"/>
          <w:color w:val="auto"/>
          <w:highlight w:val="none"/>
          <w:lang w:val="en-US" w:eastAsia="zh-CN"/>
        </w:rPr>
      </w:pPr>
      <w:r>
        <w:rPr>
          <w:rFonts w:hint="default"/>
          <w:color w:val="auto"/>
          <w:highlight w:val="none"/>
          <w:lang w:val="en-US" w:eastAsia="zh-CN"/>
        </w:rPr>
        <w:t>城镇生态系统主要分布于输变电线路沿线两侧区域，主要为村庄和</w:t>
      </w:r>
      <w:r>
        <w:rPr>
          <w:rFonts w:hint="eastAsia"/>
          <w:color w:val="auto"/>
          <w:highlight w:val="none"/>
          <w:lang w:val="en-US" w:eastAsia="zh-CN"/>
        </w:rPr>
        <w:t>农村</w:t>
      </w:r>
      <w:r>
        <w:rPr>
          <w:rFonts w:hint="default"/>
          <w:color w:val="auto"/>
          <w:highlight w:val="none"/>
          <w:lang w:val="en-US" w:eastAsia="zh-CN"/>
        </w:rPr>
        <w:t>交通</w:t>
      </w:r>
      <w:r>
        <w:rPr>
          <w:rFonts w:hint="eastAsia"/>
          <w:color w:val="auto"/>
          <w:highlight w:val="none"/>
          <w:lang w:val="en-US" w:eastAsia="zh-CN"/>
        </w:rPr>
        <w:t>道路</w:t>
      </w:r>
      <w:r>
        <w:rPr>
          <w:rFonts w:hint="default"/>
          <w:color w:val="auto"/>
          <w:highlight w:val="none"/>
          <w:lang w:val="en-US" w:eastAsia="zh-CN"/>
        </w:rPr>
        <w:t>。调查期间观察到凤头麦鸡、大白鹭，再未发现其他野生动物出没。</w:t>
      </w:r>
    </w:p>
    <w:p w14:paraId="5757496A">
      <w:pPr>
        <w:rPr>
          <w:rFonts w:hint="default"/>
          <w:color w:val="auto"/>
          <w:highlight w:val="none"/>
          <w:lang w:val="en-US" w:eastAsia="zh-CN"/>
        </w:rPr>
      </w:pPr>
      <w:r>
        <w:rPr>
          <w:rFonts w:hint="eastAsia"/>
          <w:color w:val="auto"/>
          <w:highlight w:val="none"/>
          <w:lang w:val="en-US" w:eastAsia="zh-CN"/>
        </w:rPr>
        <w:t>④</w:t>
      </w:r>
      <w:r>
        <w:rPr>
          <w:rFonts w:hint="default"/>
          <w:color w:val="auto"/>
          <w:highlight w:val="none"/>
          <w:lang w:val="en-US" w:eastAsia="zh-CN"/>
        </w:rPr>
        <w:t>农田生态系统</w:t>
      </w:r>
    </w:p>
    <w:p w14:paraId="6CE3EC51">
      <w:pPr>
        <w:rPr>
          <w:rFonts w:hint="default"/>
          <w:color w:val="auto"/>
          <w:highlight w:val="none"/>
          <w:lang w:val="en-US" w:eastAsia="zh-CN"/>
        </w:rPr>
      </w:pPr>
      <w:r>
        <w:rPr>
          <w:rFonts w:hint="default"/>
          <w:color w:val="auto"/>
          <w:highlight w:val="none"/>
          <w:lang w:val="en-US" w:eastAsia="zh-CN"/>
        </w:rPr>
        <w:t>农田生态系统在评价区均有分布，农田植被主要为玉</w:t>
      </w:r>
      <w:r>
        <w:rPr>
          <w:rFonts w:hint="eastAsia"/>
          <w:color w:val="auto"/>
          <w:highlight w:val="none"/>
          <w:lang w:val="en-US" w:eastAsia="zh-CN"/>
        </w:rPr>
        <w:t>米</w:t>
      </w:r>
      <w:r>
        <w:rPr>
          <w:rFonts w:hint="default"/>
          <w:color w:val="auto"/>
          <w:highlight w:val="none"/>
          <w:lang w:val="en-US" w:eastAsia="zh-CN"/>
        </w:rPr>
        <w:t>。该区域易受人为干扰，因此其中动物种类不丰富，主要包括一些小型啮齿类及常见鸟类。主要生态功能体现在农产品及副产品生产。此外，农田生态系统也具有养分循环、水分调节、传粉播种及餐饮、娱乐、文化等功能。</w:t>
      </w:r>
    </w:p>
    <w:p w14:paraId="62FBF454">
      <w:pPr>
        <w:pStyle w:val="7"/>
        <w:tabs>
          <w:tab w:val="left" w:pos="864"/>
        </w:tabs>
        <w:bidi w:val="0"/>
        <w:outlineLvl w:val="3"/>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5.6.1.4主要土地利用类型</w:t>
      </w:r>
      <w:bookmarkEnd w:id="4479"/>
    </w:p>
    <w:p w14:paraId="59E5A00B">
      <w:pPr>
        <w:bidi w:val="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评价卫星影像为数据基础，数据产品经过辐射定标、大气校正、图像融合和镶嵌后，处理得到15m分辨率融合图像，作为土地利用现状利用类型的底图。</w:t>
      </w:r>
    </w:p>
    <w:p w14:paraId="2A53BA3B">
      <w:pPr>
        <w:bidi w:val="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评价区主要土地类型为</w:t>
      </w:r>
      <w:r>
        <w:rPr>
          <w:rFonts w:hint="eastAsia" w:cs="Times New Roman"/>
          <w:color w:val="auto"/>
          <w:sz w:val="24"/>
          <w:szCs w:val="24"/>
          <w:highlight w:val="none"/>
          <w:lang w:val="en-US" w:eastAsia="zh-CN"/>
        </w:rPr>
        <w:t>旱地，种植农作物主要为玉米，</w:t>
      </w:r>
      <w:r>
        <w:rPr>
          <w:rFonts w:hint="default" w:ascii="Times New Roman" w:hAnsi="Times New Roman" w:cs="Times New Roman"/>
          <w:color w:val="auto"/>
          <w:sz w:val="24"/>
          <w:szCs w:val="24"/>
          <w:highlight w:val="none"/>
          <w:lang w:val="en-US" w:eastAsia="zh-CN"/>
        </w:rPr>
        <w:t>占评价范围的</w:t>
      </w:r>
      <w:r>
        <w:rPr>
          <w:rFonts w:hint="eastAsia" w:cs="Times New Roman"/>
          <w:color w:val="auto"/>
          <w:sz w:val="24"/>
          <w:szCs w:val="24"/>
          <w:highlight w:val="none"/>
          <w:lang w:val="en-US" w:eastAsia="zh-CN"/>
        </w:rPr>
        <w:t>27.51</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，其次为乔木林地和其他林地，分别占评价区的21.58%、18.49%</w:t>
      </w:r>
      <w:r>
        <w:rPr>
          <w:rFonts w:hint="default" w:ascii="Times New Roman" w:hAnsi="Times New Roman" w:cs="Times New Roman"/>
          <w:color w:val="auto"/>
          <w:sz w:val="24"/>
          <w:szCs w:val="24"/>
          <w:highlight w:val="none"/>
          <w:lang w:val="en-US" w:eastAsia="zh-CN"/>
        </w:rPr>
        <w:t>。</w:t>
      </w:r>
    </w:p>
    <w:p w14:paraId="4F0CAD79">
      <w:pPr>
        <w:pStyle w:val="2"/>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表5.6-</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评价范围土地利用类型及面积</w:t>
      </w:r>
    </w:p>
    <w:tbl>
      <w:tblPr>
        <w:tblStyle w:val="31"/>
        <w:tblW w:w="85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789"/>
        <w:gridCol w:w="1790"/>
        <w:gridCol w:w="2307"/>
        <w:gridCol w:w="2677"/>
      </w:tblGrid>
      <w:tr w14:paraId="72105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38" w:hRule="atLeast"/>
          <w:tblHeader/>
        </w:trPr>
        <w:tc>
          <w:tcPr>
            <w:tcW w:w="3579" w:type="dxa"/>
            <w:gridSpan w:val="2"/>
            <w:tcBorders>
              <w:tl2br w:val="nil"/>
              <w:tr2bl w:val="nil"/>
            </w:tcBorders>
            <w:shd w:val="clear" w:color="auto" w:fill="auto"/>
            <w:noWrap/>
            <w:tcMar>
              <w:top w:w="15" w:type="dxa"/>
              <w:left w:w="15" w:type="dxa"/>
              <w:right w:w="15" w:type="dxa"/>
            </w:tcMar>
            <w:vAlign w:val="center"/>
          </w:tcPr>
          <w:p w14:paraId="16B5051B">
            <w:pPr>
              <w:pStyle w:val="29"/>
              <w:keepNext w:val="0"/>
              <w:keepLines w:val="0"/>
              <w:pageBreakBefore w:val="0"/>
              <w:widowControl/>
              <w:suppressLineNumbers w:val="0"/>
              <w:kinsoku/>
              <w:wordWrap/>
              <w:overflowPunct/>
              <w:topLinePunct w:val="0"/>
              <w:autoSpaceDE/>
              <w:autoSpaceDN/>
              <w:bidi w:val="0"/>
              <w:spacing w:beforeAutospacing="0" w:afterAutospacing="0"/>
              <w:ind w:left="0" w:right="0" w:firstLine="0" w:firstLineChars="0"/>
              <w:jc w:val="center"/>
              <w:rPr>
                <w:rFonts w:hint="default" w:ascii="Times New Roman" w:hAnsi="Times New Roman" w:cs="Times New Roman"/>
                <w:b/>
                <w:bCs/>
                <w:color w:val="auto"/>
                <w:sz w:val="21"/>
                <w:szCs w:val="21"/>
                <w:highlight w:val="none"/>
                <w:lang w:val="en-US" w:eastAsia="zh-CN"/>
              </w:rPr>
            </w:pPr>
            <w:bookmarkStart w:id="4480" w:name="_Toc31199"/>
            <w:bookmarkStart w:id="4481" w:name="_Toc21727"/>
            <w:bookmarkStart w:id="4482" w:name="_Toc10263"/>
            <w:bookmarkStart w:id="4483" w:name="_Toc28774"/>
            <w:bookmarkStart w:id="4484" w:name="_Toc29732"/>
            <w:r>
              <w:rPr>
                <w:rFonts w:hint="default" w:ascii="Times New Roman" w:hAnsi="Times New Roman" w:cs="Times New Roman"/>
                <w:b/>
                <w:bCs/>
                <w:color w:val="auto"/>
                <w:sz w:val="21"/>
                <w:szCs w:val="21"/>
                <w:highlight w:val="none"/>
                <w:lang w:val="en-US" w:eastAsia="zh-CN"/>
              </w:rPr>
              <w:t>土地类型</w:t>
            </w:r>
            <w:bookmarkEnd w:id="4480"/>
            <w:bookmarkEnd w:id="4481"/>
            <w:bookmarkEnd w:id="4482"/>
            <w:bookmarkEnd w:id="4483"/>
            <w:bookmarkEnd w:id="4484"/>
            <w:bookmarkStart w:id="4485" w:name="_Toc8513"/>
            <w:bookmarkStart w:id="4486" w:name="_Toc30387"/>
          </w:p>
        </w:tc>
        <w:tc>
          <w:tcPr>
            <w:tcW w:w="2307" w:type="dxa"/>
            <w:vMerge w:val="restart"/>
            <w:tcBorders>
              <w:tl2br w:val="nil"/>
              <w:tr2bl w:val="nil"/>
            </w:tcBorders>
            <w:shd w:val="clear" w:color="auto" w:fill="auto"/>
            <w:noWrap/>
            <w:tcMar>
              <w:top w:w="15" w:type="dxa"/>
              <w:left w:w="15" w:type="dxa"/>
              <w:right w:w="15" w:type="dxa"/>
            </w:tcMar>
            <w:vAlign w:val="center"/>
          </w:tcPr>
          <w:p w14:paraId="02C92EDF">
            <w:pPr>
              <w:pStyle w:val="29"/>
              <w:keepNext w:val="0"/>
              <w:keepLines w:val="0"/>
              <w:pageBreakBefore w:val="0"/>
              <w:widowControl/>
              <w:suppressLineNumbers w:val="0"/>
              <w:kinsoku/>
              <w:wordWrap/>
              <w:overflowPunct/>
              <w:topLinePunct w:val="0"/>
              <w:autoSpaceDE/>
              <w:autoSpaceDN/>
              <w:bidi w:val="0"/>
              <w:spacing w:beforeAutospacing="0" w:afterAutospacing="0"/>
              <w:ind w:left="0" w:right="0" w:firstLine="0" w:firstLineChars="0"/>
              <w:jc w:val="center"/>
              <w:rPr>
                <w:rFonts w:hint="default" w:ascii="Times New Roman" w:hAnsi="Times New Roman" w:cs="Times New Roman"/>
                <w:b/>
                <w:bCs/>
                <w:color w:val="auto"/>
                <w:sz w:val="21"/>
                <w:szCs w:val="21"/>
                <w:highlight w:val="none"/>
              </w:rPr>
            </w:pPr>
            <w:bookmarkStart w:id="4487" w:name="_Toc19077"/>
            <w:bookmarkStart w:id="4488" w:name="_Toc8848"/>
            <w:bookmarkStart w:id="4489" w:name="_Toc4012"/>
            <w:r>
              <w:rPr>
                <w:rFonts w:hint="default" w:ascii="Times New Roman" w:hAnsi="Times New Roman" w:cs="Times New Roman"/>
                <w:b/>
                <w:bCs/>
                <w:color w:val="auto"/>
                <w:sz w:val="21"/>
                <w:szCs w:val="21"/>
                <w:highlight w:val="none"/>
                <w:lang w:val="en-US" w:eastAsia="zh-CN"/>
              </w:rPr>
              <w:t>占地面积（hm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cs="Times New Roman"/>
                <w:b/>
                <w:bCs/>
                <w:color w:val="auto"/>
                <w:sz w:val="21"/>
                <w:szCs w:val="21"/>
                <w:highlight w:val="none"/>
                <w:lang w:val="en-US" w:eastAsia="zh-CN"/>
              </w:rPr>
              <w:t>）</w:t>
            </w:r>
            <w:bookmarkEnd w:id="4485"/>
            <w:bookmarkEnd w:id="4486"/>
            <w:bookmarkEnd w:id="4487"/>
            <w:bookmarkEnd w:id="4488"/>
            <w:bookmarkEnd w:id="4489"/>
          </w:p>
        </w:tc>
        <w:tc>
          <w:tcPr>
            <w:tcW w:w="2677" w:type="dxa"/>
            <w:vMerge w:val="restart"/>
            <w:tcBorders>
              <w:tl2br w:val="nil"/>
              <w:tr2bl w:val="nil"/>
            </w:tcBorders>
            <w:shd w:val="clear" w:color="auto" w:fill="auto"/>
            <w:noWrap/>
            <w:tcMar>
              <w:top w:w="15" w:type="dxa"/>
              <w:left w:w="15" w:type="dxa"/>
              <w:right w:w="15" w:type="dxa"/>
            </w:tcMar>
            <w:vAlign w:val="center"/>
          </w:tcPr>
          <w:p w14:paraId="4FFB4583">
            <w:pPr>
              <w:pStyle w:val="29"/>
              <w:keepNext w:val="0"/>
              <w:keepLines w:val="0"/>
              <w:pageBreakBefore w:val="0"/>
              <w:widowControl/>
              <w:suppressLineNumbers w:val="0"/>
              <w:kinsoku/>
              <w:wordWrap/>
              <w:overflowPunct/>
              <w:topLinePunct w:val="0"/>
              <w:autoSpaceDE/>
              <w:autoSpaceDN/>
              <w:bidi w:val="0"/>
              <w:spacing w:beforeAutospacing="0" w:afterAutospacing="0"/>
              <w:ind w:left="0" w:right="0" w:firstLine="0" w:firstLineChars="0"/>
              <w:jc w:val="center"/>
              <w:rPr>
                <w:rFonts w:hint="default" w:ascii="Times New Roman" w:hAnsi="Times New Roman" w:cs="Times New Roman"/>
                <w:b/>
                <w:bCs/>
                <w:color w:val="auto"/>
                <w:sz w:val="21"/>
                <w:szCs w:val="21"/>
                <w:highlight w:val="none"/>
              </w:rPr>
            </w:pPr>
            <w:bookmarkStart w:id="4490" w:name="_Toc21172"/>
            <w:bookmarkStart w:id="4491" w:name="_Toc2712"/>
            <w:bookmarkStart w:id="4492" w:name="_Toc29820"/>
            <w:bookmarkStart w:id="4493" w:name="_Toc19017"/>
            <w:bookmarkStart w:id="4494" w:name="_Toc11664"/>
            <w:r>
              <w:rPr>
                <w:rFonts w:hint="default" w:ascii="Times New Roman" w:hAnsi="Times New Roman" w:cs="Times New Roman"/>
                <w:b/>
                <w:bCs/>
                <w:color w:val="auto"/>
                <w:sz w:val="21"/>
                <w:szCs w:val="21"/>
                <w:highlight w:val="none"/>
                <w:lang w:val="en-US" w:eastAsia="zh-CN"/>
              </w:rPr>
              <w:t>面积占比</w:t>
            </w:r>
            <w:bookmarkEnd w:id="4490"/>
            <w:bookmarkEnd w:id="4491"/>
            <w:bookmarkEnd w:id="4492"/>
            <w:bookmarkEnd w:id="4493"/>
            <w:bookmarkEnd w:id="4494"/>
          </w:p>
        </w:tc>
      </w:tr>
      <w:tr w14:paraId="69DB0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8" w:hRule="atLeast"/>
          <w:tblHeader/>
        </w:trPr>
        <w:tc>
          <w:tcPr>
            <w:tcW w:w="1789" w:type="dxa"/>
            <w:tcBorders>
              <w:tl2br w:val="nil"/>
              <w:tr2bl w:val="nil"/>
            </w:tcBorders>
            <w:shd w:val="clear" w:color="auto" w:fill="auto"/>
            <w:noWrap/>
            <w:tcMar>
              <w:top w:w="15" w:type="dxa"/>
              <w:left w:w="15" w:type="dxa"/>
              <w:right w:w="15" w:type="dxa"/>
            </w:tcMar>
            <w:vAlign w:val="center"/>
          </w:tcPr>
          <w:p w14:paraId="772CB7D8">
            <w:pPr>
              <w:pStyle w:val="29"/>
              <w:keepNext w:val="0"/>
              <w:keepLines w:val="0"/>
              <w:pageBreakBefore w:val="0"/>
              <w:widowControl/>
              <w:suppressLineNumbers w:val="0"/>
              <w:kinsoku/>
              <w:wordWrap/>
              <w:overflowPunct/>
              <w:topLinePunct w:val="0"/>
              <w:autoSpaceDE/>
              <w:autoSpaceDN/>
              <w:bidi w:val="0"/>
              <w:spacing w:beforeAutospacing="0" w:afterAutospacing="0"/>
              <w:ind w:left="0" w:right="0" w:firstLine="0" w:firstLineChars="0"/>
              <w:jc w:val="center"/>
              <w:rPr>
                <w:rFonts w:hint="default" w:ascii="Times New Roman" w:hAnsi="Times New Roman" w:cs="Times New Roman"/>
                <w:b/>
                <w:bCs/>
                <w:color w:val="auto"/>
                <w:sz w:val="21"/>
                <w:szCs w:val="21"/>
                <w:highlight w:val="none"/>
                <w:lang w:val="en-US" w:eastAsia="zh-CN"/>
              </w:rPr>
            </w:pPr>
            <w:bookmarkStart w:id="4495" w:name="_Toc18391"/>
            <w:bookmarkStart w:id="4496" w:name="_Toc25100"/>
            <w:bookmarkStart w:id="4497" w:name="_Toc27233"/>
            <w:r>
              <w:rPr>
                <w:rFonts w:hint="eastAsia" w:cs="Times New Roman"/>
                <w:b/>
                <w:bCs/>
                <w:color w:val="auto"/>
                <w:sz w:val="21"/>
                <w:szCs w:val="21"/>
                <w:highlight w:val="none"/>
                <w:lang w:val="en-US" w:eastAsia="zh-CN"/>
              </w:rPr>
              <w:t>一级</w:t>
            </w:r>
            <w:bookmarkEnd w:id="4495"/>
            <w:bookmarkEnd w:id="4496"/>
            <w:bookmarkEnd w:id="4497"/>
          </w:p>
        </w:tc>
        <w:tc>
          <w:tcPr>
            <w:tcW w:w="1790" w:type="dxa"/>
            <w:tcBorders>
              <w:tl2br w:val="nil"/>
              <w:tr2bl w:val="nil"/>
            </w:tcBorders>
            <w:shd w:val="clear" w:color="auto" w:fill="auto"/>
            <w:noWrap/>
            <w:tcMar>
              <w:top w:w="15" w:type="dxa"/>
              <w:left w:w="15" w:type="dxa"/>
              <w:right w:w="15" w:type="dxa"/>
            </w:tcMar>
            <w:vAlign w:val="center"/>
          </w:tcPr>
          <w:p w14:paraId="34D26C51">
            <w:pPr>
              <w:pStyle w:val="29"/>
              <w:keepNext w:val="0"/>
              <w:keepLines w:val="0"/>
              <w:pageBreakBefore w:val="0"/>
              <w:widowControl/>
              <w:suppressLineNumbers w:val="0"/>
              <w:kinsoku/>
              <w:wordWrap/>
              <w:overflowPunct/>
              <w:topLinePunct w:val="0"/>
              <w:autoSpaceDE/>
              <w:autoSpaceDN/>
              <w:bidi w:val="0"/>
              <w:spacing w:beforeAutospacing="0" w:afterAutospacing="0"/>
              <w:ind w:left="0" w:right="0" w:firstLine="0" w:firstLineChars="0"/>
              <w:jc w:val="center"/>
              <w:rPr>
                <w:rFonts w:hint="default" w:ascii="Times New Roman" w:hAnsi="Times New Roman" w:cs="Times New Roman"/>
                <w:b/>
                <w:bCs/>
                <w:color w:val="auto"/>
                <w:sz w:val="21"/>
                <w:szCs w:val="21"/>
                <w:highlight w:val="none"/>
                <w:lang w:val="en-US" w:eastAsia="zh-CN"/>
              </w:rPr>
            </w:pPr>
            <w:bookmarkStart w:id="4498" w:name="_Toc17067"/>
            <w:bookmarkStart w:id="4499" w:name="_Toc12472"/>
            <w:bookmarkStart w:id="4500" w:name="_Toc7306"/>
            <w:r>
              <w:rPr>
                <w:rFonts w:hint="eastAsia" w:cs="Times New Roman"/>
                <w:b/>
                <w:bCs/>
                <w:color w:val="auto"/>
                <w:sz w:val="21"/>
                <w:szCs w:val="21"/>
                <w:highlight w:val="none"/>
                <w:lang w:val="en-US" w:eastAsia="zh-CN"/>
              </w:rPr>
              <w:t>二级</w:t>
            </w:r>
            <w:bookmarkEnd w:id="4498"/>
            <w:bookmarkEnd w:id="4499"/>
            <w:bookmarkEnd w:id="4500"/>
          </w:p>
        </w:tc>
        <w:tc>
          <w:tcPr>
            <w:tcW w:w="2307" w:type="dxa"/>
            <w:vMerge w:val="continue"/>
            <w:tcBorders>
              <w:tl2br w:val="nil"/>
              <w:tr2bl w:val="nil"/>
            </w:tcBorders>
            <w:shd w:val="clear" w:color="auto" w:fill="auto"/>
            <w:noWrap/>
            <w:tcMar>
              <w:top w:w="15" w:type="dxa"/>
              <w:left w:w="15" w:type="dxa"/>
              <w:right w:w="15" w:type="dxa"/>
            </w:tcMar>
            <w:vAlign w:val="center"/>
          </w:tcPr>
          <w:p w14:paraId="48E9F0CF">
            <w:pPr>
              <w:pStyle w:val="29"/>
              <w:keepNext w:val="0"/>
              <w:keepLines w:val="0"/>
              <w:pageBreakBefore w:val="0"/>
              <w:widowControl/>
              <w:suppressLineNumbers w:val="0"/>
              <w:kinsoku/>
              <w:wordWrap/>
              <w:overflowPunct/>
              <w:topLinePunct w:val="0"/>
              <w:autoSpaceDE/>
              <w:autoSpaceDN/>
              <w:bidi w:val="0"/>
              <w:spacing w:beforeAutospacing="0" w:afterAutospacing="0"/>
              <w:ind w:left="0" w:right="0" w:firstLine="0" w:firstLineChars="0"/>
              <w:jc w:val="center"/>
              <w:rPr>
                <w:rFonts w:hint="default" w:ascii="Times New Roman" w:hAnsi="Times New Roman" w:cs="Times New Roman"/>
                <w:b/>
                <w:bCs/>
                <w:color w:val="auto"/>
                <w:sz w:val="21"/>
                <w:szCs w:val="21"/>
                <w:highlight w:val="none"/>
                <w:lang w:val="en-US" w:eastAsia="zh-CN"/>
              </w:rPr>
            </w:pPr>
          </w:p>
        </w:tc>
        <w:tc>
          <w:tcPr>
            <w:tcW w:w="2677" w:type="dxa"/>
            <w:vMerge w:val="continue"/>
            <w:tcBorders>
              <w:tl2br w:val="nil"/>
              <w:tr2bl w:val="nil"/>
            </w:tcBorders>
            <w:shd w:val="clear" w:color="auto" w:fill="auto"/>
            <w:noWrap/>
            <w:tcMar>
              <w:top w:w="15" w:type="dxa"/>
              <w:left w:w="15" w:type="dxa"/>
              <w:right w:w="15" w:type="dxa"/>
            </w:tcMar>
            <w:vAlign w:val="center"/>
          </w:tcPr>
          <w:p w14:paraId="715A1687">
            <w:pPr>
              <w:pStyle w:val="29"/>
              <w:keepNext w:val="0"/>
              <w:keepLines w:val="0"/>
              <w:pageBreakBefore w:val="0"/>
              <w:widowControl/>
              <w:suppressLineNumbers w:val="0"/>
              <w:kinsoku/>
              <w:wordWrap/>
              <w:overflowPunct/>
              <w:topLinePunct w:val="0"/>
              <w:autoSpaceDE/>
              <w:autoSpaceDN/>
              <w:bidi w:val="0"/>
              <w:spacing w:beforeAutospacing="0" w:afterAutospacing="0"/>
              <w:ind w:left="0" w:right="0" w:firstLine="0" w:firstLineChars="0"/>
              <w:jc w:val="center"/>
              <w:rPr>
                <w:rFonts w:hint="default" w:ascii="Times New Roman" w:hAnsi="Times New Roman" w:cs="Times New Roman"/>
                <w:b/>
                <w:bCs/>
                <w:color w:val="auto"/>
                <w:sz w:val="21"/>
                <w:szCs w:val="21"/>
                <w:highlight w:val="none"/>
                <w:lang w:val="en-US" w:eastAsia="zh-CN"/>
              </w:rPr>
            </w:pPr>
          </w:p>
        </w:tc>
      </w:tr>
      <w:tr w14:paraId="382C8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tcBorders>
              <w:tl2br w:val="nil"/>
              <w:tr2bl w:val="nil"/>
            </w:tcBorders>
            <w:shd w:val="clear" w:color="auto" w:fill="auto"/>
            <w:noWrap/>
            <w:tcMar>
              <w:top w:w="15" w:type="dxa"/>
              <w:left w:w="15" w:type="dxa"/>
              <w:right w:w="15" w:type="dxa"/>
            </w:tcMar>
            <w:vAlign w:val="center"/>
          </w:tcPr>
          <w:p w14:paraId="312218D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工矿仓储用地</w:t>
            </w:r>
          </w:p>
        </w:tc>
        <w:tc>
          <w:tcPr>
            <w:tcW w:w="1790" w:type="dxa"/>
            <w:tcBorders>
              <w:tl2br w:val="nil"/>
              <w:tr2bl w:val="nil"/>
            </w:tcBorders>
            <w:shd w:val="clear" w:color="auto" w:fill="auto"/>
            <w:noWrap/>
            <w:tcMar>
              <w:top w:w="15" w:type="dxa"/>
              <w:left w:w="15" w:type="dxa"/>
              <w:right w:w="15" w:type="dxa"/>
            </w:tcMar>
            <w:vAlign w:val="center"/>
          </w:tcPr>
          <w:p w14:paraId="45F5751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采矿用地</w:t>
            </w:r>
          </w:p>
        </w:tc>
        <w:tc>
          <w:tcPr>
            <w:tcW w:w="2307" w:type="dxa"/>
            <w:tcBorders>
              <w:tl2br w:val="nil"/>
              <w:tr2bl w:val="nil"/>
            </w:tcBorders>
            <w:shd w:val="clear" w:color="auto" w:fill="auto"/>
            <w:noWrap/>
            <w:tcMar>
              <w:top w:w="15" w:type="dxa"/>
              <w:left w:w="15" w:type="dxa"/>
              <w:right w:w="15" w:type="dxa"/>
            </w:tcMar>
            <w:vAlign w:val="center"/>
          </w:tcPr>
          <w:p w14:paraId="403F201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6.05</w:t>
            </w:r>
          </w:p>
        </w:tc>
        <w:tc>
          <w:tcPr>
            <w:tcW w:w="2677" w:type="dxa"/>
            <w:tcBorders>
              <w:tl2br w:val="nil"/>
              <w:tr2bl w:val="nil"/>
            </w:tcBorders>
            <w:shd w:val="clear" w:color="auto" w:fill="auto"/>
            <w:noWrap/>
            <w:tcMar>
              <w:top w:w="15" w:type="dxa"/>
              <w:left w:w="15" w:type="dxa"/>
              <w:right w:w="15" w:type="dxa"/>
            </w:tcMar>
            <w:vAlign w:val="center"/>
          </w:tcPr>
          <w:p w14:paraId="45F11B7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0.41%</w:t>
            </w:r>
          </w:p>
        </w:tc>
      </w:tr>
      <w:tr w14:paraId="0EE9D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89" w:type="dxa"/>
            <w:vMerge w:val="restart"/>
            <w:tcBorders>
              <w:tl2br w:val="nil"/>
              <w:tr2bl w:val="nil"/>
            </w:tcBorders>
            <w:shd w:val="clear" w:color="auto" w:fill="auto"/>
            <w:noWrap/>
            <w:tcMar>
              <w:top w:w="15" w:type="dxa"/>
              <w:left w:w="15" w:type="dxa"/>
              <w:right w:w="15" w:type="dxa"/>
            </w:tcMar>
            <w:vAlign w:val="center"/>
          </w:tcPr>
          <w:p w14:paraId="1352D50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交通运输用地</w:t>
            </w:r>
          </w:p>
        </w:tc>
        <w:tc>
          <w:tcPr>
            <w:tcW w:w="1790" w:type="dxa"/>
            <w:tcBorders>
              <w:tl2br w:val="nil"/>
              <w:tr2bl w:val="nil"/>
            </w:tcBorders>
            <w:shd w:val="clear" w:color="auto" w:fill="auto"/>
            <w:noWrap/>
            <w:tcMar>
              <w:top w:w="15" w:type="dxa"/>
              <w:left w:w="15" w:type="dxa"/>
              <w:right w:w="15" w:type="dxa"/>
            </w:tcMar>
            <w:vAlign w:val="center"/>
          </w:tcPr>
          <w:p w14:paraId="554023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公路用地</w:t>
            </w:r>
          </w:p>
        </w:tc>
        <w:tc>
          <w:tcPr>
            <w:tcW w:w="2307" w:type="dxa"/>
            <w:tcBorders>
              <w:tl2br w:val="nil"/>
              <w:tr2bl w:val="nil"/>
            </w:tcBorders>
            <w:shd w:val="clear" w:color="auto" w:fill="auto"/>
            <w:noWrap/>
            <w:tcMar>
              <w:top w:w="15" w:type="dxa"/>
              <w:left w:w="15" w:type="dxa"/>
              <w:right w:w="15" w:type="dxa"/>
            </w:tcMar>
            <w:vAlign w:val="center"/>
          </w:tcPr>
          <w:p w14:paraId="4EB1809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14.7</w:t>
            </w:r>
          </w:p>
        </w:tc>
        <w:tc>
          <w:tcPr>
            <w:tcW w:w="2677" w:type="dxa"/>
            <w:tcBorders>
              <w:tl2br w:val="nil"/>
              <w:tr2bl w:val="nil"/>
            </w:tcBorders>
            <w:shd w:val="clear" w:color="auto" w:fill="auto"/>
            <w:noWrap/>
            <w:tcMar>
              <w:top w:w="15" w:type="dxa"/>
              <w:left w:w="15" w:type="dxa"/>
              <w:right w:w="15" w:type="dxa"/>
            </w:tcMar>
            <w:vAlign w:val="center"/>
          </w:tcPr>
          <w:p w14:paraId="68E0F06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1.00%</w:t>
            </w:r>
          </w:p>
        </w:tc>
      </w:tr>
      <w:tr w14:paraId="31BEC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45A949F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cs="Times New Roman"/>
                <w:color w:val="auto"/>
                <w:sz w:val="21"/>
                <w:szCs w:val="21"/>
                <w:highlight w:val="none"/>
                <w:lang w:eastAsia="zh-CN"/>
              </w:rPr>
            </w:pPr>
          </w:p>
        </w:tc>
        <w:tc>
          <w:tcPr>
            <w:tcW w:w="1790" w:type="dxa"/>
            <w:tcBorders>
              <w:tl2br w:val="nil"/>
              <w:tr2bl w:val="nil"/>
            </w:tcBorders>
            <w:shd w:val="clear" w:color="auto" w:fill="auto"/>
            <w:noWrap/>
            <w:tcMar>
              <w:top w:w="15" w:type="dxa"/>
              <w:left w:w="15" w:type="dxa"/>
              <w:right w:w="15" w:type="dxa"/>
            </w:tcMar>
            <w:vAlign w:val="center"/>
          </w:tcPr>
          <w:p w14:paraId="1B7E718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农村道路</w:t>
            </w:r>
          </w:p>
        </w:tc>
        <w:tc>
          <w:tcPr>
            <w:tcW w:w="2307" w:type="dxa"/>
            <w:tcBorders>
              <w:tl2br w:val="nil"/>
              <w:tr2bl w:val="nil"/>
            </w:tcBorders>
            <w:shd w:val="clear" w:color="auto" w:fill="auto"/>
            <w:noWrap/>
            <w:tcMar>
              <w:top w:w="15" w:type="dxa"/>
              <w:left w:w="15" w:type="dxa"/>
              <w:right w:w="15" w:type="dxa"/>
            </w:tcMar>
            <w:vAlign w:val="center"/>
          </w:tcPr>
          <w:p w14:paraId="2DD9E4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14.32</w:t>
            </w:r>
          </w:p>
        </w:tc>
        <w:tc>
          <w:tcPr>
            <w:tcW w:w="2677" w:type="dxa"/>
            <w:tcBorders>
              <w:tl2br w:val="nil"/>
              <w:tr2bl w:val="nil"/>
            </w:tcBorders>
            <w:shd w:val="clear" w:color="auto" w:fill="auto"/>
            <w:noWrap/>
            <w:tcMar>
              <w:top w:w="15" w:type="dxa"/>
              <w:left w:w="15" w:type="dxa"/>
              <w:right w:w="15" w:type="dxa"/>
            </w:tcMar>
            <w:vAlign w:val="center"/>
          </w:tcPr>
          <w:p w14:paraId="2959988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0.97%</w:t>
            </w:r>
          </w:p>
        </w:tc>
      </w:tr>
      <w:tr w14:paraId="02B69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restart"/>
            <w:tcBorders>
              <w:tl2br w:val="nil"/>
              <w:tr2bl w:val="nil"/>
            </w:tcBorders>
            <w:shd w:val="clear" w:color="auto" w:fill="auto"/>
            <w:noWrap/>
            <w:tcMar>
              <w:top w:w="15" w:type="dxa"/>
              <w:left w:w="15" w:type="dxa"/>
              <w:right w:w="15" w:type="dxa"/>
            </w:tcMar>
            <w:vAlign w:val="center"/>
          </w:tcPr>
          <w:p w14:paraId="183EDB0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公共管理与公共服务用地</w:t>
            </w:r>
          </w:p>
        </w:tc>
        <w:tc>
          <w:tcPr>
            <w:tcW w:w="1790" w:type="dxa"/>
            <w:tcBorders>
              <w:tl2br w:val="nil"/>
              <w:tr2bl w:val="nil"/>
            </w:tcBorders>
            <w:shd w:val="clear" w:color="auto" w:fill="auto"/>
            <w:noWrap/>
            <w:tcMar>
              <w:top w:w="15" w:type="dxa"/>
              <w:left w:w="15" w:type="dxa"/>
              <w:right w:w="15" w:type="dxa"/>
            </w:tcMar>
            <w:vAlign w:val="center"/>
          </w:tcPr>
          <w:p w14:paraId="0057B63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公用设施用地</w:t>
            </w:r>
          </w:p>
        </w:tc>
        <w:tc>
          <w:tcPr>
            <w:tcW w:w="2307" w:type="dxa"/>
            <w:tcBorders>
              <w:tl2br w:val="nil"/>
              <w:tr2bl w:val="nil"/>
            </w:tcBorders>
            <w:shd w:val="clear" w:color="auto" w:fill="auto"/>
            <w:noWrap/>
            <w:tcMar>
              <w:top w:w="15" w:type="dxa"/>
              <w:left w:w="15" w:type="dxa"/>
              <w:right w:w="15" w:type="dxa"/>
            </w:tcMar>
            <w:vAlign w:val="center"/>
          </w:tcPr>
          <w:p w14:paraId="26138EE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2.62</w:t>
            </w:r>
          </w:p>
        </w:tc>
        <w:tc>
          <w:tcPr>
            <w:tcW w:w="2677" w:type="dxa"/>
            <w:tcBorders>
              <w:tl2br w:val="nil"/>
              <w:tr2bl w:val="nil"/>
            </w:tcBorders>
            <w:shd w:val="clear" w:color="auto" w:fill="auto"/>
            <w:noWrap/>
            <w:tcMar>
              <w:top w:w="15" w:type="dxa"/>
              <w:left w:w="15" w:type="dxa"/>
              <w:right w:w="15" w:type="dxa"/>
            </w:tcMar>
            <w:vAlign w:val="center"/>
          </w:tcPr>
          <w:p w14:paraId="7D3D7CC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0.18%</w:t>
            </w:r>
          </w:p>
        </w:tc>
      </w:tr>
      <w:tr w14:paraId="39095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53A8494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cs="Times New Roman"/>
                <w:color w:val="auto"/>
                <w:sz w:val="21"/>
                <w:szCs w:val="21"/>
                <w:highlight w:val="none"/>
                <w:lang w:eastAsia="zh-CN"/>
              </w:rPr>
            </w:pPr>
          </w:p>
        </w:tc>
        <w:tc>
          <w:tcPr>
            <w:tcW w:w="1790" w:type="dxa"/>
            <w:tcBorders>
              <w:tl2br w:val="nil"/>
              <w:tr2bl w:val="nil"/>
            </w:tcBorders>
            <w:shd w:val="clear" w:color="auto" w:fill="auto"/>
            <w:noWrap/>
            <w:tcMar>
              <w:top w:w="15" w:type="dxa"/>
              <w:left w:w="15" w:type="dxa"/>
              <w:right w:w="15" w:type="dxa"/>
            </w:tcMar>
            <w:vAlign w:val="center"/>
          </w:tcPr>
          <w:p w14:paraId="6CBEFAF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科教文卫用地</w:t>
            </w:r>
          </w:p>
        </w:tc>
        <w:tc>
          <w:tcPr>
            <w:tcW w:w="2307" w:type="dxa"/>
            <w:tcBorders>
              <w:tl2br w:val="nil"/>
              <w:tr2bl w:val="nil"/>
            </w:tcBorders>
            <w:shd w:val="clear" w:color="auto" w:fill="auto"/>
            <w:noWrap/>
            <w:tcMar>
              <w:top w:w="15" w:type="dxa"/>
              <w:left w:w="15" w:type="dxa"/>
              <w:right w:w="15" w:type="dxa"/>
            </w:tcMar>
            <w:vAlign w:val="center"/>
          </w:tcPr>
          <w:p w14:paraId="1FBF8A9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2.07</w:t>
            </w:r>
          </w:p>
        </w:tc>
        <w:tc>
          <w:tcPr>
            <w:tcW w:w="2677" w:type="dxa"/>
            <w:tcBorders>
              <w:tl2br w:val="nil"/>
              <w:tr2bl w:val="nil"/>
            </w:tcBorders>
            <w:shd w:val="clear" w:color="auto" w:fill="auto"/>
            <w:noWrap/>
            <w:tcMar>
              <w:top w:w="15" w:type="dxa"/>
              <w:left w:w="15" w:type="dxa"/>
              <w:right w:w="15" w:type="dxa"/>
            </w:tcMar>
            <w:vAlign w:val="center"/>
          </w:tcPr>
          <w:p w14:paraId="2C02FD8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0.14%</w:t>
            </w:r>
          </w:p>
        </w:tc>
      </w:tr>
      <w:tr w14:paraId="65143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tcBorders>
              <w:tl2br w:val="nil"/>
              <w:tr2bl w:val="nil"/>
            </w:tcBorders>
            <w:shd w:val="clear" w:color="auto" w:fill="auto"/>
            <w:noWrap/>
            <w:tcMar>
              <w:top w:w="15" w:type="dxa"/>
              <w:left w:w="15" w:type="dxa"/>
              <w:right w:w="15" w:type="dxa"/>
            </w:tcMar>
            <w:vAlign w:val="center"/>
          </w:tcPr>
          <w:p w14:paraId="0158E3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草地</w:t>
            </w:r>
          </w:p>
        </w:tc>
        <w:tc>
          <w:tcPr>
            <w:tcW w:w="1790" w:type="dxa"/>
            <w:tcBorders>
              <w:tl2br w:val="nil"/>
              <w:tr2bl w:val="nil"/>
            </w:tcBorders>
            <w:shd w:val="clear" w:color="auto" w:fill="auto"/>
            <w:noWrap/>
            <w:tcMar>
              <w:top w:w="15" w:type="dxa"/>
              <w:left w:w="15" w:type="dxa"/>
              <w:right w:w="15" w:type="dxa"/>
            </w:tcMar>
            <w:vAlign w:val="center"/>
          </w:tcPr>
          <w:p w14:paraId="2F6834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其他草地</w:t>
            </w:r>
          </w:p>
        </w:tc>
        <w:tc>
          <w:tcPr>
            <w:tcW w:w="2307" w:type="dxa"/>
            <w:tcBorders>
              <w:tl2br w:val="nil"/>
              <w:tr2bl w:val="nil"/>
            </w:tcBorders>
            <w:shd w:val="clear" w:color="auto" w:fill="auto"/>
            <w:noWrap/>
            <w:tcMar>
              <w:top w:w="15" w:type="dxa"/>
              <w:left w:w="15" w:type="dxa"/>
              <w:right w:w="15" w:type="dxa"/>
            </w:tcMar>
            <w:vAlign w:val="center"/>
          </w:tcPr>
          <w:p w14:paraId="19325D7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91.76</w:t>
            </w:r>
          </w:p>
        </w:tc>
        <w:tc>
          <w:tcPr>
            <w:tcW w:w="2677" w:type="dxa"/>
            <w:tcBorders>
              <w:tl2br w:val="nil"/>
              <w:tr2bl w:val="nil"/>
            </w:tcBorders>
            <w:shd w:val="clear" w:color="auto" w:fill="auto"/>
            <w:noWrap/>
            <w:tcMar>
              <w:top w:w="15" w:type="dxa"/>
              <w:left w:w="15" w:type="dxa"/>
              <w:right w:w="15" w:type="dxa"/>
            </w:tcMar>
            <w:vAlign w:val="center"/>
          </w:tcPr>
          <w:p w14:paraId="1D31215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6.22%</w:t>
            </w:r>
          </w:p>
        </w:tc>
      </w:tr>
      <w:tr w14:paraId="20607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restart"/>
            <w:tcBorders>
              <w:tl2br w:val="nil"/>
              <w:tr2bl w:val="nil"/>
            </w:tcBorders>
            <w:shd w:val="clear" w:color="auto" w:fill="auto"/>
            <w:noWrap/>
            <w:tcMar>
              <w:top w:w="15" w:type="dxa"/>
              <w:left w:w="15" w:type="dxa"/>
              <w:right w:w="15" w:type="dxa"/>
            </w:tcMar>
            <w:vAlign w:val="center"/>
          </w:tcPr>
          <w:p w14:paraId="20A40C6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林地</w:t>
            </w:r>
          </w:p>
        </w:tc>
        <w:tc>
          <w:tcPr>
            <w:tcW w:w="1790" w:type="dxa"/>
            <w:tcBorders>
              <w:tl2br w:val="nil"/>
              <w:tr2bl w:val="nil"/>
            </w:tcBorders>
            <w:shd w:val="clear" w:color="auto" w:fill="auto"/>
            <w:noWrap/>
            <w:tcMar>
              <w:top w:w="15" w:type="dxa"/>
              <w:left w:w="15" w:type="dxa"/>
              <w:right w:w="15" w:type="dxa"/>
            </w:tcMar>
            <w:vAlign w:val="center"/>
          </w:tcPr>
          <w:p w14:paraId="1AE9871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灌木林地</w:t>
            </w:r>
          </w:p>
        </w:tc>
        <w:tc>
          <w:tcPr>
            <w:tcW w:w="2307" w:type="dxa"/>
            <w:tcBorders>
              <w:tl2br w:val="nil"/>
              <w:tr2bl w:val="nil"/>
            </w:tcBorders>
            <w:shd w:val="clear" w:color="auto" w:fill="auto"/>
            <w:noWrap/>
            <w:tcMar>
              <w:top w:w="15" w:type="dxa"/>
              <w:left w:w="15" w:type="dxa"/>
              <w:right w:w="15" w:type="dxa"/>
            </w:tcMar>
            <w:vAlign w:val="center"/>
          </w:tcPr>
          <w:p w14:paraId="48C465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13.26</w:t>
            </w:r>
          </w:p>
        </w:tc>
        <w:tc>
          <w:tcPr>
            <w:tcW w:w="2677" w:type="dxa"/>
            <w:tcBorders>
              <w:tl2br w:val="nil"/>
              <w:tr2bl w:val="nil"/>
            </w:tcBorders>
            <w:shd w:val="clear" w:color="auto" w:fill="auto"/>
            <w:noWrap/>
            <w:tcMar>
              <w:top w:w="15" w:type="dxa"/>
              <w:left w:w="15" w:type="dxa"/>
              <w:right w:w="15" w:type="dxa"/>
            </w:tcMar>
            <w:vAlign w:val="center"/>
          </w:tcPr>
          <w:p w14:paraId="6CC25D0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0.90%</w:t>
            </w:r>
          </w:p>
        </w:tc>
      </w:tr>
      <w:tr w14:paraId="42841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42590C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cs="Times New Roman"/>
                <w:color w:val="auto"/>
                <w:sz w:val="21"/>
                <w:szCs w:val="21"/>
                <w:highlight w:val="none"/>
                <w:lang w:eastAsia="zh-CN"/>
              </w:rPr>
            </w:pPr>
          </w:p>
        </w:tc>
        <w:tc>
          <w:tcPr>
            <w:tcW w:w="1790" w:type="dxa"/>
            <w:tcBorders>
              <w:tl2br w:val="nil"/>
              <w:tr2bl w:val="nil"/>
            </w:tcBorders>
            <w:shd w:val="clear" w:color="auto" w:fill="auto"/>
            <w:noWrap/>
            <w:tcMar>
              <w:top w:w="15" w:type="dxa"/>
              <w:left w:w="15" w:type="dxa"/>
              <w:right w:w="15" w:type="dxa"/>
            </w:tcMar>
            <w:vAlign w:val="center"/>
          </w:tcPr>
          <w:p w14:paraId="5B1A6A1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其他林地</w:t>
            </w:r>
          </w:p>
        </w:tc>
        <w:tc>
          <w:tcPr>
            <w:tcW w:w="2307" w:type="dxa"/>
            <w:tcBorders>
              <w:tl2br w:val="nil"/>
              <w:tr2bl w:val="nil"/>
            </w:tcBorders>
            <w:shd w:val="clear" w:color="auto" w:fill="auto"/>
            <w:noWrap/>
            <w:tcMar>
              <w:top w:w="15" w:type="dxa"/>
              <w:left w:w="15" w:type="dxa"/>
              <w:right w:w="15" w:type="dxa"/>
            </w:tcMar>
            <w:vAlign w:val="center"/>
          </w:tcPr>
          <w:p w14:paraId="0BBD0A3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272.92</w:t>
            </w:r>
          </w:p>
        </w:tc>
        <w:tc>
          <w:tcPr>
            <w:tcW w:w="2677" w:type="dxa"/>
            <w:tcBorders>
              <w:tl2br w:val="nil"/>
              <w:tr2bl w:val="nil"/>
            </w:tcBorders>
            <w:shd w:val="clear" w:color="auto" w:fill="auto"/>
            <w:noWrap/>
            <w:tcMar>
              <w:top w:w="15" w:type="dxa"/>
              <w:left w:w="15" w:type="dxa"/>
              <w:right w:w="15" w:type="dxa"/>
            </w:tcMar>
            <w:vAlign w:val="center"/>
          </w:tcPr>
          <w:p w14:paraId="2E9F9FA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18.49%</w:t>
            </w:r>
          </w:p>
        </w:tc>
      </w:tr>
      <w:tr w14:paraId="1B44A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1FCAF9F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cs="Times New Roman"/>
                <w:color w:val="auto"/>
                <w:sz w:val="21"/>
                <w:szCs w:val="21"/>
                <w:highlight w:val="none"/>
                <w:lang w:eastAsia="zh-CN"/>
              </w:rPr>
            </w:pPr>
          </w:p>
        </w:tc>
        <w:tc>
          <w:tcPr>
            <w:tcW w:w="1790" w:type="dxa"/>
            <w:tcBorders>
              <w:tl2br w:val="nil"/>
              <w:tr2bl w:val="nil"/>
            </w:tcBorders>
            <w:shd w:val="clear" w:color="auto" w:fill="auto"/>
            <w:noWrap/>
            <w:tcMar>
              <w:top w:w="15" w:type="dxa"/>
              <w:left w:w="15" w:type="dxa"/>
              <w:right w:w="15" w:type="dxa"/>
            </w:tcMar>
            <w:vAlign w:val="center"/>
          </w:tcPr>
          <w:p w14:paraId="350E056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乔木林地</w:t>
            </w:r>
          </w:p>
        </w:tc>
        <w:tc>
          <w:tcPr>
            <w:tcW w:w="2307" w:type="dxa"/>
            <w:tcBorders>
              <w:tl2br w:val="nil"/>
              <w:tr2bl w:val="nil"/>
            </w:tcBorders>
            <w:shd w:val="clear" w:color="auto" w:fill="auto"/>
            <w:noWrap/>
            <w:tcMar>
              <w:top w:w="15" w:type="dxa"/>
              <w:left w:w="15" w:type="dxa"/>
              <w:right w:w="15" w:type="dxa"/>
            </w:tcMar>
            <w:vAlign w:val="center"/>
          </w:tcPr>
          <w:p w14:paraId="51BC1C6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318.45</w:t>
            </w:r>
          </w:p>
        </w:tc>
        <w:tc>
          <w:tcPr>
            <w:tcW w:w="2677" w:type="dxa"/>
            <w:tcBorders>
              <w:tl2br w:val="nil"/>
              <w:tr2bl w:val="nil"/>
            </w:tcBorders>
            <w:shd w:val="clear" w:color="auto" w:fill="auto"/>
            <w:noWrap/>
            <w:tcMar>
              <w:top w:w="15" w:type="dxa"/>
              <w:left w:w="15" w:type="dxa"/>
              <w:right w:w="15" w:type="dxa"/>
            </w:tcMar>
            <w:vAlign w:val="center"/>
          </w:tcPr>
          <w:p w14:paraId="049EC2E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21.58%</w:t>
            </w:r>
          </w:p>
        </w:tc>
      </w:tr>
      <w:tr w14:paraId="158A5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tcBorders>
              <w:tl2br w:val="nil"/>
              <w:tr2bl w:val="nil"/>
            </w:tcBorders>
            <w:shd w:val="clear" w:color="auto" w:fill="auto"/>
            <w:noWrap/>
            <w:tcMar>
              <w:top w:w="15" w:type="dxa"/>
              <w:left w:w="15" w:type="dxa"/>
              <w:right w:w="15" w:type="dxa"/>
            </w:tcMar>
            <w:vAlign w:val="center"/>
          </w:tcPr>
          <w:p w14:paraId="7DAE151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园地</w:t>
            </w:r>
          </w:p>
        </w:tc>
        <w:tc>
          <w:tcPr>
            <w:tcW w:w="1790" w:type="dxa"/>
            <w:tcBorders>
              <w:tl2br w:val="nil"/>
              <w:tr2bl w:val="nil"/>
            </w:tcBorders>
            <w:shd w:val="clear" w:color="auto" w:fill="auto"/>
            <w:noWrap/>
            <w:tcMar>
              <w:top w:w="15" w:type="dxa"/>
              <w:left w:w="15" w:type="dxa"/>
              <w:right w:w="15" w:type="dxa"/>
            </w:tcMar>
            <w:vAlign w:val="center"/>
          </w:tcPr>
          <w:p w14:paraId="2902E10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果园</w:t>
            </w:r>
          </w:p>
        </w:tc>
        <w:tc>
          <w:tcPr>
            <w:tcW w:w="2307" w:type="dxa"/>
            <w:tcBorders>
              <w:tl2br w:val="nil"/>
              <w:tr2bl w:val="nil"/>
            </w:tcBorders>
            <w:shd w:val="clear" w:color="auto" w:fill="auto"/>
            <w:noWrap/>
            <w:tcMar>
              <w:top w:w="15" w:type="dxa"/>
              <w:left w:w="15" w:type="dxa"/>
              <w:right w:w="15" w:type="dxa"/>
            </w:tcMar>
            <w:vAlign w:val="center"/>
          </w:tcPr>
          <w:p w14:paraId="147F20A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1.26</w:t>
            </w:r>
          </w:p>
        </w:tc>
        <w:tc>
          <w:tcPr>
            <w:tcW w:w="2677" w:type="dxa"/>
            <w:tcBorders>
              <w:tl2br w:val="nil"/>
              <w:tr2bl w:val="nil"/>
            </w:tcBorders>
            <w:shd w:val="clear" w:color="auto" w:fill="auto"/>
            <w:noWrap/>
            <w:tcMar>
              <w:top w:w="15" w:type="dxa"/>
              <w:left w:w="15" w:type="dxa"/>
              <w:right w:w="15" w:type="dxa"/>
            </w:tcMar>
            <w:vAlign w:val="center"/>
          </w:tcPr>
          <w:p w14:paraId="20515B0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0.09%</w:t>
            </w:r>
          </w:p>
        </w:tc>
      </w:tr>
      <w:tr w14:paraId="6D1F8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tcBorders>
              <w:tl2br w:val="nil"/>
              <w:tr2bl w:val="nil"/>
            </w:tcBorders>
            <w:shd w:val="clear" w:color="auto" w:fill="auto"/>
            <w:noWrap/>
            <w:tcMar>
              <w:top w:w="15" w:type="dxa"/>
              <w:left w:w="15" w:type="dxa"/>
              <w:right w:w="15" w:type="dxa"/>
            </w:tcMar>
            <w:vAlign w:val="center"/>
          </w:tcPr>
          <w:p w14:paraId="58EA3A7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耕地</w:t>
            </w:r>
          </w:p>
        </w:tc>
        <w:tc>
          <w:tcPr>
            <w:tcW w:w="1790" w:type="dxa"/>
            <w:tcBorders>
              <w:tl2br w:val="nil"/>
              <w:tr2bl w:val="nil"/>
            </w:tcBorders>
            <w:shd w:val="clear" w:color="auto" w:fill="auto"/>
            <w:noWrap/>
            <w:tcMar>
              <w:top w:w="15" w:type="dxa"/>
              <w:left w:w="15" w:type="dxa"/>
              <w:right w:w="15" w:type="dxa"/>
            </w:tcMar>
            <w:vAlign w:val="center"/>
          </w:tcPr>
          <w:p w14:paraId="5BA44B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旱地</w:t>
            </w:r>
          </w:p>
        </w:tc>
        <w:tc>
          <w:tcPr>
            <w:tcW w:w="2307" w:type="dxa"/>
            <w:tcBorders>
              <w:tl2br w:val="nil"/>
              <w:tr2bl w:val="nil"/>
            </w:tcBorders>
            <w:shd w:val="clear" w:color="auto" w:fill="auto"/>
            <w:noWrap/>
            <w:tcMar>
              <w:top w:w="15" w:type="dxa"/>
              <w:left w:w="15" w:type="dxa"/>
              <w:right w:w="15" w:type="dxa"/>
            </w:tcMar>
            <w:vAlign w:val="center"/>
          </w:tcPr>
          <w:p w14:paraId="39B139E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405.97</w:t>
            </w:r>
          </w:p>
        </w:tc>
        <w:tc>
          <w:tcPr>
            <w:tcW w:w="2677" w:type="dxa"/>
            <w:tcBorders>
              <w:tl2br w:val="nil"/>
              <w:tr2bl w:val="nil"/>
            </w:tcBorders>
            <w:shd w:val="clear" w:color="auto" w:fill="auto"/>
            <w:noWrap/>
            <w:tcMar>
              <w:top w:w="15" w:type="dxa"/>
              <w:left w:w="15" w:type="dxa"/>
              <w:right w:w="15" w:type="dxa"/>
            </w:tcMar>
            <w:vAlign w:val="center"/>
          </w:tcPr>
          <w:p w14:paraId="489E4D7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27.5%</w:t>
            </w:r>
          </w:p>
        </w:tc>
      </w:tr>
      <w:tr w14:paraId="23D82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restart"/>
            <w:tcBorders>
              <w:tl2br w:val="nil"/>
              <w:tr2bl w:val="nil"/>
            </w:tcBorders>
            <w:shd w:val="clear" w:color="auto" w:fill="auto"/>
            <w:noWrap/>
            <w:tcMar>
              <w:top w:w="15" w:type="dxa"/>
              <w:left w:w="15" w:type="dxa"/>
              <w:right w:w="15" w:type="dxa"/>
            </w:tcMar>
            <w:vAlign w:val="center"/>
          </w:tcPr>
          <w:p w14:paraId="6C5551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水域及水利设施用地</w:t>
            </w:r>
          </w:p>
        </w:tc>
        <w:tc>
          <w:tcPr>
            <w:tcW w:w="1790" w:type="dxa"/>
            <w:tcBorders>
              <w:tl2br w:val="nil"/>
              <w:tr2bl w:val="nil"/>
            </w:tcBorders>
            <w:shd w:val="clear" w:color="auto" w:fill="auto"/>
            <w:noWrap/>
            <w:tcMar>
              <w:top w:w="15" w:type="dxa"/>
              <w:left w:w="15" w:type="dxa"/>
              <w:right w:w="15" w:type="dxa"/>
            </w:tcMar>
            <w:vAlign w:val="center"/>
          </w:tcPr>
          <w:p w14:paraId="7C26BE0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河流水面</w:t>
            </w:r>
          </w:p>
        </w:tc>
        <w:tc>
          <w:tcPr>
            <w:tcW w:w="2307" w:type="dxa"/>
            <w:tcBorders>
              <w:tl2br w:val="nil"/>
              <w:tr2bl w:val="nil"/>
            </w:tcBorders>
            <w:shd w:val="clear" w:color="auto" w:fill="auto"/>
            <w:noWrap/>
            <w:tcMar>
              <w:top w:w="15" w:type="dxa"/>
              <w:left w:w="15" w:type="dxa"/>
              <w:right w:w="15" w:type="dxa"/>
            </w:tcMar>
            <w:vAlign w:val="center"/>
          </w:tcPr>
          <w:p w14:paraId="7387027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172.34</w:t>
            </w:r>
          </w:p>
        </w:tc>
        <w:tc>
          <w:tcPr>
            <w:tcW w:w="2677" w:type="dxa"/>
            <w:tcBorders>
              <w:tl2br w:val="nil"/>
              <w:tr2bl w:val="nil"/>
            </w:tcBorders>
            <w:shd w:val="clear" w:color="auto" w:fill="auto"/>
            <w:noWrap/>
            <w:tcMar>
              <w:top w:w="15" w:type="dxa"/>
              <w:left w:w="15" w:type="dxa"/>
              <w:right w:w="15" w:type="dxa"/>
            </w:tcMar>
            <w:vAlign w:val="center"/>
          </w:tcPr>
          <w:p w14:paraId="08F3B58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11.68%</w:t>
            </w:r>
          </w:p>
        </w:tc>
      </w:tr>
      <w:tr w14:paraId="4D1DC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7C5D705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cs="Times New Roman"/>
                <w:color w:val="auto"/>
                <w:sz w:val="21"/>
                <w:szCs w:val="21"/>
                <w:highlight w:val="none"/>
              </w:rPr>
            </w:pPr>
            <w:bookmarkStart w:id="4501" w:name="_Toc10188"/>
          </w:p>
        </w:tc>
        <w:tc>
          <w:tcPr>
            <w:tcW w:w="1790" w:type="dxa"/>
            <w:tcBorders>
              <w:tl2br w:val="nil"/>
              <w:tr2bl w:val="nil"/>
            </w:tcBorders>
            <w:shd w:val="clear" w:color="auto" w:fill="auto"/>
            <w:noWrap/>
            <w:tcMar>
              <w:top w:w="15" w:type="dxa"/>
              <w:left w:w="15" w:type="dxa"/>
              <w:right w:w="15" w:type="dxa"/>
            </w:tcMar>
            <w:vAlign w:val="center"/>
          </w:tcPr>
          <w:p w14:paraId="716C801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坑塘水面</w:t>
            </w:r>
          </w:p>
        </w:tc>
        <w:tc>
          <w:tcPr>
            <w:tcW w:w="2307" w:type="dxa"/>
            <w:tcBorders>
              <w:tl2br w:val="nil"/>
              <w:tr2bl w:val="nil"/>
            </w:tcBorders>
            <w:shd w:val="clear" w:color="auto" w:fill="auto"/>
            <w:noWrap/>
            <w:tcMar>
              <w:top w:w="15" w:type="dxa"/>
              <w:left w:w="15" w:type="dxa"/>
              <w:right w:w="15" w:type="dxa"/>
            </w:tcMar>
            <w:vAlign w:val="center"/>
          </w:tcPr>
          <w:p w14:paraId="2905768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2677" w:type="dxa"/>
            <w:tcBorders>
              <w:tl2br w:val="nil"/>
              <w:tr2bl w:val="nil"/>
            </w:tcBorders>
            <w:shd w:val="clear" w:color="auto" w:fill="auto"/>
            <w:noWrap/>
            <w:tcMar>
              <w:top w:w="15" w:type="dxa"/>
              <w:left w:w="15" w:type="dxa"/>
              <w:right w:w="15" w:type="dxa"/>
            </w:tcMar>
            <w:vAlign w:val="center"/>
          </w:tcPr>
          <w:p w14:paraId="0B9209B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r>
      <w:tr w14:paraId="7F7F4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4EFE9A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cs="Times New Roman"/>
                <w:color w:val="auto"/>
                <w:sz w:val="21"/>
                <w:szCs w:val="21"/>
                <w:highlight w:val="none"/>
              </w:rPr>
            </w:pPr>
          </w:p>
        </w:tc>
        <w:tc>
          <w:tcPr>
            <w:tcW w:w="1790" w:type="dxa"/>
            <w:tcBorders>
              <w:tl2br w:val="nil"/>
              <w:tr2bl w:val="nil"/>
            </w:tcBorders>
            <w:shd w:val="clear" w:color="auto" w:fill="auto"/>
            <w:noWrap/>
            <w:tcMar>
              <w:top w:w="15" w:type="dxa"/>
              <w:left w:w="15" w:type="dxa"/>
              <w:right w:w="15" w:type="dxa"/>
            </w:tcMar>
            <w:vAlign w:val="center"/>
          </w:tcPr>
          <w:p w14:paraId="00F302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水工建筑用地</w:t>
            </w:r>
          </w:p>
        </w:tc>
        <w:tc>
          <w:tcPr>
            <w:tcW w:w="2307" w:type="dxa"/>
            <w:tcBorders>
              <w:tl2br w:val="nil"/>
              <w:tr2bl w:val="nil"/>
            </w:tcBorders>
            <w:shd w:val="clear" w:color="auto" w:fill="auto"/>
            <w:noWrap/>
            <w:tcMar>
              <w:top w:w="15" w:type="dxa"/>
              <w:left w:w="15" w:type="dxa"/>
              <w:right w:w="15" w:type="dxa"/>
            </w:tcMar>
            <w:vAlign w:val="center"/>
          </w:tcPr>
          <w:p w14:paraId="4A7912B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1.65</w:t>
            </w:r>
          </w:p>
        </w:tc>
        <w:tc>
          <w:tcPr>
            <w:tcW w:w="2677" w:type="dxa"/>
            <w:tcBorders>
              <w:tl2br w:val="nil"/>
              <w:tr2bl w:val="nil"/>
            </w:tcBorders>
            <w:shd w:val="clear" w:color="auto" w:fill="auto"/>
            <w:noWrap/>
            <w:tcMar>
              <w:top w:w="15" w:type="dxa"/>
              <w:left w:w="15" w:type="dxa"/>
              <w:right w:w="15" w:type="dxa"/>
            </w:tcMar>
            <w:vAlign w:val="center"/>
          </w:tcPr>
          <w:p w14:paraId="2CE1920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0.11%</w:t>
            </w:r>
          </w:p>
        </w:tc>
      </w:tr>
      <w:tr w14:paraId="668E4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7577C41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cs="Times New Roman"/>
                <w:color w:val="auto"/>
                <w:sz w:val="21"/>
                <w:szCs w:val="21"/>
                <w:highlight w:val="none"/>
              </w:rPr>
            </w:pPr>
          </w:p>
        </w:tc>
        <w:tc>
          <w:tcPr>
            <w:tcW w:w="1790" w:type="dxa"/>
            <w:tcBorders>
              <w:tl2br w:val="nil"/>
              <w:tr2bl w:val="nil"/>
            </w:tcBorders>
            <w:shd w:val="clear" w:color="auto" w:fill="auto"/>
            <w:noWrap/>
            <w:tcMar>
              <w:top w:w="15" w:type="dxa"/>
              <w:left w:w="15" w:type="dxa"/>
              <w:right w:w="15" w:type="dxa"/>
            </w:tcMar>
            <w:vAlign w:val="center"/>
          </w:tcPr>
          <w:p w14:paraId="32C236A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水库水面</w:t>
            </w:r>
          </w:p>
        </w:tc>
        <w:tc>
          <w:tcPr>
            <w:tcW w:w="2307" w:type="dxa"/>
            <w:tcBorders>
              <w:tl2br w:val="nil"/>
              <w:tr2bl w:val="nil"/>
            </w:tcBorders>
            <w:shd w:val="clear" w:color="auto" w:fill="auto"/>
            <w:noWrap/>
            <w:tcMar>
              <w:top w:w="15" w:type="dxa"/>
              <w:left w:w="15" w:type="dxa"/>
              <w:right w:w="15" w:type="dxa"/>
            </w:tcMar>
            <w:vAlign w:val="center"/>
          </w:tcPr>
          <w:p w14:paraId="40F001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71.05</w:t>
            </w:r>
          </w:p>
        </w:tc>
        <w:tc>
          <w:tcPr>
            <w:tcW w:w="2677" w:type="dxa"/>
            <w:tcBorders>
              <w:tl2br w:val="nil"/>
              <w:tr2bl w:val="nil"/>
            </w:tcBorders>
            <w:shd w:val="clear" w:color="auto" w:fill="auto"/>
            <w:noWrap/>
            <w:tcMar>
              <w:top w:w="15" w:type="dxa"/>
              <w:left w:w="15" w:type="dxa"/>
              <w:right w:w="15" w:type="dxa"/>
            </w:tcMar>
            <w:vAlign w:val="center"/>
          </w:tcPr>
          <w:p w14:paraId="518EB76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4.8%</w:t>
            </w:r>
          </w:p>
        </w:tc>
      </w:tr>
      <w:tr w14:paraId="243D7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tcBorders>
              <w:tl2br w:val="nil"/>
              <w:tr2bl w:val="nil"/>
            </w:tcBorders>
            <w:shd w:val="clear" w:color="auto" w:fill="auto"/>
            <w:noWrap/>
            <w:tcMar>
              <w:top w:w="15" w:type="dxa"/>
              <w:left w:w="15" w:type="dxa"/>
              <w:right w:w="15" w:type="dxa"/>
            </w:tcMar>
            <w:vAlign w:val="center"/>
          </w:tcPr>
          <w:p w14:paraId="1DE0577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住宅用地</w:t>
            </w:r>
          </w:p>
        </w:tc>
        <w:tc>
          <w:tcPr>
            <w:tcW w:w="1790" w:type="dxa"/>
            <w:tcBorders>
              <w:tl2br w:val="nil"/>
              <w:tr2bl w:val="nil"/>
            </w:tcBorders>
            <w:shd w:val="clear" w:color="auto" w:fill="auto"/>
            <w:noWrap/>
            <w:tcMar>
              <w:top w:w="15" w:type="dxa"/>
              <w:left w:w="15" w:type="dxa"/>
              <w:right w:w="15" w:type="dxa"/>
            </w:tcMar>
            <w:vAlign w:val="center"/>
          </w:tcPr>
          <w:p w14:paraId="2F1A041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农村宅基地</w:t>
            </w:r>
          </w:p>
        </w:tc>
        <w:tc>
          <w:tcPr>
            <w:tcW w:w="2307" w:type="dxa"/>
            <w:tcBorders>
              <w:tl2br w:val="nil"/>
              <w:tr2bl w:val="nil"/>
            </w:tcBorders>
            <w:shd w:val="clear" w:color="auto" w:fill="auto"/>
            <w:noWrap/>
            <w:tcMar>
              <w:top w:w="15" w:type="dxa"/>
              <w:left w:w="15" w:type="dxa"/>
              <w:right w:w="15" w:type="dxa"/>
            </w:tcMar>
            <w:vAlign w:val="center"/>
          </w:tcPr>
          <w:p w14:paraId="40CEF1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79.79</w:t>
            </w:r>
          </w:p>
        </w:tc>
        <w:tc>
          <w:tcPr>
            <w:tcW w:w="2677" w:type="dxa"/>
            <w:tcBorders>
              <w:tl2br w:val="nil"/>
              <w:tr2bl w:val="nil"/>
            </w:tcBorders>
            <w:shd w:val="clear" w:color="auto" w:fill="auto"/>
            <w:noWrap/>
            <w:tcMar>
              <w:top w:w="15" w:type="dxa"/>
              <w:left w:w="15" w:type="dxa"/>
              <w:right w:w="15" w:type="dxa"/>
            </w:tcMar>
            <w:vAlign w:val="center"/>
          </w:tcPr>
          <w:p w14:paraId="1599F55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5.41%</w:t>
            </w:r>
          </w:p>
        </w:tc>
      </w:tr>
      <w:tr w14:paraId="031D2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restart"/>
            <w:tcBorders>
              <w:tl2br w:val="nil"/>
              <w:tr2bl w:val="nil"/>
            </w:tcBorders>
            <w:shd w:val="clear" w:color="auto" w:fill="auto"/>
            <w:noWrap/>
            <w:tcMar>
              <w:top w:w="15" w:type="dxa"/>
              <w:left w:w="15" w:type="dxa"/>
              <w:right w:w="15" w:type="dxa"/>
            </w:tcMar>
            <w:vAlign w:val="center"/>
          </w:tcPr>
          <w:p w14:paraId="611DFFE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其他土地</w:t>
            </w:r>
          </w:p>
        </w:tc>
        <w:tc>
          <w:tcPr>
            <w:tcW w:w="1790" w:type="dxa"/>
            <w:tcBorders>
              <w:tl2br w:val="nil"/>
              <w:tr2bl w:val="nil"/>
            </w:tcBorders>
            <w:shd w:val="clear" w:color="auto" w:fill="auto"/>
            <w:noWrap/>
            <w:tcMar>
              <w:top w:w="15" w:type="dxa"/>
              <w:left w:w="15" w:type="dxa"/>
              <w:right w:w="15" w:type="dxa"/>
            </w:tcMar>
            <w:vAlign w:val="center"/>
          </w:tcPr>
          <w:p w14:paraId="10AEA49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裸土地</w:t>
            </w:r>
          </w:p>
        </w:tc>
        <w:tc>
          <w:tcPr>
            <w:tcW w:w="2307" w:type="dxa"/>
            <w:tcBorders>
              <w:tl2br w:val="nil"/>
              <w:tr2bl w:val="nil"/>
            </w:tcBorders>
            <w:shd w:val="clear" w:color="auto" w:fill="auto"/>
            <w:noWrap/>
            <w:tcMar>
              <w:top w:w="15" w:type="dxa"/>
              <w:left w:w="15" w:type="dxa"/>
              <w:right w:w="15" w:type="dxa"/>
            </w:tcMar>
            <w:vAlign w:val="center"/>
          </w:tcPr>
          <w:p w14:paraId="179E0A0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0.09</w:t>
            </w:r>
          </w:p>
        </w:tc>
        <w:tc>
          <w:tcPr>
            <w:tcW w:w="2677" w:type="dxa"/>
            <w:tcBorders>
              <w:tl2br w:val="nil"/>
              <w:tr2bl w:val="nil"/>
            </w:tcBorders>
            <w:shd w:val="clear" w:color="auto" w:fill="auto"/>
            <w:noWrap/>
            <w:tcMar>
              <w:top w:w="15" w:type="dxa"/>
              <w:left w:w="15" w:type="dxa"/>
              <w:right w:w="15" w:type="dxa"/>
            </w:tcMar>
            <w:vAlign w:val="center"/>
          </w:tcPr>
          <w:p w14:paraId="313568A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0.01%</w:t>
            </w:r>
          </w:p>
        </w:tc>
      </w:tr>
      <w:tr w14:paraId="7B310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789" w:type="dxa"/>
            <w:vMerge w:val="continue"/>
            <w:tcBorders>
              <w:tl2br w:val="nil"/>
              <w:tr2bl w:val="nil"/>
            </w:tcBorders>
            <w:shd w:val="clear" w:color="auto" w:fill="auto"/>
            <w:noWrap/>
            <w:tcMar>
              <w:top w:w="15" w:type="dxa"/>
              <w:left w:w="15" w:type="dxa"/>
              <w:right w:w="15" w:type="dxa"/>
            </w:tcMar>
            <w:vAlign w:val="center"/>
          </w:tcPr>
          <w:p w14:paraId="3E505C4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cs="Times New Roman"/>
                <w:color w:val="auto"/>
                <w:sz w:val="21"/>
                <w:szCs w:val="21"/>
                <w:highlight w:val="none"/>
              </w:rPr>
            </w:pPr>
          </w:p>
        </w:tc>
        <w:tc>
          <w:tcPr>
            <w:tcW w:w="1790" w:type="dxa"/>
            <w:tcBorders>
              <w:tl2br w:val="nil"/>
              <w:tr2bl w:val="nil"/>
            </w:tcBorders>
            <w:shd w:val="clear" w:color="auto" w:fill="auto"/>
            <w:noWrap/>
            <w:tcMar>
              <w:top w:w="15" w:type="dxa"/>
              <w:left w:w="15" w:type="dxa"/>
              <w:right w:w="15" w:type="dxa"/>
            </w:tcMar>
            <w:vAlign w:val="center"/>
          </w:tcPr>
          <w:p w14:paraId="6A9673D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设施农用地</w:t>
            </w:r>
          </w:p>
        </w:tc>
        <w:tc>
          <w:tcPr>
            <w:tcW w:w="2307" w:type="dxa"/>
            <w:tcBorders>
              <w:tl2br w:val="nil"/>
              <w:tr2bl w:val="nil"/>
            </w:tcBorders>
            <w:shd w:val="clear" w:color="auto" w:fill="auto"/>
            <w:noWrap/>
            <w:tcMar>
              <w:top w:w="15" w:type="dxa"/>
              <w:left w:w="15" w:type="dxa"/>
              <w:right w:w="15" w:type="dxa"/>
            </w:tcMar>
            <w:vAlign w:val="center"/>
          </w:tcPr>
          <w:p w14:paraId="2324E0B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6.44</w:t>
            </w:r>
          </w:p>
        </w:tc>
        <w:tc>
          <w:tcPr>
            <w:tcW w:w="2677" w:type="dxa"/>
            <w:tcBorders>
              <w:tl2br w:val="nil"/>
              <w:tr2bl w:val="nil"/>
            </w:tcBorders>
            <w:shd w:val="clear" w:color="auto" w:fill="auto"/>
            <w:noWrap/>
            <w:tcMar>
              <w:top w:w="15" w:type="dxa"/>
              <w:left w:w="15" w:type="dxa"/>
              <w:right w:w="15" w:type="dxa"/>
            </w:tcMar>
            <w:vAlign w:val="center"/>
          </w:tcPr>
          <w:p w14:paraId="4B31C6D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0.44%</w:t>
            </w:r>
          </w:p>
        </w:tc>
      </w:tr>
      <w:tr w14:paraId="45FB5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579" w:type="dxa"/>
            <w:gridSpan w:val="2"/>
            <w:tcBorders>
              <w:tl2br w:val="nil"/>
              <w:tr2bl w:val="nil"/>
            </w:tcBorders>
            <w:shd w:val="clear" w:color="auto" w:fill="auto"/>
            <w:noWrap/>
            <w:tcMar>
              <w:top w:w="15" w:type="dxa"/>
              <w:left w:w="15" w:type="dxa"/>
              <w:right w:w="15" w:type="dxa"/>
            </w:tcMar>
            <w:vAlign w:val="center"/>
          </w:tcPr>
          <w:p w14:paraId="6F7CFE4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合计</w:t>
            </w:r>
          </w:p>
        </w:tc>
        <w:tc>
          <w:tcPr>
            <w:tcW w:w="2307" w:type="dxa"/>
            <w:tcBorders>
              <w:tl2br w:val="nil"/>
              <w:tr2bl w:val="nil"/>
            </w:tcBorders>
            <w:shd w:val="clear" w:color="auto" w:fill="auto"/>
            <w:noWrap/>
            <w:tcMar>
              <w:top w:w="15" w:type="dxa"/>
              <w:left w:w="15" w:type="dxa"/>
              <w:right w:w="15" w:type="dxa"/>
            </w:tcMar>
            <w:vAlign w:val="center"/>
          </w:tcPr>
          <w:p w14:paraId="3A5F64E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1475.74</w:t>
            </w:r>
          </w:p>
        </w:tc>
        <w:tc>
          <w:tcPr>
            <w:tcW w:w="2677" w:type="dxa"/>
            <w:tcBorders>
              <w:tl2br w:val="nil"/>
              <w:tr2bl w:val="nil"/>
            </w:tcBorders>
            <w:shd w:val="clear" w:color="auto" w:fill="auto"/>
            <w:noWrap/>
            <w:tcMar>
              <w:top w:w="15" w:type="dxa"/>
              <w:left w:w="15" w:type="dxa"/>
              <w:right w:w="15" w:type="dxa"/>
            </w:tcMar>
            <w:vAlign w:val="center"/>
          </w:tcPr>
          <w:p w14:paraId="23CB773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100.00%</w:t>
            </w:r>
          </w:p>
        </w:tc>
      </w:tr>
    </w:tbl>
    <w:p w14:paraId="26A846E5">
      <w:pPr>
        <w:pStyle w:val="7"/>
        <w:tabs>
          <w:tab w:val="left" w:pos="864"/>
        </w:tabs>
        <w:bidi w:val="0"/>
        <w:outlineLvl w:val="3"/>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5.6.1.5生态系统现状</w:t>
      </w:r>
      <w:bookmarkEnd w:id="4501"/>
    </w:p>
    <w:p w14:paraId="04FB285D">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评价</w:t>
      </w:r>
      <w:r>
        <w:rPr>
          <w:rFonts w:hint="default" w:ascii="Times New Roman" w:hAnsi="Times New Roman" w:eastAsia="宋体" w:cs="Times New Roman"/>
          <w:color w:val="auto"/>
          <w:kern w:val="0"/>
          <w:sz w:val="24"/>
          <w:szCs w:val="24"/>
          <w:highlight w:val="none"/>
          <w:lang w:val="en-US" w:eastAsia="zh-CN" w:bidi="ar"/>
        </w:rPr>
        <w:t>区域总面积为1475.74公顷，生态系统类型丰富且占比差异显著。其中，森林生态系统占比最高，达40.07%，面积为591.36公顷，是区域生态的核心组成部分；农田生态系统次之，占比27.59%，面积407.23公顷，体现出显著的农业用地特征；湿地生态系统占比16.56%，面积244.39公顷，具备良好的生态调节潜力。城镇生态系统和草地生态系统占比分别为8.65%、6.22%，而灌丛生态系统及其他类型占比较小，合计不足1%，整体呈现以森林、农田、湿地为主体，城镇、草地为辅的生态结构格局。详见表</w:t>
      </w:r>
      <w:r>
        <w:rPr>
          <w:rFonts w:hint="default" w:ascii="Times New Roman" w:hAnsi="Times New Roman" w:cs="Times New Roman"/>
          <w:color w:val="auto"/>
          <w:kern w:val="0"/>
          <w:sz w:val="24"/>
          <w:szCs w:val="24"/>
          <w:highlight w:val="none"/>
          <w:lang w:val="en-US" w:eastAsia="zh-CN" w:bidi="ar"/>
        </w:rPr>
        <w:t>5.6-</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p>
    <w:p w14:paraId="30DFB6EA">
      <w:pPr>
        <w:keepNext w:val="0"/>
        <w:keepLines w:val="0"/>
        <w:widowControl/>
        <w:suppressLineNumbers w:val="0"/>
        <w:ind w:left="0" w:leftChars="0" w:firstLine="0" w:firstLineChars="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表5.6-</w:t>
      </w:r>
      <w:r>
        <w:rPr>
          <w:rFonts w:hint="eastAsia"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评价区生态系统现状表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3538"/>
        <w:gridCol w:w="2270"/>
      </w:tblGrid>
      <w:tr w14:paraId="5B903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1" w:type="pct"/>
            <w:tcBorders>
              <w:tl2br w:val="nil"/>
              <w:tr2bl w:val="nil"/>
            </w:tcBorders>
            <w:noWrap w:val="0"/>
            <w:vAlign w:val="center"/>
          </w:tcPr>
          <w:p w14:paraId="597A037F">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bookmarkStart w:id="4502" w:name="_Toc2011"/>
            <w:bookmarkStart w:id="4503" w:name="_Toc3055"/>
            <w:bookmarkStart w:id="4504" w:name="_Toc10741"/>
            <w:bookmarkStart w:id="4505" w:name="_Toc17826"/>
            <w:bookmarkStart w:id="4506" w:name="_Toc31372"/>
            <w:r>
              <w:rPr>
                <w:rFonts w:hint="default" w:ascii="Times New Roman" w:hAnsi="Times New Roman" w:eastAsia="宋体" w:cs="Times New Roman"/>
                <w:b/>
                <w:bCs/>
                <w:color w:val="auto"/>
                <w:sz w:val="21"/>
                <w:szCs w:val="21"/>
                <w:highlight w:val="none"/>
                <w:lang w:val="en-US" w:eastAsia="zh-CN"/>
              </w:rPr>
              <w:t>生态系统</w:t>
            </w:r>
            <w:bookmarkEnd w:id="4502"/>
            <w:bookmarkEnd w:id="4503"/>
            <w:bookmarkEnd w:id="4504"/>
            <w:bookmarkEnd w:id="4505"/>
            <w:bookmarkEnd w:id="4506"/>
          </w:p>
        </w:tc>
        <w:tc>
          <w:tcPr>
            <w:tcW w:w="2076" w:type="pct"/>
            <w:tcBorders>
              <w:tl2br w:val="nil"/>
              <w:tr2bl w:val="nil"/>
            </w:tcBorders>
            <w:noWrap w:val="0"/>
            <w:vAlign w:val="center"/>
          </w:tcPr>
          <w:p w14:paraId="43818672">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bookmarkStart w:id="4507" w:name="_Toc17468"/>
            <w:bookmarkStart w:id="4508" w:name="_Toc7356"/>
            <w:bookmarkStart w:id="4509" w:name="_Toc29168"/>
            <w:r>
              <w:rPr>
                <w:rFonts w:hint="default" w:ascii="Times New Roman" w:hAnsi="Times New Roman" w:cs="Times New Roman"/>
                <w:b/>
                <w:bCs/>
                <w:color w:val="auto"/>
                <w:sz w:val="21"/>
                <w:szCs w:val="21"/>
                <w:highlight w:val="none"/>
                <w:lang w:val="en-US" w:eastAsia="zh-CN"/>
              </w:rPr>
              <w:t>公顷（hm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cs="Times New Roman"/>
                <w:b/>
                <w:bCs/>
                <w:color w:val="auto"/>
                <w:sz w:val="21"/>
                <w:szCs w:val="21"/>
                <w:highlight w:val="none"/>
                <w:lang w:val="en-US" w:eastAsia="zh-CN"/>
              </w:rPr>
              <w:t>）</w:t>
            </w:r>
            <w:bookmarkEnd w:id="4507"/>
            <w:bookmarkEnd w:id="4508"/>
            <w:bookmarkEnd w:id="4509"/>
          </w:p>
        </w:tc>
        <w:tc>
          <w:tcPr>
            <w:tcW w:w="1332" w:type="pct"/>
            <w:tcBorders>
              <w:tl2br w:val="nil"/>
              <w:tr2bl w:val="nil"/>
            </w:tcBorders>
            <w:noWrap w:val="0"/>
            <w:vAlign w:val="center"/>
          </w:tcPr>
          <w:p w14:paraId="25EDDE54">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bookmarkStart w:id="4510" w:name="_Toc30072"/>
            <w:bookmarkStart w:id="4511" w:name="_Toc5013"/>
            <w:bookmarkStart w:id="4512" w:name="_Toc26000"/>
            <w:r>
              <w:rPr>
                <w:rFonts w:hint="default" w:ascii="Times New Roman" w:hAnsi="Times New Roman" w:cs="Times New Roman"/>
                <w:b/>
                <w:bCs/>
                <w:color w:val="auto"/>
                <w:sz w:val="21"/>
                <w:szCs w:val="21"/>
                <w:highlight w:val="none"/>
                <w:lang w:val="en-US" w:eastAsia="zh-CN"/>
              </w:rPr>
              <w:t>面积比（%）</w:t>
            </w:r>
            <w:bookmarkEnd w:id="4510"/>
            <w:bookmarkEnd w:id="4511"/>
            <w:bookmarkEnd w:id="4512"/>
          </w:p>
        </w:tc>
      </w:tr>
      <w:tr w14:paraId="4EABB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20943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草地生态系统</w:t>
            </w:r>
          </w:p>
        </w:tc>
        <w:tc>
          <w:tcPr>
            <w:tcW w:w="2076" w:type="pct"/>
            <w:tcBorders>
              <w:tl2br w:val="nil"/>
              <w:tr2bl w:val="nil"/>
            </w:tcBorders>
            <w:noWrap w:val="0"/>
            <w:vAlign w:val="center"/>
          </w:tcPr>
          <w:p w14:paraId="39417B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91.76</w:t>
            </w:r>
          </w:p>
        </w:tc>
        <w:tc>
          <w:tcPr>
            <w:tcW w:w="2270" w:type="dxa"/>
            <w:tcBorders>
              <w:tl2br w:val="nil"/>
              <w:tr2bl w:val="nil"/>
            </w:tcBorders>
            <w:noWrap w:val="0"/>
            <w:vAlign w:val="center"/>
          </w:tcPr>
          <w:p w14:paraId="35C4C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6.22%</w:t>
            </w:r>
          </w:p>
        </w:tc>
      </w:tr>
      <w:tr w14:paraId="7F59B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3A06F3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城镇生态系统</w:t>
            </w:r>
          </w:p>
        </w:tc>
        <w:tc>
          <w:tcPr>
            <w:tcW w:w="2076" w:type="pct"/>
            <w:tcBorders>
              <w:tl2br w:val="nil"/>
              <w:tr2bl w:val="nil"/>
            </w:tcBorders>
            <w:noWrap w:val="0"/>
            <w:vAlign w:val="center"/>
          </w:tcPr>
          <w:p w14:paraId="1436F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127.64</w:t>
            </w:r>
          </w:p>
        </w:tc>
        <w:tc>
          <w:tcPr>
            <w:tcW w:w="2270" w:type="dxa"/>
            <w:tcBorders>
              <w:tl2br w:val="nil"/>
              <w:tr2bl w:val="nil"/>
            </w:tcBorders>
            <w:noWrap w:val="0"/>
            <w:vAlign w:val="center"/>
          </w:tcPr>
          <w:p w14:paraId="608C2E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8.65%</w:t>
            </w:r>
          </w:p>
        </w:tc>
      </w:tr>
      <w:tr w14:paraId="5B4FB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47564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bookmarkStart w:id="4513" w:name="_Toc29623"/>
            <w:r>
              <w:rPr>
                <w:rFonts w:hint="default" w:ascii="Times New Roman" w:hAnsi="Times New Roman" w:eastAsia="宋体" w:cs="Times New Roman"/>
                <w:i w:val="0"/>
                <w:iCs w:val="0"/>
                <w:color w:val="auto"/>
                <w:kern w:val="0"/>
                <w:sz w:val="22"/>
                <w:szCs w:val="22"/>
                <w:highlight w:val="none"/>
                <w:u w:val="none"/>
                <w:lang w:val="en-US" w:eastAsia="zh-CN" w:bidi="ar"/>
              </w:rPr>
              <w:t>灌丛生态系统</w:t>
            </w:r>
          </w:p>
        </w:tc>
        <w:tc>
          <w:tcPr>
            <w:tcW w:w="2076" w:type="pct"/>
            <w:tcBorders>
              <w:tl2br w:val="nil"/>
              <w:tr2bl w:val="nil"/>
            </w:tcBorders>
            <w:noWrap w:val="0"/>
            <w:vAlign w:val="center"/>
          </w:tcPr>
          <w:p w14:paraId="389D55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13.26</w:t>
            </w:r>
          </w:p>
        </w:tc>
        <w:tc>
          <w:tcPr>
            <w:tcW w:w="2270" w:type="dxa"/>
            <w:tcBorders>
              <w:tl2br w:val="nil"/>
              <w:tr2bl w:val="nil"/>
            </w:tcBorders>
            <w:noWrap w:val="0"/>
            <w:vAlign w:val="center"/>
          </w:tcPr>
          <w:p w14:paraId="5A846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0.90%</w:t>
            </w:r>
          </w:p>
        </w:tc>
      </w:tr>
      <w:tr w14:paraId="2CF45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02FD3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农田生态系统</w:t>
            </w:r>
          </w:p>
        </w:tc>
        <w:tc>
          <w:tcPr>
            <w:tcW w:w="2076" w:type="pct"/>
            <w:tcBorders>
              <w:tl2br w:val="nil"/>
              <w:tr2bl w:val="nil"/>
            </w:tcBorders>
            <w:noWrap w:val="0"/>
            <w:vAlign w:val="center"/>
          </w:tcPr>
          <w:p w14:paraId="7A3DAC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407.23</w:t>
            </w:r>
          </w:p>
        </w:tc>
        <w:tc>
          <w:tcPr>
            <w:tcW w:w="2270" w:type="dxa"/>
            <w:tcBorders>
              <w:tl2br w:val="nil"/>
              <w:tr2bl w:val="nil"/>
            </w:tcBorders>
            <w:noWrap w:val="0"/>
            <w:vAlign w:val="center"/>
          </w:tcPr>
          <w:p w14:paraId="637F3B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27.59%</w:t>
            </w:r>
          </w:p>
        </w:tc>
      </w:tr>
      <w:tr w14:paraId="548BC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31723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其他</w:t>
            </w:r>
          </w:p>
        </w:tc>
        <w:tc>
          <w:tcPr>
            <w:tcW w:w="2076" w:type="pct"/>
            <w:tcBorders>
              <w:tl2br w:val="nil"/>
              <w:tr2bl w:val="nil"/>
            </w:tcBorders>
            <w:noWrap w:val="0"/>
            <w:vAlign w:val="center"/>
          </w:tcPr>
          <w:p w14:paraId="702C18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0.09</w:t>
            </w:r>
          </w:p>
        </w:tc>
        <w:tc>
          <w:tcPr>
            <w:tcW w:w="2270" w:type="dxa"/>
            <w:tcBorders>
              <w:tl2br w:val="nil"/>
              <w:tr2bl w:val="nil"/>
            </w:tcBorders>
            <w:noWrap w:val="0"/>
            <w:vAlign w:val="center"/>
          </w:tcPr>
          <w:p w14:paraId="1732D6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0.01%</w:t>
            </w:r>
          </w:p>
        </w:tc>
      </w:tr>
      <w:tr w14:paraId="0A4AD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1" w:type="pct"/>
            <w:tcBorders>
              <w:tl2br w:val="nil"/>
              <w:tr2bl w:val="nil"/>
            </w:tcBorders>
            <w:noWrap w:val="0"/>
            <w:vAlign w:val="center"/>
          </w:tcPr>
          <w:p w14:paraId="60EB3A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森林生态系统</w:t>
            </w:r>
          </w:p>
        </w:tc>
        <w:tc>
          <w:tcPr>
            <w:tcW w:w="2076" w:type="pct"/>
            <w:tcBorders>
              <w:tl2br w:val="nil"/>
              <w:tr2bl w:val="nil"/>
            </w:tcBorders>
            <w:noWrap w:val="0"/>
            <w:vAlign w:val="center"/>
          </w:tcPr>
          <w:p w14:paraId="4C7F4D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591.36</w:t>
            </w:r>
          </w:p>
        </w:tc>
        <w:tc>
          <w:tcPr>
            <w:tcW w:w="2270" w:type="dxa"/>
            <w:tcBorders>
              <w:tl2br w:val="nil"/>
              <w:tr2bl w:val="nil"/>
            </w:tcBorders>
            <w:noWrap w:val="0"/>
            <w:vAlign w:val="center"/>
          </w:tcPr>
          <w:p w14:paraId="70377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40.07%</w:t>
            </w:r>
          </w:p>
        </w:tc>
      </w:tr>
      <w:tr w14:paraId="3D317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4A3D0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湿地生态系统</w:t>
            </w:r>
          </w:p>
        </w:tc>
        <w:tc>
          <w:tcPr>
            <w:tcW w:w="2076" w:type="pct"/>
            <w:tcBorders>
              <w:tl2br w:val="nil"/>
              <w:tr2bl w:val="nil"/>
            </w:tcBorders>
            <w:noWrap w:val="0"/>
            <w:vAlign w:val="center"/>
          </w:tcPr>
          <w:p w14:paraId="282C77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244.39</w:t>
            </w:r>
          </w:p>
        </w:tc>
        <w:tc>
          <w:tcPr>
            <w:tcW w:w="2270" w:type="dxa"/>
            <w:tcBorders>
              <w:tl2br w:val="nil"/>
              <w:tr2bl w:val="nil"/>
            </w:tcBorders>
            <w:noWrap w:val="0"/>
            <w:vAlign w:val="center"/>
          </w:tcPr>
          <w:p w14:paraId="68CD8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16.56%</w:t>
            </w:r>
          </w:p>
        </w:tc>
      </w:tr>
      <w:tr w14:paraId="26BE0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654052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i w:val="0"/>
                <w:iCs w:val="0"/>
                <w:color w:val="auto"/>
                <w:kern w:val="0"/>
                <w:sz w:val="22"/>
                <w:szCs w:val="22"/>
                <w:highlight w:val="none"/>
                <w:u w:val="none"/>
                <w:lang w:val="en-US" w:eastAsia="zh-CN" w:bidi="ar"/>
              </w:rPr>
              <w:t>总计</w:t>
            </w:r>
          </w:p>
        </w:tc>
        <w:tc>
          <w:tcPr>
            <w:tcW w:w="2076" w:type="pct"/>
            <w:tcBorders>
              <w:tl2br w:val="nil"/>
              <w:tr2bl w:val="nil"/>
            </w:tcBorders>
            <w:noWrap w:val="0"/>
            <w:vAlign w:val="center"/>
          </w:tcPr>
          <w:p w14:paraId="7742E5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1475.74</w:t>
            </w:r>
          </w:p>
        </w:tc>
        <w:tc>
          <w:tcPr>
            <w:tcW w:w="2270" w:type="dxa"/>
            <w:tcBorders>
              <w:tl2br w:val="nil"/>
              <w:tr2bl w:val="nil"/>
            </w:tcBorders>
            <w:noWrap w:val="0"/>
            <w:vAlign w:val="center"/>
          </w:tcPr>
          <w:p w14:paraId="0E974B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100.00%</w:t>
            </w:r>
          </w:p>
        </w:tc>
      </w:tr>
    </w:tbl>
    <w:p w14:paraId="6D965B2B">
      <w:pPr>
        <w:pStyle w:val="7"/>
        <w:bidi w:val="0"/>
        <w:outlineLvl w:val="3"/>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5.6.1.6植被和植物多样性现状调查与评价</w:t>
      </w:r>
      <w:bookmarkEnd w:id="4513"/>
    </w:p>
    <w:p w14:paraId="42980A21">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为客观评价工程评价范围内植物现状，202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月评价组相关专业技术人员对区域植物多样性及植被等进行了现场调查，重点调查</w:t>
      </w:r>
      <w:r>
        <w:rPr>
          <w:rFonts w:hint="eastAsia" w:cs="Times New Roman"/>
          <w:color w:val="auto"/>
          <w:kern w:val="0"/>
          <w:sz w:val="24"/>
          <w:szCs w:val="24"/>
          <w:highlight w:val="none"/>
          <w:lang w:val="en-US" w:eastAsia="zh-CN" w:bidi="ar"/>
        </w:rPr>
        <w:t>评价区内生态红线</w:t>
      </w:r>
      <w:r>
        <w:rPr>
          <w:rFonts w:hint="default" w:ascii="Times New Roman" w:hAnsi="Times New Roman" w:eastAsia="宋体" w:cs="Times New Roman"/>
          <w:color w:val="auto"/>
          <w:kern w:val="0"/>
          <w:sz w:val="24"/>
          <w:szCs w:val="24"/>
          <w:highlight w:val="none"/>
          <w:lang w:val="en-US" w:eastAsia="zh-CN" w:bidi="ar"/>
        </w:rPr>
        <w:t>区及</w:t>
      </w:r>
      <w:r>
        <w:rPr>
          <w:rFonts w:hint="eastAsia" w:cs="Times New Roman"/>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周边区域等。</w:t>
      </w:r>
    </w:p>
    <w:p w14:paraId="561233A4">
      <w:pPr>
        <w:pStyle w:val="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5.6.1.6.1植物区系</w:t>
      </w:r>
    </w:p>
    <w:p w14:paraId="1B9AD09F">
      <w:pPr>
        <w:bidi w:val="0"/>
        <w:rPr>
          <w:rFonts w:hint="default"/>
          <w:color w:val="auto"/>
          <w:highlight w:val="none"/>
          <w:lang w:val="en-US" w:eastAsia="zh-CN"/>
        </w:rPr>
      </w:pPr>
      <w:r>
        <w:rPr>
          <w:rFonts w:hint="default"/>
          <w:color w:val="auto"/>
          <w:highlight w:val="none"/>
          <w:lang w:val="en-US" w:eastAsia="zh-CN"/>
        </w:rPr>
        <w:t>根据项目特点，评价范围为线性区域，线路所经区域为固原市原州区和彭阳县，根据《中国种子植物区系地理》（吴征镒等，2011年），评价范围内所属植物分区见表</w:t>
      </w:r>
      <w:r>
        <w:rPr>
          <w:rFonts w:hint="eastAsia"/>
          <w:color w:val="auto"/>
          <w:highlight w:val="none"/>
          <w:lang w:val="en-US" w:eastAsia="zh-CN"/>
        </w:rPr>
        <w:t>5.6-5</w:t>
      </w:r>
      <w:r>
        <w:rPr>
          <w:rFonts w:hint="default"/>
          <w:color w:val="auto"/>
          <w:highlight w:val="none"/>
          <w:lang w:val="en-US" w:eastAsia="zh-CN"/>
        </w:rPr>
        <w:t>。评价范围地处黄土高原温暖半干旱气候区，属于典型的大陆性季风气候，</w:t>
      </w:r>
      <w:r>
        <w:rPr>
          <w:rFonts w:hint="eastAsia"/>
          <w:color w:val="auto"/>
          <w:highlight w:val="none"/>
          <w:lang w:val="en-US" w:eastAsia="zh-CN"/>
        </w:rPr>
        <w:t>平均年降水量</w:t>
      </w:r>
      <w:r>
        <w:rPr>
          <w:rFonts w:hint="default"/>
          <w:color w:val="auto"/>
          <w:highlight w:val="none"/>
          <w:lang w:val="en-US" w:eastAsia="zh-CN"/>
        </w:rPr>
        <w:t>为499.7mm，项目区水土流失严重，自然植被受破坏较严重，植物种类较为丰富。植物区系中</w:t>
      </w:r>
      <w:r>
        <w:rPr>
          <w:rFonts w:hint="eastAsia"/>
          <w:color w:val="auto"/>
          <w:highlight w:val="none"/>
          <w:lang w:val="en-US" w:eastAsia="zh-CN"/>
        </w:rPr>
        <w:t>多为杏树灌木林地及</w:t>
      </w:r>
      <w:r>
        <w:rPr>
          <w:rFonts w:hint="default"/>
          <w:color w:val="auto"/>
          <w:highlight w:val="none"/>
          <w:lang w:val="en-US" w:eastAsia="zh-CN"/>
        </w:rPr>
        <w:t>草原。</w:t>
      </w:r>
    </w:p>
    <w:p w14:paraId="503D452A">
      <w:pPr>
        <w:keepNext w:val="0"/>
        <w:keepLines w:val="0"/>
        <w:widowControl/>
        <w:suppressLineNumbers w:val="0"/>
        <w:jc w:val="center"/>
        <w:rPr>
          <w:rFonts w:hint="default" w:ascii="Times New Roman" w:hAnsi="Times New Roman" w:eastAsia="宋体" w:cs="Times New Roman"/>
          <w:b/>
          <w:bCs/>
          <w:color w:val="auto"/>
          <w:kern w:val="0"/>
          <w:sz w:val="24"/>
          <w:szCs w:val="24"/>
          <w:highlight w:val="none"/>
          <w:lang w:bidi="ar"/>
        </w:rPr>
      </w:pPr>
      <w:r>
        <w:rPr>
          <w:rFonts w:hint="default" w:ascii="Times New Roman" w:hAnsi="Times New Roman" w:eastAsia="宋体" w:cs="Times New Roman"/>
          <w:b/>
          <w:bCs/>
          <w:color w:val="auto"/>
          <w:kern w:val="0"/>
          <w:sz w:val="24"/>
          <w:szCs w:val="24"/>
          <w:highlight w:val="none"/>
          <w:lang w:bidi="ar"/>
        </w:rPr>
        <w:t>表</w:t>
      </w:r>
      <w:r>
        <w:rPr>
          <w:rFonts w:hint="default" w:ascii="Times New Roman" w:hAnsi="Times New Roman" w:eastAsia="宋体" w:cs="Times New Roman"/>
          <w:b/>
          <w:bCs/>
          <w:color w:val="auto"/>
          <w:kern w:val="0"/>
          <w:sz w:val="24"/>
          <w:szCs w:val="24"/>
          <w:highlight w:val="none"/>
          <w:lang w:val="en-US" w:eastAsia="zh-CN" w:bidi="ar"/>
        </w:rPr>
        <w:t>5.6</w:t>
      </w:r>
      <w:r>
        <w:rPr>
          <w:rFonts w:hint="default" w:ascii="Times New Roman" w:hAnsi="Times New Roman" w:cs="Times New Roman"/>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bidi="ar"/>
        </w:rPr>
        <w:t>评价范围内植物区系分区</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987"/>
        <w:gridCol w:w="989"/>
        <w:gridCol w:w="951"/>
        <w:gridCol w:w="4912"/>
      </w:tblGrid>
      <w:tr w14:paraId="4C0FA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0B3FB63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b/>
                <w:bCs/>
                <w:color w:val="auto"/>
                <w:highlight w:val="none"/>
              </w:rPr>
              <w:t>区域</w:t>
            </w:r>
          </w:p>
        </w:tc>
        <w:tc>
          <w:tcPr>
            <w:tcW w:w="579" w:type="pct"/>
            <w:noWrap w:val="0"/>
            <w:vAlign w:val="center"/>
          </w:tcPr>
          <w:p w14:paraId="24734DFC">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b/>
                <w:bCs/>
                <w:color w:val="auto"/>
                <w:highlight w:val="none"/>
              </w:rPr>
              <w:t>亚区</w:t>
            </w:r>
          </w:p>
        </w:tc>
        <w:tc>
          <w:tcPr>
            <w:tcW w:w="580" w:type="pct"/>
            <w:noWrap w:val="0"/>
            <w:vAlign w:val="center"/>
          </w:tcPr>
          <w:p w14:paraId="5914F1E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b/>
                <w:bCs/>
                <w:color w:val="auto"/>
                <w:highlight w:val="none"/>
              </w:rPr>
              <w:t>地区</w:t>
            </w:r>
          </w:p>
        </w:tc>
        <w:tc>
          <w:tcPr>
            <w:tcW w:w="558" w:type="pct"/>
            <w:noWrap w:val="0"/>
            <w:vAlign w:val="center"/>
          </w:tcPr>
          <w:p w14:paraId="1C7404E7">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b/>
                <w:bCs/>
                <w:color w:val="auto"/>
                <w:highlight w:val="none"/>
              </w:rPr>
              <w:t>亚地区</w:t>
            </w:r>
          </w:p>
        </w:tc>
        <w:tc>
          <w:tcPr>
            <w:tcW w:w="2882" w:type="pct"/>
            <w:noWrap w:val="0"/>
            <w:vAlign w:val="center"/>
          </w:tcPr>
          <w:p w14:paraId="29260115">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b/>
                <w:bCs/>
                <w:color w:val="auto"/>
                <w:highlight w:val="none"/>
              </w:rPr>
              <w:t>相关情况</w:t>
            </w:r>
          </w:p>
        </w:tc>
      </w:tr>
      <w:tr w14:paraId="6C2DD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6717BA16">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cs="Times New Roman"/>
                <w:color w:val="auto"/>
                <w:sz w:val="21"/>
                <w:szCs w:val="21"/>
                <w:highlight w:val="none"/>
              </w:rPr>
            </w:pPr>
            <w:r>
              <w:rPr>
                <w:rFonts w:hint="default"/>
                <w:color w:val="auto"/>
                <w:highlight w:val="none"/>
              </w:rPr>
              <w:t>泛北极植物区</w:t>
            </w:r>
          </w:p>
        </w:tc>
        <w:tc>
          <w:tcPr>
            <w:tcW w:w="579" w:type="pct"/>
            <w:noWrap w:val="0"/>
            <w:vAlign w:val="center"/>
          </w:tcPr>
          <w:p w14:paraId="30F02369">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olor w:val="auto"/>
                <w:highlight w:val="none"/>
                <w:lang w:val="en-US" w:eastAsia="zh-CN"/>
              </w:rPr>
              <w:t>中国—日本森林植物亚区</w:t>
            </w:r>
          </w:p>
        </w:tc>
        <w:tc>
          <w:tcPr>
            <w:tcW w:w="580" w:type="pct"/>
            <w:noWrap w:val="0"/>
            <w:vAlign w:val="center"/>
          </w:tcPr>
          <w:p w14:paraId="7F392DED">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eastAsia"/>
                <w:color w:val="auto"/>
                <w:highlight w:val="none"/>
                <w:lang w:val="en-US" w:eastAsia="zh-CN"/>
              </w:rPr>
            </w:pPr>
            <w:r>
              <w:rPr>
                <w:rFonts w:hint="eastAsia"/>
                <w:color w:val="auto"/>
                <w:highlight w:val="none"/>
                <w:lang w:val="en-US" w:eastAsia="zh-CN"/>
              </w:rPr>
              <w:t>华北植</w:t>
            </w:r>
          </w:p>
          <w:p w14:paraId="309ADDD4">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cs="Times New Roman"/>
                <w:color w:val="auto"/>
                <w:sz w:val="21"/>
                <w:szCs w:val="21"/>
                <w:highlight w:val="none"/>
              </w:rPr>
            </w:pPr>
            <w:r>
              <w:rPr>
                <w:rFonts w:hint="eastAsia"/>
                <w:color w:val="auto"/>
                <w:highlight w:val="none"/>
                <w:lang w:val="en-US" w:eastAsia="zh-CN"/>
              </w:rPr>
              <w:t>物区</w:t>
            </w:r>
          </w:p>
        </w:tc>
        <w:tc>
          <w:tcPr>
            <w:tcW w:w="558" w:type="pct"/>
            <w:noWrap w:val="0"/>
            <w:vAlign w:val="center"/>
          </w:tcPr>
          <w:p w14:paraId="173E66E8">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黄土高原植物亚地区</w:t>
            </w:r>
          </w:p>
        </w:tc>
        <w:tc>
          <w:tcPr>
            <w:tcW w:w="2882" w:type="pct"/>
            <w:noWrap w:val="0"/>
            <w:vAlign w:val="center"/>
          </w:tcPr>
          <w:p w14:paraId="7BDCDC2A">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color w:val="auto"/>
                <w:highlight w:val="none"/>
              </w:rPr>
              <w:t>黄土高原的森林植被主要分布在山地和丘陵地区。由于黄土高原地区的降水量较少，因此该地区的森林植被以干旱适应性强的针叶林为主。黄土高原的森林植被类型有松树林、柏树林和桦树林等。松树林分布广泛，是黄土高原最常见的森林植被类型，该地区的松树林可以起到固土保水的作用。黄土高原的草原植被主要分布在丘陵和山地区域。这些地区地势较为平坦，土壤肥沃，适合草类植物的生长。黄土高原的草原植被类型有草甸草原、针茅草原和羊草草原等。草甸草原主要分布在高原地区，草木葱郁，绿意盎然；针茅草原则主要分布在河谷地区，植被矮小，以针茅居多；羊草草原则分布在高寒山地，植被稀疏，以羊草为主。这些草原植被为当地的畜牧业提供了丰富的饲料资源，同时也保持了该地区的生态平衡。</w:t>
            </w:r>
          </w:p>
        </w:tc>
      </w:tr>
    </w:tbl>
    <w:p w14:paraId="0B0FE52A">
      <w:pPr>
        <w:pStyle w:val="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5.6.1.6.2 主要植被类型</w:t>
      </w:r>
    </w:p>
    <w:p w14:paraId="744F29D1">
      <w:pPr>
        <w:bidi w:val="0"/>
        <w:jc w:val="both"/>
        <w:outlineLvl w:val="9"/>
        <w:rPr>
          <w:rFonts w:hint="default" w:ascii="Times New Roman" w:hAnsi="Times New Roman" w:cs="Times New Roman"/>
          <w:color w:val="auto"/>
          <w:sz w:val="24"/>
          <w:szCs w:val="24"/>
          <w:highlight w:val="none"/>
          <w:lang w:val="en-US" w:eastAsia="zh-CN"/>
        </w:rPr>
      </w:pPr>
      <w:bookmarkStart w:id="4514" w:name="_Toc8913"/>
      <w:r>
        <w:rPr>
          <w:rFonts w:hint="default" w:ascii="Times New Roman" w:hAnsi="Times New Roman" w:cs="Times New Roman"/>
          <w:color w:val="auto"/>
          <w:sz w:val="24"/>
          <w:szCs w:val="24"/>
          <w:highlight w:val="none"/>
          <w:lang w:val="en-US" w:eastAsia="zh-CN"/>
        </w:rPr>
        <w:t>（1）样方调查结果</w:t>
      </w:r>
      <w:bookmarkEnd w:id="4514"/>
    </w:p>
    <w:p w14:paraId="103C7342">
      <w:pPr>
        <w:bidi w:val="0"/>
        <w:jc w:val="both"/>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调查人员在踏勘过</w:t>
      </w:r>
      <w:r>
        <w:rPr>
          <w:rFonts w:hint="eastAsia" w:cs="Times New Roman"/>
          <w:color w:val="auto"/>
          <w:sz w:val="24"/>
          <w:szCs w:val="24"/>
          <w:highlight w:val="none"/>
          <w:lang w:val="en-US" w:eastAsia="zh-CN"/>
        </w:rPr>
        <w:t>程中</w:t>
      </w:r>
      <w:r>
        <w:rPr>
          <w:rFonts w:hint="default" w:ascii="Times New Roman" w:hAnsi="Times New Roman" w:cs="Times New Roman"/>
          <w:color w:val="auto"/>
          <w:sz w:val="24"/>
          <w:szCs w:val="24"/>
          <w:highlight w:val="none"/>
          <w:lang w:val="en-US" w:eastAsia="zh-CN"/>
        </w:rPr>
        <w:t>发现，</w:t>
      </w:r>
      <w:r>
        <w:rPr>
          <w:rFonts w:hint="eastAsia" w:cs="Times New Roman"/>
          <w:color w:val="auto"/>
          <w:sz w:val="24"/>
          <w:szCs w:val="24"/>
          <w:highlight w:val="none"/>
          <w:lang w:val="en-US" w:eastAsia="zh-CN"/>
        </w:rPr>
        <w:t>河道两侧为丘陵，植被多为</w:t>
      </w:r>
      <w:r>
        <w:rPr>
          <w:rFonts w:hint="default" w:ascii="Times New Roman" w:hAnsi="Times New Roman" w:cs="Times New Roman"/>
          <w:color w:val="auto"/>
          <w:sz w:val="24"/>
          <w:szCs w:val="24"/>
          <w:highlight w:val="none"/>
          <w:lang w:val="en-US" w:eastAsia="zh-CN"/>
        </w:rPr>
        <w:t>半自然半人</w:t>
      </w:r>
      <w:r>
        <w:rPr>
          <w:rFonts w:hint="eastAsia" w:cs="Times New Roman"/>
          <w:color w:val="auto"/>
          <w:sz w:val="24"/>
          <w:szCs w:val="24"/>
          <w:highlight w:val="none"/>
          <w:lang w:val="en-US" w:eastAsia="zh-CN"/>
        </w:rPr>
        <w:t>工</w:t>
      </w:r>
      <w:r>
        <w:rPr>
          <w:rFonts w:hint="default" w:ascii="Times New Roman" w:hAnsi="Times New Roman" w:cs="Times New Roman"/>
          <w:color w:val="auto"/>
          <w:sz w:val="24"/>
          <w:szCs w:val="24"/>
          <w:highlight w:val="none"/>
          <w:lang w:val="en-US" w:eastAsia="zh-CN"/>
        </w:rPr>
        <w:t>林地，主要种植</w:t>
      </w:r>
      <w:r>
        <w:rPr>
          <w:rFonts w:hint="eastAsia" w:cs="Times New Roman"/>
          <w:color w:val="auto"/>
          <w:sz w:val="24"/>
          <w:szCs w:val="24"/>
          <w:highlight w:val="none"/>
          <w:lang w:val="en-US" w:eastAsia="zh-CN"/>
        </w:rPr>
        <w:t>山杏、针茅、白莲蒿、猪毛蒿等植被。</w:t>
      </w:r>
    </w:p>
    <w:p w14:paraId="31CF6E1B">
      <w:pPr>
        <w:keepNext w:val="0"/>
        <w:keepLines w:val="0"/>
        <w:widowControl/>
        <w:suppressLineNumbers w:val="0"/>
        <w:ind w:left="0" w:leftChars="0" w:firstLine="0" w:firstLineChars="0"/>
        <w:jc w:val="center"/>
        <w:outlineLvl w:val="9"/>
        <w:rPr>
          <w:rFonts w:hint="default" w:ascii="Times New Roman" w:hAnsi="Times New Roman"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bidi="ar"/>
        </w:rPr>
        <w:t>表</w:t>
      </w:r>
      <w:r>
        <w:rPr>
          <w:rFonts w:hint="default" w:ascii="Times New Roman" w:hAnsi="Times New Roman" w:eastAsia="宋体" w:cs="Times New Roman"/>
          <w:b/>
          <w:bCs/>
          <w:color w:val="auto"/>
          <w:kern w:val="0"/>
          <w:sz w:val="24"/>
          <w:szCs w:val="24"/>
          <w:highlight w:val="none"/>
          <w:lang w:val="en-US" w:eastAsia="zh-CN" w:bidi="ar"/>
        </w:rPr>
        <w:t>5.6</w:t>
      </w:r>
      <w:r>
        <w:rPr>
          <w:rFonts w:hint="default" w:ascii="Times New Roman" w:hAnsi="Times New Roman" w:cs="Times New Roman"/>
          <w:b/>
          <w:bCs/>
          <w:color w:val="auto"/>
          <w:kern w:val="0"/>
          <w:sz w:val="24"/>
          <w:szCs w:val="24"/>
          <w:highlight w:val="none"/>
          <w:lang w:val="en-US" w:eastAsia="zh-CN" w:bidi="ar"/>
        </w:rPr>
        <w:t>-7评价区主要分布植物种类</w:t>
      </w:r>
    </w:p>
    <w:tbl>
      <w:tblPr>
        <w:tblStyle w:val="3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640"/>
        <w:gridCol w:w="1604"/>
        <w:gridCol w:w="3821"/>
      </w:tblGrid>
      <w:tr w14:paraId="54D61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457" w:type="dxa"/>
            <w:tcBorders>
              <w:tl2br w:val="nil"/>
              <w:tr2bl w:val="nil"/>
            </w:tcBorders>
            <w:noWrap w:val="0"/>
            <w:vAlign w:val="center"/>
          </w:tcPr>
          <w:p w14:paraId="0EDFEF39">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科</w:t>
            </w:r>
          </w:p>
        </w:tc>
        <w:tc>
          <w:tcPr>
            <w:tcW w:w="1640" w:type="dxa"/>
            <w:tcBorders>
              <w:tl2br w:val="nil"/>
              <w:tr2bl w:val="nil"/>
            </w:tcBorders>
            <w:noWrap w:val="0"/>
            <w:vAlign w:val="center"/>
          </w:tcPr>
          <w:p w14:paraId="5F9718CB">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属</w:t>
            </w:r>
          </w:p>
        </w:tc>
        <w:tc>
          <w:tcPr>
            <w:tcW w:w="1604" w:type="dxa"/>
            <w:tcBorders>
              <w:tl2br w:val="nil"/>
              <w:tr2bl w:val="nil"/>
            </w:tcBorders>
            <w:noWrap w:val="0"/>
            <w:vAlign w:val="center"/>
          </w:tcPr>
          <w:p w14:paraId="0BA4FF07">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植物名称</w:t>
            </w:r>
          </w:p>
        </w:tc>
        <w:tc>
          <w:tcPr>
            <w:tcW w:w="3821" w:type="dxa"/>
            <w:tcBorders>
              <w:tl2br w:val="nil"/>
              <w:tr2bl w:val="nil"/>
            </w:tcBorders>
            <w:noWrap w:val="0"/>
            <w:vAlign w:val="center"/>
          </w:tcPr>
          <w:p w14:paraId="5048D2DF">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拉丁学名</w:t>
            </w:r>
          </w:p>
        </w:tc>
      </w:tr>
      <w:tr w14:paraId="1E8E6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tcBorders>
              <w:tl2br w:val="nil"/>
              <w:tr2bl w:val="nil"/>
            </w:tcBorders>
            <w:noWrap w:val="0"/>
            <w:vAlign w:val="center"/>
          </w:tcPr>
          <w:p w14:paraId="5DAFDCA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caps w:val="0"/>
                <w:color w:val="auto"/>
                <w:spacing w:val="0"/>
                <w:sz w:val="21"/>
                <w:szCs w:val="21"/>
                <w:highlight w:val="none"/>
                <w:shd w:val="clear" w:color="auto" w:fill="FFFFFF"/>
              </w:rPr>
            </w:pPr>
            <w:r>
              <w:rPr>
                <w:rFonts w:hint="default" w:ascii="Times New Roman" w:hAnsi="Times New Roman" w:eastAsia="宋体" w:cs="Times New Roman"/>
                <w:i w:val="0"/>
                <w:caps w:val="0"/>
                <w:color w:val="auto"/>
                <w:spacing w:val="0"/>
                <w:sz w:val="21"/>
                <w:szCs w:val="21"/>
                <w:highlight w:val="none"/>
                <w:shd w:val="clear" w:color="auto" w:fill="FFFFFF"/>
              </w:rPr>
              <w:t>蔷薇科</w:t>
            </w:r>
          </w:p>
        </w:tc>
        <w:tc>
          <w:tcPr>
            <w:tcW w:w="1640" w:type="dxa"/>
            <w:tcBorders>
              <w:tl2br w:val="nil"/>
              <w:tr2bl w:val="nil"/>
            </w:tcBorders>
            <w:noWrap w:val="0"/>
            <w:vAlign w:val="center"/>
          </w:tcPr>
          <w:p w14:paraId="2338AAFF">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caps w:val="0"/>
                <w:color w:val="auto"/>
                <w:spacing w:val="0"/>
                <w:sz w:val="21"/>
                <w:szCs w:val="21"/>
                <w:highlight w:val="none"/>
                <w:shd w:val="clear" w:color="auto" w:fill="FFFFFF"/>
                <w:lang w:val="en-US" w:eastAsia="zh-CN"/>
              </w:rPr>
            </w:pPr>
            <w:r>
              <w:rPr>
                <w:rFonts w:hint="default" w:ascii="Times New Roman" w:hAnsi="Times New Roman" w:eastAsia="宋体" w:cs="Times New Roman"/>
                <w:i w:val="0"/>
                <w:caps w:val="0"/>
                <w:color w:val="auto"/>
                <w:spacing w:val="0"/>
                <w:sz w:val="21"/>
                <w:szCs w:val="21"/>
                <w:highlight w:val="none"/>
                <w:shd w:val="clear" w:color="auto" w:fill="FFFFFF"/>
                <w:lang w:val="en-US" w:eastAsia="zh-CN"/>
              </w:rPr>
              <w:t>杏属</w:t>
            </w:r>
          </w:p>
        </w:tc>
        <w:tc>
          <w:tcPr>
            <w:tcW w:w="1604" w:type="dxa"/>
            <w:tcBorders>
              <w:tl2br w:val="nil"/>
              <w:tr2bl w:val="nil"/>
            </w:tcBorders>
            <w:noWrap w:val="0"/>
            <w:vAlign w:val="center"/>
          </w:tcPr>
          <w:p w14:paraId="75163847">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山杏</w:t>
            </w:r>
          </w:p>
        </w:tc>
        <w:tc>
          <w:tcPr>
            <w:tcW w:w="3821" w:type="dxa"/>
            <w:tcBorders>
              <w:tl2br w:val="nil"/>
              <w:tr2bl w:val="nil"/>
            </w:tcBorders>
            <w:noWrap w:val="0"/>
            <w:vAlign w:val="center"/>
          </w:tcPr>
          <w:p w14:paraId="77742630">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Prunus sibiricaL.</w:t>
            </w:r>
          </w:p>
        </w:tc>
      </w:tr>
      <w:tr w14:paraId="6008F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tcBorders>
              <w:tl2br w:val="nil"/>
              <w:tr2bl w:val="nil"/>
            </w:tcBorders>
            <w:noWrap w:val="0"/>
            <w:vAlign w:val="center"/>
          </w:tcPr>
          <w:p w14:paraId="67837C6D">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aps w:val="0"/>
                <w:color w:val="auto"/>
                <w:spacing w:val="0"/>
                <w:sz w:val="21"/>
                <w:szCs w:val="21"/>
                <w:highlight w:val="none"/>
                <w:shd w:val="clear" w:color="auto" w:fill="FFFFFF"/>
              </w:rPr>
              <w:t>唇形科</w:t>
            </w:r>
          </w:p>
        </w:tc>
        <w:tc>
          <w:tcPr>
            <w:tcW w:w="1640" w:type="dxa"/>
            <w:tcBorders>
              <w:tl2br w:val="nil"/>
              <w:tr2bl w:val="nil"/>
            </w:tcBorders>
            <w:noWrap w:val="0"/>
            <w:vAlign w:val="center"/>
          </w:tcPr>
          <w:p w14:paraId="313A3CA7">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aps w:val="0"/>
                <w:color w:val="auto"/>
                <w:spacing w:val="0"/>
                <w:sz w:val="21"/>
                <w:szCs w:val="21"/>
                <w:highlight w:val="none"/>
                <w:shd w:val="clear" w:color="auto" w:fill="FFFFFF"/>
              </w:rPr>
              <w:t>百里香属</w:t>
            </w:r>
          </w:p>
        </w:tc>
        <w:tc>
          <w:tcPr>
            <w:tcW w:w="1604" w:type="dxa"/>
            <w:tcBorders>
              <w:tl2br w:val="nil"/>
              <w:tr2bl w:val="nil"/>
            </w:tcBorders>
            <w:noWrap w:val="0"/>
            <w:vAlign w:val="center"/>
          </w:tcPr>
          <w:p w14:paraId="0CE7D720">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aps w:val="0"/>
                <w:color w:val="auto"/>
                <w:spacing w:val="0"/>
                <w:sz w:val="21"/>
                <w:szCs w:val="21"/>
                <w:highlight w:val="none"/>
                <w:shd w:val="clear" w:color="auto" w:fill="FFFFFF"/>
              </w:rPr>
              <w:t>百里香</w:t>
            </w:r>
          </w:p>
        </w:tc>
        <w:tc>
          <w:tcPr>
            <w:tcW w:w="3821" w:type="dxa"/>
            <w:tcBorders>
              <w:tl2br w:val="nil"/>
              <w:tr2bl w:val="nil"/>
            </w:tcBorders>
            <w:noWrap w:val="0"/>
            <w:vAlign w:val="center"/>
          </w:tcPr>
          <w:p w14:paraId="11B276FA">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Thymus mongolicus(Ronniger) Ronniger</w:t>
            </w:r>
          </w:p>
        </w:tc>
      </w:tr>
      <w:tr w14:paraId="7A763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vMerge w:val="restart"/>
            <w:tcBorders>
              <w:tl2br w:val="nil"/>
              <w:tr2bl w:val="nil"/>
            </w:tcBorders>
            <w:noWrap w:val="0"/>
            <w:vAlign w:val="center"/>
          </w:tcPr>
          <w:p w14:paraId="6AC7D6FB">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禾本科</w:t>
            </w:r>
          </w:p>
        </w:tc>
        <w:tc>
          <w:tcPr>
            <w:tcW w:w="1640" w:type="dxa"/>
            <w:tcBorders>
              <w:tl2br w:val="nil"/>
              <w:tr2bl w:val="nil"/>
            </w:tcBorders>
            <w:noWrap w:val="0"/>
            <w:vAlign w:val="center"/>
          </w:tcPr>
          <w:p w14:paraId="212B6161">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针茅属</w:t>
            </w:r>
          </w:p>
        </w:tc>
        <w:tc>
          <w:tcPr>
            <w:tcW w:w="1604" w:type="dxa"/>
            <w:tcBorders>
              <w:tl2br w:val="nil"/>
              <w:tr2bl w:val="nil"/>
            </w:tcBorders>
            <w:noWrap w:val="0"/>
            <w:vAlign w:val="center"/>
          </w:tcPr>
          <w:p w14:paraId="2BF27E5F">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针茅</w:t>
            </w:r>
          </w:p>
        </w:tc>
        <w:tc>
          <w:tcPr>
            <w:tcW w:w="3821" w:type="dxa"/>
            <w:tcBorders>
              <w:tl2br w:val="nil"/>
              <w:tr2bl w:val="nil"/>
            </w:tcBorders>
            <w:noWrap w:val="0"/>
            <w:vAlign w:val="center"/>
          </w:tcPr>
          <w:p w14:paraId="34B3C97B">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Stipa capillata L.</w:t>
            </w:r>
          </w:p>
        </w:tc>
      </w:tr>
      <w:tr w14:paraId="2561A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vMerge w:val="continue"/>
            <w:tcBorders>
              <w:tl2br w:val="nil"/>
              <w:tr2bl w:val="nil"/>
            </w:tcBorders>
            <w:noWrap w:val="0"/>
            <w:vAlign w:val="center"/>
          </w:tcPr>
          <w:p w14:paraId="1011EE54">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640" w:type="dxa"/>
            <w:tcBorders>
              <w:tl2br w:val="nil"/>
              <w:tr2bl w:val="nil"/>
            </w:tcBorders>
            <w:noWrap w:val="0"/>
            <w:vAlign w:val="center"/>
          </w:tcPr>
          <w:p w14:paraId="5B31873B">
            <w:pPr>
              <w:pStyle w:val="29"/>
              <w:suppressLineNumbers w:val="0"/>
              <w:bidi w:val="0"/>
              <w:spacing w:beforeAutospacing="0" w:afterAutospacing="0"/>
              <w:ind w:left="0" w:leftChars="0" w:right="0" w:rightChars="0" w:firstLine="0" w:firstLineChars="0"/>
              <w:jc w:val="center"/>
              <w:outlineLvl w:val="9"/>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冰草属</w:t>
            </w:r>
          </w:p>
        </w:tc>
        <w:tc>
          <w:tcPr>
            <w:tcW w:w="1604" w:type="dxa"/>
            <w:tcBorders>
              <w:tl2br w:val="nil"/>
              <w:tr2bl w:val="nil"/>
            </w:tcBorders>
            <w:noWrap w:val="0"/>
            <w:vAlign w:val="center"/>
          </w:tcPr>
          <w:p w14:paraId="04F6BECB">
            <w:pPr>
              <w:pStyle w:val="29"/>
              <w:suppressLineNumbers w:val="0"/>
              <w:bidi w:val="0"/>
              <w:spacing w:beforeAutospacing="0" w:afterAutospacing="0"/>
              <w:ind w:left="0" w:leftChars="0" w:right="0" w:rightChars="0" w:firstLine="0" w:firstLineChars="0"/>
              <w:jc w:val="center"/>
              <w:outlineLvl w:val="9"/>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冰草</w:t>
            </w:r>
          </w:p>
        </w:tc>
        <w:tc>
          <w:tcPr>
            <w:tcW w:w="3821" w:type="dxa"/>
            <w:tcBorders>
              <w:tl2br w:val="nil"/>
              <w:tr2bl w:val="nil"/>
            </w:tcBorders>
            <w:noWrap w:val="0"/>
            <w:vAlign w:val="center"/>
          </w:tcPr>
          <w:p w14:paraId="1EC978A7">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Agropyron cristatum (L.) Gaertn.</w:t>
            </w:r>
          </w:p>
        </w:tc>
      </w:tr>
      <w:tr w14:paraId="6D2AC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tcBorders>
              <w:tl2br w:val="nil"/>
              <w:tr2bl w:val="nil"/>
            </w:tcBorders>
            <w:noWrap w:val="0"/>
            <w:vAlign w:val="center"/>
          </w:tcPr>
          <w:p w14:paraId="64053AF5">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豆科</w:t>
            </w:r>
          </w:p>
        </w:tc>
        <w:tc>
          <w:tcPr>
            <w:tcW w:w="1640" w:type="dxa"/>
            <w:tcBorders>
              <w:tl2br w:val="nil"/>
              <w:tr2bl w:val="nil"/>
            </w:tcBorders>
            <w:noWrap w:val="0"/>
            <w:vAlign w:val="center"/>
          </w:tcPr>
          <w:p w14:paraId="552A9DC4">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default" w:ascii="Helvetica" w:hAnsi="Helvetica" w:eastAsia="Helvetica" w:cs="Helvetica"/>
                <w:i w:val="0"/>
                <w:iCs w:val="0"/>
                <w:caps w:val="0"/>
                <w:color w:val="auto"/>
                <w:spacing w:val="0"/>
                <w:sz w:val="21"/>
                <w:szCs w:val="21"/>
                <w:highlight w:val="none"/>
                <w:shd w:val="clear" w:fill="FFFFFF"/>
              </w:rPr>
              <w:t>豌豆属</w:t>
            </w:r>
          </w:p>
        </w:tc>
        <w:tc>
          <w:tcPr>
            <w:tcW w:w="1604" w:type="dxa"/>
            <w:tcBorders>
              <w:tl2br w:val="nil"/>
              <w:tr2bl w:val="nil"/>
            </w:tcBorders>
            <w:noWrap w:val="0"/>
            <w:vAlign w:val="center"/>
          </w:tcPr>
          <w:p w14:paraId="5C11A522">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豌豆</w:t>
            </w:r>
          </w:p>
        </w:tc>
        <w:tc>
          <w:tcPr>
            <w:tcW w:w="3821" w:type="dxa"/>
            <w:tcBorders>
              <w:tl2br w:val="nil"/>
              <w:tr2bl w:val="nil"/>
            </w:tcBorders>
            <w:noWrap w:val="0"/>
            <w:vAlign w:val="center"/>
          </w:tcPr>
          <w:p w14:paraId="16C56088">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Pisum sativum L.</w:t>
            </w:r>
          </w:p>
        </w:tc>
      </w:tr>
      <w:tr w14:paraId="0392E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vMerge w:val="restart"/>
            <w:tcBorders>
              <w:tl2br w:val="nil"/>
              <w:tr2bl w:val="nil"/>
            </w:tcBorders>
            <w:noWrap w:val="0"/>
            <w:vAlign w:val="center"/>
          </w:tcPr>
          <w:p w14:paraId="0B3BEF24">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菊科</w:t>
            </w:r>
          </w:p>
        </w:tc>
        <w:tc>
          <w:tcPr>
            <w:tcW w:w="1640" w:type="dxa"/>
            <w:vMerge w:val="restart"/>
            <w:tcBorders>
              <w:tl2br w:val="nil"/>
              <w:tr2bl w:val="nil"/>
            </w:tcBorders>
            <w:noWrap w:val="0"/>
            <w:vAlign w:val="center"/>
          </w:tcPr>
          <w:p w14:paraId="1C69632F">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蒿属</w:t>
            </w:r>
          </w:p>
        </w:tc>
        <w:tc>
          <w:tcPr>
            <w:tcW w:w="1604" w:type="dxa"/>
            <w:tcBorders>
              <w:tl2br w:val="nil"/>
              <w:tr2bl w:val="nil"/>
            </w:tcBorders>
            <w:noWrap w:val="0"/>
            <w:vAlign w:val="center"/>
          </w:tcPr>
          <w:p w14:paraId="110F068E">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猪毛蒿</w:t>
            </w:r>
          </w:p>
        </w:tc>
        <w:tc>
          <w:tcPr>
            <w:tcW w:w="3821" w:type="dxa"/>
            <w:tcBorders>
              <w:tl2br w:val="nil"/>
              <w:tr2bl w:val="nil"/>
            </w:tcBorders>
            <w:noWrap w:val="0"/>
            <w:vAlign w:val="center"/>
          </w:tcPr>
          <w:p w14:paraId="725ED1CA">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Artemisia ordosica Krasch.</w:t>
            </w:r>
          </w:p>
        </w:tc>
      </w:tr>
      <w:tr w14:paraId="3C642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vMerge w:val="continue"/>
            <w:tcBorders>
              <w:tl2br w:val="nil"/>
              <w:tr2bl w:val="nil"/>
            </w:tcBorders>
            <w:noWrap w:val="0"/>
            <w:vAlign w:val="center"/>
          </w:tcPr>
          <w:p w14:paraId="5BCA585C">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640" w:type="dxa"/>
            <w:vMerge w:val="continue"/>
            <w:tcBorders>
              <w:tl2br w:val="nil"/>
              <w:tr2bl w:val="nil"/>
            </w:tcBorders>
            <w:shd w:val="clear" w:color="auto" w:fill="auto"/>
            <w:noWrap w:val="0"/>
            <w:vAlign w:val="center"/>
          </w:tcPr>
          <w:p w14:paraId="3BB5CA06">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604" w:type="dxa"/>
            <w:tcBorders>
              <w:tl2br w:val="nil"/>
              <w:tr2bl w:val="nil"/>
            </w:tcBorders>
            <w:shd w:val="clear" w:color="auto" w:fill="auto"/>
            <w:noWrap w:val="0"/>
            <w:vAlign w:val="center"/>
          </w:tcPr>
          <w:p w14:paraId="10250CFE">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白莲蒿</w:t>
            </w:r>
          </w:p>
        </w:tc>
        <w:tc>
          <w:tcPr>
            <w:tcW w:w="3821" w:type="dxa"/>
            <w:tcBorders>
              <w:tl2br w:val="nil"/>
              <w:tr2bl w:val="nil"/>
            </w:tcBorders>
            <w:shd w:val="clear" w:color="auto" w:fill="auto"/>
            <w:noWrap w:val="0"/>
            <w:vAlign w:val="center"/>
          </w:tcPr>
          <w:p w14:paraId="369AA175">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lang w:val="en-US" w:eastAsia="zh-CN"/>
              </w:rPr>
            </w:pPr>
            <w:r>
              <w:rPr>
                <w:rFonts w:hint="default" w:ascii="Times New Roman" w:hAnsi="Times New Roman" w:eastAsia="宋体" w:cs="Times New Roman"/>
                <w:i/>
                <w:caps w:val="0"/>
                <w:color w:val="auto"/>
                <w:spacing w:val="0"/>
                <w:sz w:val="21"/>
                <w:szCs w:val="21"/>
                <w:highlight w:val="none"/>
                <w:shd w:val="clear" w:color="auto" w:fill="FFFFFF"/>
              </w:rPr>
              <w:t>Artemisia gmelinii Weber ex Stechm.</w:t>
            </w:r>
          </w:p>
        </w:tc>
      </w:tr>
      <w:tr w14:paraId="32605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vMerge w:val="continue"/>
            <w:tcBorders>
              <w:tl2br w:val="nil"/>
              <w:tr2bl w:val="nil"/>
            </w:tcBorders>
            <w:noWrap w:val="0"/>
            <w:vAlign w:val="center"/>
          </w:tcPr>
          <w:p w14:paraId="04F55ECE">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640" w:type="dxa"/>
            <w:tcBorders>
              <w:tl2br w:val="nil"/>
              <w:tr2bl w:val="nil"/>
            </w:tcBorders>
            <w:noWrap w:val="0"/>
            <w:vAlign w:val="center"/>
          </w:tcPr>
          <w:p w14:paraId="6DD04C6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caps w:val="0"/>
                <w:color w:val="auto"/>
                <w:spacing w:val="0"/>
                <w:sz w:val="21"/>
                <w:szCs w:val="21"/>
                <w:highlight w:val="none"/>
                <w:shd w:val="clear" w:color="auto" w:fill="FFFFFF"/>
              </w:rPr>
            </w:pPr>
            <w:r>
              <w:rPr>
                <w:rFonts w:hint="default" w:ascii="Times New Roman" w:hAnsi="Times New Roman" w:eastAsia="宋体" w:cs="Times New Roman"/>
                <w:i w:val="0"/>
                <w:caps w:val="0"/>
                <w:color w:val="auto"/>
                <w:spacing w:val="0"/>
                <w:sz w:val="21"/>
                <w:szCs w:val="21"/>
                <w:highlight w:val="none"/>
                <w:shd w:val="clear" w:color="auto" w:fill="FFFFFF"/>
              </w:rPr>
              <w:t>紫菀属</w:t>
            </w:r>
          </w:p>
        </w:tc>
        <w:tc>
          <w:tcPr>
            <w:tcW w:w="1604" w:type="dxa"/>
            <w:tcBorders>
              <w:tl2br w:val="nil"/>
              <w:tr2bl w:val="nil"/>
            </w:tcBorders>
            <w:noWrap w:val="0"/>
            <w:vAlign w:val="center"/>
          </w:tcPr>
          <w:p w14:paraId="1219B49E">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caps w:val="0"/>
                <w:color w:val="auto"/>
                <w:spacing w:val="0"/>
                <w:sz w:val="21"/>
                <w:szCs w:val="21"/>
                <w:highlight w:val="none"/>
                <w:shd w:val="clear" w:color="auto" w:fill="FFFFFF"/>
              </w:rPr>
            </w:pPr>
            <w:r>
              <w:rPr>
                <w:rFonts w:hint="default" w:ascii="Times New Roman" w:hAnsi="Times New Roman" w:eastAsia="宋体" w:cs="Times New Roman"/>
                <w:i w:val="0"/>
                <w:caps w:val="0"/>
                <w:color w:val="auto"/>
                <w:spacing w:val="0"/>
                <w:sz w:val="21"/>
                <w:szCs w:val="21"/>
                <w:highlight w:val="none"/>
                <w:shd w:val="clear" w:color="auto" w:fill="FFFFFF"/>
              </w:rPr>
              <w:t>阿尔泰狗娃花</w:t>
            </w:r>
          </w:p>
        </w:tc>
        <w:tc>
          <w:tcPr>
            <w:tcW w:w="3821" w:type="dxa"/>
            <w:tcBorders>
              <w:tl2br w:val="nil"/>
              <w:tr2bl w:val="nil"/>
            </w:tcBorders>
            <w:noWrap w:val="0"/>
            <w:vAlign w:val="center"/>
          </w:tcPr>
          <w:p w14:paraId="5D443B85">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Aster altaicusWilld.</w:t>
            </w:r>
          </w:p>
        </w:tc>
      </w:tr>
      <w:tr w14:paraId="03EC3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7" w:type="dxa"/>
            <w:vMerge w:val="continue"/>
            <w:tcBorders>
              <w:tl2br w:val="nil"/>
              <w:tr2bl w:val="nil"/>
            </w:tcBorders>
            <w:noWrap w:val="0"/>
            <w:vAlign w:val="center"/>
          </w:tcPr>
          <w:p w14:paraId="14342C39">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640" w:type="dxa"/>
            <w:tcBorders>
              <w:tl2br w:val="nil"/>
              <w:tr2bl w:val="nil"/>
            </w:tcBorders>
            <w:noWrap w:val="0"/>
            <w:vAlign w:val="center"/>
          </w:tcPr>
          <w:p w14:paraId="7C24F347">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fldChar w:fldCharType="begin"/>
            </w:r>
            <w:r>
              <w:rPr>
                <w:rFonts w:hint="eastAsia" w:cs="Times New Roman"/>
                <w:color w:val="auto"/>
                <w:sz w:val="21"/>
                <w:szCs w:val="21"/>
                <w:highlight w:val="none"/>
                <w:lang w:val="en-US" w:eastAsia="zh-CN"/>
              </w:rPr>
              <w:instrText xml:space="preserve"> HYPERLINK "https://baike.baidu.com/item/%E8%8B%A6%E8%8B%A3%E8%8F%9C%E5%B1%9E/3115281?fromModule=lemma_inlink" \t "https://baike.baidu.com/item/_blank" </w:instrText>
            </w:r>
            <w:r>
              <w:rPr>
                <w:rFonts w:hint="eastAsia" w:cs="Times New Roman"/>
                <w:color w:val="auto"/>
                <w:sz w:val="21"/>
                <w:szCs w:val="21"/>
                <w:highlight w:val="none"/>
                <w:lang w:val="en-US" w:eastAsia="zh-CN"/>
              </w:rPr>
              <w:fldChar w:fldCharType="separate"/>
            </w:r>
            <w:r>
              <w:rPr>
                <w:rFonts w:hint="default" w:cs="Times New Roman"/>
                <w:color w:val="auto"/>
                <w:sz w:val="21"/>
                <w:szCs w:val="21"/>
                <w:highlight w:val="none"/>
                <w:lang w:val="en-US" w:eastAsia="zh-CN"/>
              </w:rPr>
              <w:t>苦苣菜属</w:t>
            </w:r>
            <w:r>
              <w:rPr>
                <w:rFonts w:hint="default" w:cs="Times New Roman"/>
                <w:color w:val="auto"/>
                <w:sz w:val="21"/>
                <w:szCs w:val="21"/>
                <w:highlight w:val="none"/>
                <w:lang w:val="en-US" w:eastAsia="zh-CN"/>
              </w:rPr>
              <w:fldChar w:fldCharType="end"/>
            </w:r>
          </w:p>
        </w:tc>
        <w:tc>
          <w:tcPr>
            <w:tcW w:w="1604" w:type="dxa"/>
            <w:tcBorders>
              <w:tl2br w:val="nil"/>
              <w:tr2bl w:val="nil"/>
            </w:tcBorders>
            <w:noWrap w:val="0"/>
            <w:vAlign w:val="center"/>
          </w:tcPr>
          <w:p w14:paraId="45B4E93D">
            <w:pPr>
              <w:pStyle w:val="29"/>
              <w:suppressLineNumbers w:val="0"/>
              <w:bidi w:val="0"/>
              <w:spacing w:beforeAutospacing="0" w:afterAutospacing="0"/>
              <w:ind w:left="0" w:leftChars="0" w:right="0" w:rightChars="0" w:firstLine="0" w:firstLineChars="0"/>
              <w:jc w:val="center"/>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苦苣菜</w:t>
            </w:r>
          </w:p>
        </w:tc>
        <w:tc>
          <w:tcPr>
            <w:tcW w:w="3821" w:type="dxa"/>
            <w:tcBorders>
              <w:tl2br w:val="nil"/>
              <w:tr2bl w:val="nil"/>
            </w:tcBorders>
            <w:noWrap w:val="0"/>
            <w:vAlign w:val="center"/>
          </w:tcPr>
          <w:p w14:paraId="6F7BB975">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caps w:val="0"/>
                <w:color w:val="auto"/>
                <w:spacing w:val="0"/>
                <w:sz w:val="21"/>
                <w:szCs w:val="21"/>
                <w:highlight w:val="none"/>
                <w:shd w:val="clear" w:color="auto" w:fill="FFFFFF"/>
              </w:rPr>
            </w:pPr>
            <w:r>
              <w:rPr>
                <w:rFonts w:hint="default" w:ascii="Times New Roman" w:hAnsi="Times New Roman" w:eastAsia="宋体" w:cs="Times New Roman"/>
                <w:i/>
                <w:caps w:val="0"/>
                <w:color w:val="auto"/>
                <w:spacing w:val="0"/>
                <w:sz w:val="21"/>
                <w:szCs w:val="21"/>
                <w:highlight w:val="none"/>
                <w:shd w:val="clear" w:color="auto" w:fill="FFFFFF"/>
              </w:rPr>
              <w:t>Sonchus oleraceus L.</w:t>
            </w:r>
          </w:p>
        </w:tc>
      </w:tr>
    </w:tbl>
    <w:p w14:paraId="12CF08D6">
      <w:pPr>
        <w:bidi w:val="0"/>
        <w:outlineLvl w:val="9"/>
        <w:rPr>
          <w:rFonts w:hint="default" w:ascii="Times New Roman" w:hAnsi="Times New Roman" w:cs="Times New Roman"/>
          <w:color w:val="auto"/>
          <w:sz w:val="24"/>
          <w:szCs w:val="24"/>
          <w:highlight w:val="none"/>
          <w:lang w:val="en-US" w:eastAsia="zh-CN"/>
        </w:rPr>
      </w:pPr>
      <w:bookmarkStart w:id="4515" w:name="_Toc9399"/>
      <w:r>
        <w:rPr>
          <w:rFonts w:hint="default" w:ascii="Times New Roman" w:hAnsi="Times New Roman" w:cs="Times New Roman"/>
          <w:color w:val="auto"/>
          <w:sz w:val="24"/>
          <w:szCs w:val="24"/>
          <w:highlight w:val="none"/>
          <w:lang w:val="en-US" w:eastAsia="zh-CN"/>
        </w:rPr>
        <w:t>（2）评价区植被类型占地面积</w:t>
      </w:r>
      <w:bookmarkEnd w:id="4515"/>
    </w:p>
    <w:p w14:paraId="51195EEF">
      <w:pPr>
        <w:bidi w:val="0"/>
        <w:jc w:val="both"/>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植被群落中，山杏群落面积最大，达321.58公顷，占</w:t>
      </w:r>
      <w:r>
        <w:rPr>
          <w:rFonts w:hint="eastAsia" w:cs="Times New Roman"/>
          <w:color w:val="auto"/>
          <w:sz w:val="24"/>
          <w:szCs w:val="24"/>
          <w:highlight w:val="none"/>
          <w:lang w:val="en-US" w:eastAsia="zh-CN"/>
        </w:rPr>
        <w:t>评价区植被面积</w:t>
      </w:r>
      <w:r>
        <w:rPr>
          <w:rFonts w:hint="default" w:ascii="Times New Roman" w:hAnsi="Times New Roman" w:cs="Times New Roman"/>
          <w:color w:val="auto"/>
          <w:sz w:val="24"/>
          <w:szCs w:val="24"/>
          <w:highlight w:val="none"/>
          <w:lang w:val="en-US" w:eastAsia="zh-CN"/>
        </w:rPr>
        <w:t>比</w:t>
      </w:r>
      <w:r>
        <w:rPr>
          <w:rFonts w:hint="eastAsia" w:cs="Times New Roman"/>
          <w:color w:val="auto"/>
          <w:sz w:val="24"/>
          <w:szCs w:val="24"/>
          <w:highlight w:val="none"/>
          <w:lang w:val="en-US" w:eastAsia="zh-CN"/>
        </w:rPr>
        <w:t>23.86</w:t>
      </w:r>
      <w:r>
        <w:rPr>
          <w:rFonts w:hint="default" w:ascii="Times New Roman" w:hAnsi="Times New Roman" w:cs="Times New Roman"/>
          <w:color w:val="auto"/>
          <w:sz w:val="24"/>
          <w:szCs w:val="24"/>
          <w:highlight w:val="none"/>
          <w:lang w:val="en-US" w:eastAsia="zh-CN"/>
        </w:rPr>
        <w:t>%；山杨群落次之，面积236.66公顷，占比</w:t>
      </w:r>
      <w:r>
        <w:rPr>
          <w:rFonts w:hint="eastAsia" w:cs="Times New Roman"/>
          <w:color w:val="auto"/>
          <w:sz w:val="24"/>
          <w:szCs w:val="24"/>
          <w:highlight w:val="none"/>
          <w:lang w:val="en-US" w:eastAsia="zh-CN"/>
        </w:rPr>
        <w:t>17.56</w:t>
      </w:r>
      <w:r>
        <w:rPr>
          <w:rFonts w:hint="default" w:ascii="Times New Roman" w:hAnsi="Times New Roman" w:cs="Times New Roman"/>
          <w:color w:val="auto"/>
          <w:sz w:val="24"/>
          <w:szCs w:val="24"/>
          <w:highlight w:val="none"/>
          <w:lang w:val="en-US" w:eastAsia="zh-CN"/>
        </w:rPr>
        <w:t>%；白桦群落、白莲蒿群、针茅白莲蒿群落面积相对较小，占比分别为</w:t>
      </w:r>
      <w:r>
        <w:rPr>
          <w:rFonts w:hint="eastAsia" w:cs="Times New Roman"/>
          <w:color w:val="auto"/>
          <w:sz w:val="24"/>
          <w:szCs w:val="24"/>
          <w:highlight w:val="none"/>
          <w:lang w:val="en-US" w:eastAsia="zh-CN"/>
        </w:rPr>
        <w:t>2.65</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3.24</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4.36</w:t>
      </w:r>
      <w:r>
        <w:rPr>
          <w:rFonts w:hint="default" w:ascii="Times New Roman" w:hAnsi="Times New Roman" w:cs="Times New Roman"/>
          <w:color w:val="auto"/>
          <w:sz w:val="24"/>
          <w:szCs w:val="24"/>
          <w:highlight w:val="none"/>
          <w:lang w:val="en-US" w:eastAsia="zh-CN"/>
        </w:rPr>
        <w:t>%，三类合计占比不足10%。非植被类用地中，农田占比最高，达</w:t>
      </w:r>
      <w:r>
        <w:rPr>
          <w:rFonts w:hint="eastAsia" w:cs="Times New Roman"/>
          <w:color w:val="auto"/>
          <w:sz w:val="24"/>
          <w:szCs w:val="24"/>
          <w:highlight w:val="none"/>
          <w:lang w:val="en-US" w:eastAsia="zh-CN"/>
        </w:rPr>
        <w:t>30.21</w:t>
      </w:r>
      <w:r>
        <w:rPr>
          <w:rFonts w:hint="default" w:ascii="Times New Roman" w:hAnsi="Times New Roman" w:cs="Times New Roman"/>
          <w:color w:val="auto"/>
          <w:sz w:val="24"/>
          <w:szCs w:val="24"/>
          <w:highlight w:val="none"/>
          <w:lang w:val="en-US" w:eastAsia="zh-CN"/>
        </w:rPr>
        <w:t>%，面积407.23公顷；</w:t>
      </w:r>
      <w:r>
        <w:rPr>
          <w:rFonts w:hint="eastAsia" w:cs="Times New Roman"/>
          <w:color w:val="auto"/>
          <w:sz w:val="24"/>
          <w:szCs w:val="24"/>
          <w:highlight w:val="none"/>
          <w:lang w:val="en-US" w:eastAsia="zh-CN"/>
        </w:rPr>
        <w:t>湿地植被</w:t>
      </w:r>
      <w:r>
        <w:rPr>
          <w:rFonts w:hint="default" w:ascii="Times New Roman" w:hAnsi="Times New Roman" w:cs="Times New Roman"/>
          <w:color w:val="auto"/>
          <w:sz w:val="24"/>
          <w:szCs w:val="24"/>
          <w:highlight w:val="none"/>
          <w:lang w:val="en-US" w:eastAsia="zh-CN"/>
        </w:rPr>
        <w:t>为</w:t>
      </w:r>
      <w:r>
        <w:rPr>
          <w:rFonts w:hint="eastAsia" w:cs="Times New Roman"/>
          <w:color w:val="auto"/>
          <w:sz w:val="24"/>
          <w:szCs w:val="24"/>
          <w:highlight w:val="none"/>
          <w:lang w:val="en-US" w:eastAsia="zh-CN"/>
        </w:rPr>
        <w:t>18.13</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整体来看，评价区以农田、山杏群落、山杨群落及</w:t>
      </w:r>
      <w:r>
        <w:rPr>
          <w:rFonts w:hint="eastAsia" w:cs="Times New Roman"/>
          <w:color w:val="auto"/>
          <w:sz w:val="24"/>
          <w:szCs w:val="24"/>
          <w:highlight w:val="none"/>
          <w:lang w:val="en-US" w:eastAsia="zh-CN"/>
        </w:rPr>
        <w:t>湿地植被</w:t>
      </w:r>
      <w:r>
        <w:rPr>
          <w:rFonts w:hint="default" w:ascii="Times New Roman" w:hAnsi="Times New Roman" w:cs="Times New Roman"/>
          <w:color w:val="auto"/>
          <w:sz w:val="24"/>
          <w:szCs w:val="24"/>
          <w:highlight w:val="none"/>
          <w:lang w:val="en-US" w:eastAsia="zh-CN"/>
        </w:rPr>
        <w:t>为主要</w:t>
      </w:r>
      <w:r>
        <w:rPr>
          <w:rFonts w:hint="eastAsia" w:cs="Times New Roman"/>
          <w:color w:val="auto"/>
          <w:sz w:val="24"/>
          <w:szCs w:val="24"/>
          <w:highlight w:val="none"/>
          <w:lang w:val="en-US" w:eastAsia="zh-CN"/>
        </w:rPr>
        <w:t>植被</w:t>
      </w:r>
      <w:r>
        <w:rPr>
          <w:rFonts w:hint="default" w:ascii="Times New Roman" w:hAnsi="Times New Roman" w:cs="Times New Roman"/>
          <w:color w:val="auto"/>
          <w:sz w:val="24"/>
          <w:szCs w:val="24"/>
          <w:highlight w:val="none"/>
          <w:lang w:val="en-US" w:eastAsia="zh-CN"/>
        </w:rPr>
        <w:t>覆盖类型，四类合计占比超80%。</w:t>
      </w:r>
    </w:p>
    <w:p w14:paraId="545A32C8">
      <w:pPr>
        <w:keepNext w:val="0"/>
        <w:keepLines w:val="0"/>
        <w:widowControl/>
        <w:suppressLineNumbers w:val="0"/>
        <w:jc w:val="center"/>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表5.6-</w:t>
      </w:r>
      <w:r>
        <w:rPr>
          <w:rFonts w:hint="default" w:ascii="Times New Roman" w:hAnsi="Times New Roman"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评价区各植被类型面积占比一览表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3538"/>
        <w:gridCol w:w="2270"/>
      </w:tblGrid>
      <w:tr w14:paraId="551E7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91" w:type="pct"/>
            <w:tcBorders>
              <w:tl2br w:val="nil"/>
              <w:tr2bl w:val="nil"/>
            </w:tcBorders>
            <w:noWrap w:val="0"/>
            <w:vAlign w:val="center"/>
          </w:tcPr>
          <w:p w14:paraId="345840D9">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bookmarkStart w:id="4516" w:name="_Toc28301"/>
            <w:bookmarkStart w:id="4517" w:name="_Toc5097"/>
            <w:bookmarkStart w:id="4518" w:name="_Toc16495"/>
            <w:r>
              <w:rPr>
                <w:rFonts w:hint="eastAsia" w:cs="Times New Roman"/>
                <w:b/>
                <w:bCs/>
                <w:color w:val="auto"/>
                <w:sz w:val="21"/>
                <w:szCs w:val="21"/>
                <w:highlight w:val="none"/>
                <w:lang w:val="en-US" w:eastAsia="zh-CN"/>
              </w:rPr>
              <w:t>植被类型</w:t>
            </w:r>
            <w:bookmarkEnd w:id="4516"/>
            <w:bookmarkEnd w:id="4517"/>
            <w:bookmarkEnd w:id="4518"/>
          </w:p>
        </w:tc>
        <w:tc>
          <w:tcPr>
            <w:tcW w:w="2076" w:type="pct"/>
            <w:tcBorders>
              <w:tl2br w:val="nil"/>
              <w:tr2bl w:val="nil"/>
            </w:tcBorders>
            <w:noWrap w:val="0"/>
            <w:vAlign w:val="center"/>
          </w:tcPr>
          <w:p w14:paraId="16E956C8">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bookmarkStart w:id="4519" w:name="_Toc1157"/>
            <w:bookmarkStart w:id="4520" w:name="_Toc10712"/>
            <w:bookmarkStart w:id="4521" w:name="_Toc15501"/>
            <w:r>
              <w:rPr>
                <w:rFonts w:hint="default" w:ascii="Times New Roman" w:hAnsi="Times New Roman" w:cs="Times New Roman"/>
                <w:b/>
                <w:bCs/>
                <w:color w:val="auto"/>
                <w:sz w:val="21"/>
                <w:szCs w:val="21"/>
                <w:highlight w:val="none"/>
                <w:lang w:val="en-US" w:eastAsia="zh-CN"/>
              </w:rPr>
              <w:t>公顷（hm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cs="Times New Roman"/>
                <w:b/>
                <w:bCs/>
                <w:color w:val="auto"/>
                <w:sz w:val="21"/>
                <w:szCs w:val="21"/>
                <w:highlight w:val="none"/>
                <w:lang w:val="en-US" w:eastAsia="zh-CN"/>
              </w:rPr>
              <w:t>）</w:t>
            </w:r>
            <w:bookmarkEnd w:id="4519"/>
            <w:bookmarkEnd w:id="4520"/>
            <w:bookmarkEnd w:id="4521"/>
          </w:p>
        </w:tc>
        <w:tc>
          <w:tcPr>
            <w:tcW w:w="1332" w:type="pct"/>
            <w:tcBorders>
              <w:tl2br w:val="nil"/>
              <w:tr2bl w:val="nil"/>
            </w:tcBorders>
            <w:noWrap w:val="0"/>
            <w:vAlign w:val="center"/>
          </w:tcPr>
          <w:p w14:paraId="6D938CF5">
            <w:pPr>
              <w:pStyle w:val="29"/>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bookmarkStart w:id="4522" w:name="_Toc31821"/>
            <w:bookmarkStart w:id="4523" w:name="_Toc31282"/>
            <w:bookmarkStart w:id="4524" w:name="_Toc13888"/>
            <w:r>
              <w:rPr>
                <w:rFonts w:hint="default" w:ascii="Times New Roman" w:hAnsi="Times New Roman" w:cs="Times New Roman"/>
                <w:b/>
                <w:bCs/>
                <w:color w:val="auto"/>
                <w:sz w:val="21"/>
                <w:szCs w:val="21"/>
                <w:highlight w:val="none"/>
                <w:lang w:val="en-US" w:eastAsia="zh-CN"/>
              </w:rPr>
              <w:t>面积比（%）</w:t>
            </w:r>
            <w:bookmarkEnd w:id="4522"/>
            <w:bookmarkEnd w:id="4523"/>
            <w:bookmarkEnd w:id="4524"/>
          </w:p>
        </w:tc>
      </w:tr>
      <w:tr w14:paraId="7959F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4ECE92AE">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白桦群落</w:t>
            </w:r>
          </w:p>
        </w:tc>
        <w:tc>
          <w:tcPr>
            <w:tcW w:w="3538" w:type="dxa"/>
            <w:tcBorders>
              <w:tl2br w:val="nil"/>
              <w:tr2bl w:val="nil"/>
            </w:tcBorders>
            <w:noWrap w:val="0"/>
            <w:vAlign w:val="center"/>
          </w:tcPr>
          <w:p w14:paraId="617326E6">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35.73</w:t>
            </w:r>
          </w:p>
        </w:tc>
        <w:tc>
          <w:tcPr>
            <w:tcW w:w="2270" w:type="dxa"/>
            <w:tcBorders>
              <w:tl2br w:val="nil"/>
              <w:tr2bl w:val="nil"/>
            </w:tcBorders>
            <w:noWrap w:val="0"/>
            <w:vAlign w:val="center"/>
          </w:tcPr>
          <w:p w14:paraId="7DE65F6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2.65%</w:t>
            </w:r>
          </w:p>
        </w:tc>
      </w:tr>
      <w:tr w14:paraId="3BBD4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3DC5F65C">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山杏群落</w:t>
            </w:r>
          </w:p>
        </w:tc>
        <w:tc>
          <w:tcPr>
            <w:tcW w:w="3538" w:type="dxa"/>
            <w:tcBorders>
              <w:tl2br w:val="nil"/>
              <w:tr2bl w:val="nil"/>
            </w:tcBorders>
            <w:noWrap w:val="0"/>
            <w:vAlign w:val="center"/>
          </w:tcPr>
          <w:p w14:paraId="64026A8D">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321.58</w:t>
            </w:r>
          </w:p>
        </w:tc>
        <w:tc>
          <w:tcPr>
            <w:tcW w:w="2270" w:type="dxa"/>
            <w:tcBorders>
              <w:tl2br w:val="nil"/>
              <w:tr2bl w:val="nil"/>
            </w:tcBorders>
            <w:noWrap w:val="0"/>
            <w:vAlign w:val="center"/>
          </w:tcPr>
          <w:p w14:paraId="4017DF0D">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23.86%</w:t>
            </w:r>
          </w:p>
        </w:tc>
      </w:tr>
      <w:tr w14:paraId="0C0C5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7905643D">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山杨群落</w:t>
            </w:r>
          </w:p>
        </w:tc>
        <w:tc>
          <w:tcPr>
            <w:tcW w:w="3538" w:type="dxa"/>
            <w:tcBorders>
              <w:tl2br w:val="nil"/>
              <w:tr2bl w:val="nil"/>
            </w:tcBorders>
            <w:noWrap w:val="0"/>
            <w:vAlign w:val="center"/>
          </w:tcPr>
          <w:p w14:paraId="3EF7EB96">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236.66</w:t>
            </w:r>
          </w:p>
        </w:tc>
        <w:tc>
          <w:tcPr>
            <w:tcW w:w="2270" w:type="dxa"/>
            <w:tcBorders>
              <w:tl2br w:val="nil"/>
              <w:tr2bl w:val="nil"/>
            </w:tcBorders>
            <w:noWrap w:val="0"/>
            <w:vAlign w:val="center"/>
          </w:tcPr>
          <w:p w14:paraId="03D97DAA">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17.56%</w:t>
            </w:r>
          </w:p>
        </w:tc>
      </w:tr>
      <w:tr w14:paraId="78575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6CD3028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白莲蒿群</w:t>
            </w:r>
          </w:p>
        </w:tc>
        <w:tc>
          <w:tcPr>
            <w:tcW w:w="3538" w:type="dxa"/>
            <w:tcBorders>
              <w:tl2br w:val="nil"/>
              <w:tr2bl w:val="nil"/>
            </w:tcBorders>
            <w:noWrap w:val="0"/>
            <w:vAlign w:val="center"/>
          </w:tcPr>
          <w:p w14:paraId="79EEE5A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43.7</w:t>
            </w:r>
          </w:p>
        </w:tc>
        <w:tc>
          <w:tcPr>
            <w:tcW w:w="2270" w:type="dxa"/>
            <w:tcBorders>
              <w:tl2br w:val="nil"/>
              <w:tr2bl w:val="nil"/>
            </w:tcBorders>
            <w:noWrap w:val="0"/>
            <w:vAlign w:val="center"/>
          </w:tcPr>
          <w:p w14:paraId="1A973207">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3.24%</w:t>
            </w:r>
          </w:p>
        </w:tc>
      </w:tr>
      <w:tr w14:paraId="70A86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6EE15167">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针茅白莲蒿群落</w:t>
            </w:r>
          </w:p>
        </w:tc>
        <w:tc>
          <w:tcPr>
            <w:tcW w:w="3538" w:type="dxa"/>
            <w:tcBorders>
              <w:tl2br w:val="nil"/>
              <w:tr2bl w:val="nil"/>
            </w:tcBorders>
            <w:noWrap w:val="0"/>
            <w:vAlign w:val="center"/>
          </w:tcPr>
          <w:p w14:paraId="038391E8">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58.71</w:t>
            </w:r>
          </w:p>
        </w:tc>
        <w:tc>
          <w:tcPr>
            <w:tcW w:w="2270" w:type="dxa"/>
            <w:tcBorders>
              <w:tl2br w:val="nil"/>
              <w:tr2bl w:val="nil"/>
            </w:tcBorders>
            <w:noWrap w:val="0"/>
            <w:vAlign w:val="center"/>
          </w:tcPr>
          <w:p w14:paraId="4B63529F">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4.36%</w:t>
            </w:r>
          </w:p>
        </w:tc>
      </w:tr>
      <w:tr w14:paraId="4935D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1B65EF59">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湿地芦苇群落</w:t>
            </w:r>
          </w:p>
        </w:tc>
        <w:tc>
          <w:tcPr>
            <w:tcW w:w="3538" w:type="dxa"/>
            <w:tcBorders>
              <w:tl2br w:val="nil"/>
              <w:tr2bl w:val="nil"/>
            </w:tcBorders>
            <w:noWrap w:val="0"/>
            <w:vAlign w:val="center"/>
          </w:tcPr>
          <w:p w14:paraId="7EFB89CA">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244.39</w:t>
            </w:r>
          </w:p>
        </w:tc>
        <w:tc>
          <w:tcPr>
            <w:tcW w:w="2270" w:type="dxa"/>
            <w:tcBorders>
              <w:tl2br w:val="nil"/>
              <w:tr2bl w:val="nil"/>
            </w:tcBorders>
            <w:noWrap w:val="0"/>
            <w:vAlign w:val="center"/>
          </w:tcPr>
          <w:p w14:paraId="0CC69868">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18.13%</w:t>
            </w:r>
          </w:p>
        </w:tc>
      </w:tr>
      <w:tr w14:paraId="54653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46B69045">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农田</w:t>
            </w:r>
          </w:p>
        </w:tc>
        <w:tc>
          <w:tcPr>
            <w:tcW w:w="3538" w:type="dxa"/>
            <w:tcBorders>
              <w:tl2br w:val="nil"/>
              <w:tr2bl w:val="nil"/>
            </w:tcBorders>
            <w:noWrap w:val="0"/>
            <w:vAlign w:val="center"/>
          </w:tcPr>
          <w:p w14:paraId="03503EB9">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407.23</w:t>
            </w:r>
          </w:p>
        </w:tc>
        <w:tc>
          <w:tcPr>
            <w:tcW w:w="2270" w:type="dxa"/>
            <w:tcBorders>
              <w:tl2br w:val="nil"/>
              <w:tr2bl w:val="nil"/>
            </w:tcBorders>
            <w:noWrap w:val="0"/>
            <w:vAlign w:val="center"/>
          </w:tcPr>
          <w:p w14:paraId="69C515E9">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30.21%</w:t>
            </w:r>
          </w:p>
        </w:tc>
      </w:tr>
      <w:tr w14:paraId="36F5F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1" w:type="pct"/>
            <w:tcBorders>
              <w:tl2br w:val="nil"/>
              <w:tr2bl w:val="nil"/>
            </w:tcBorders>
            <w:noWrap w:val="0"/>
            <w:vAlign w:val="center"/>
          </w:tcPr>
          <w:p w14:paraId="0D64581C">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合计</w:t>
            </w:r>
          </w:p>
        </w:tc>
        <w:tc>
          <w:tcPr>
            <w:tcW w:w="3538" w:type="dxa"/>
            <w:tcBorders>
              <w:tl2br w:val="nil"/>
              <w:tr2bl w:val="nil"/>
            </w:tcBorders>
            <w:noWrap w:val="0"/>
            <w:vAlign w:val="center"/>
          </w:tcPr>
          <w:p w14:paraId="1F1EDBE5">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1348</w:t>
            </w:r>
          </w:p>
        </w:tc>
        <w:tc>
          <w:tcPr>
            <w:tcW w:w="2270" w:type="dxa"/>
            <w:tcBorders>
              <w:tl2br w:val="nil"/>
              <w:tr2bl w:val="nil"/>
            </w:tcBorders>
            <w:noWrap w:val="0"/>
            <w:vAlign w:val="center"/>
          </w:tcPr>
          <w:p w14:paraId="42D4BF8E">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100.00%</w:t>
            </w:r>
          </w:p>
        </w:tc>
      </w:tr>
    </w:tbl>
    <w:p w14:paraId="4D49FA50">
      <w:pPr>
        <w:pStyle w:val="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5.6.1.6.3 植被覆盖度</w:t>
      </w:r>
    </w:p>
    <w:p w14:paraId="2BE9A8D1">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采用归一化植被指数（NDVI）估算植被覆盖度的方法如下：</w:t>
      </w:r>
    </w:p>
    <w:p w14:paraId="34672F83">
      <w:pPr>
        <w:spacing w:line="360" w:lineRule="auto"/>
        <w:ind w:firstLine="480" w:firstLineChars="20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FVC=(NDVI-NDVIs)/(NDVIv-NDVIs)</w:t>
      </w:r>
    </w:p>
    <w:p w14:paraId="56FAFB2C">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7402E590">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FVC——所计算像元的植被覆盖度；</w:t>
      </w:r>
    </w:p>
    <w:p w14:paraId="15A50572">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NDVI——所计算像元的NDVI值；</w:t>
      </w:r>
    </w:p>
    <w:p w14:paraId="2869241B">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NDVIv——纯植物像元的NDVI值；</w:t>
      </w:r>
    </w:p>
    <w:p w14:paraId="00B81B8E">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NDVIs——完全无植被覆盖像元的NDVI值。</w:t>
      </w:r>
    </w:p>
    <w:p w14:paraId="46CDFB1F">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植被覆盖因子（</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color w:val="auto"/>
          <w:sz w:val="24"/>
          <w:szCs w:val="24"/>
          <w:highlight w:val="none"/>
        </w:rPr>
        <w:t>）反映了生态系统对土壤侵蚀的影响，是控制土壤侵蚀的积极因素。</w:t>
      </w:r>
      <w:r>
        <w:rPr>
          <w:rFonts w:hint="default" w:ascii="Times New Roman" w:hAnsi="Times New Roman" w:cs="Times New Roman"/>
          <w:color w:val="auto"/>
          <w:sz w:val="24"/>
          <w:szCs w:val="24"/>
          <w:highlight w:val="none"/>
          <w:lang w:val="en-US" w:eastAsia="zh-CN"/>
        </w:rPr>
        <w:t>农田、</w:t>
      </w:r>
      <w:r>
        <w:rPr>
          <w:rFonts w:hint="default" w:ascii="Times New Roman" w:hAnsi="Times New Roman" w:eastAsia="宋体" w:cs="Times New Roman"/>
          <w:color w:val="auto"/>
          <w:sz w:val="24"/>
          <w:szCs w:val="24"/>
          <w:highlight w:val="none"/>
        </w:rPr>
        <w:t>城镇赋值</w:t>
      </w:r>
      <w:r>
        <w:rPr>
          <w:rFonts w:hint="default" w:ascii="Times New Roman" w:hAnsi="Times New Roman"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为</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0.01，其余各生态系统类型按不同植被覆盖度进行赋值，详见表</w:t>
      </w:r>
      <w:r>
        <w:rPr>
          <w:rFonts w:hint="default" w:ascii="Times New Roman" w:hAnsi="Times New Roman" w:cs="Times New Roman"/>
          <w:color w:val="auto"/>
          <w:sz w:val="24"/>
          <w:szCs w:val="24"/>
          <w:highlight w:val="none"/>
          <w:lang w:val="en-US" w:eastAsia="zh-CN"/>
        </w:rPr>
        <w:t>5.6-9</w:t>
      </w:r>
      <w:r>
        <w:rPr>
          <w:rFonts w:hint="default" w:ascii="Times New Roman" w:hAnsi="Times New Roman" w:eastAsia="宋体" w:cs="Times New Roman"/>
          <w:color w:val="auto"/>
          <w:sz w:val="24"/>
          <w:szCs w:val="24"/>
          <w:highlight w:val="none"/>
        </w:rPr>
        <w:t>。旱地的植被覆盖因子按照以下公式计算：</w:t>
      </w:r>
    </w:p>
    <w:p w14:paraId="7C780ECB">
      <w:pPr>
        <w:pStyle w:val="59"/>
        <w:kinsoku w:val="0"/>
        <w:overflowPunct w:val="0"/>
        <w:spacing w:line="360" w:lineRule="auto"/>
        <w:jc w:val="center"/>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drawing>
          <wp:inline distT="0" distB="0" distL="114300" distR="114300">
            <wp:extent cx="1610360" cy="228600"/>
            <wp:effectExtent l="0" t="0" r="889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5"/>
                    <a:stretch>
                      <a:fillRect/>
                    </a:stretch>
                  </pic:blipFill>
                  <pic:spPr>
                    <a:xfrm>
                      <a:off x="0" y="0"/>
                      <a:ext cx="1610360" cy="228600"/>
                    </a:xfrm>
                    <a:prstGeom prst="rect">
                      <a:avLst/>
                    </a:prstGeom>
                    <a:noFill/>
                    <a:ln>
                      <a:noFill/>
                    </a:ln>
                  </pic:spPr>
                </pic:pic>
              </a:graphicData>
            </a:graphic>
          </wp:inline>
        </w:drawing>
      </w:r>
    </w:p>
    <w:p w14:paraId="7EC7A5F1">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0ECE8248">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C——旱地的植被覆盖因子；</w:t>
      </w:r>
    </w:p>
    <w:p w14:paraId="5B3B1D29">
      <w:pPr>
        <w:spacing w:line="360" w:lineRule="auto"/>
        <w:ind w:firstLine="480" w:firstLineChars="2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c——小数形式的植被覆盖度。</w:t>
      </w:r>
    </w:p>
    <w:p w14:paraId="51A6793E">
      <w:pPr>
        <w:spacing w:line="360" w:lineRule="auto"/>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根据上述公式，利用 ArcGIS 中的栅格计算器来计算覆盖度，详见附图</w:t>
      </w:r>
      <w:r>
        <w:rPr>
          <w:rFonts w:hint="eastAsia" w:cs="Times New Roman"/>
          <w:color w:val="auto"/>
          <w:sz w:val="24"/>
          <w:highlight w:val="none"/>
          <w:lang w:val="en-US" w:eastAsia="zh-CN"/>
        </w:rPr>
        <w:t>15</w:t>
      </w:r>
      <w:r>
        <w:rPr>
          <w:rFonts w:hint="default" w:ascii="Times New Roman" w:hAnsi="Times New Roman" w:cs="Times New Roman"/>
          <w:color w:val="auto"/>
          <w:sz w:val="24"/>
          <w:highlight w:val="none"/>
        </w:rPr>
        <w:t>。评价区植被覆盖度分级及面积统计见</w:t>
      </w:r>
      <w:r>
        <w:rPr>
          <w:rFonts w:hint="eastAsia" w:ascii="Times New Roman" w:hAnsi="Times New Roman" w:cs="Times New Roman"/>
          <w:color w:val="auto"/>
          <w:sz w:val="24"/>
          <w:highlight w:val="none"/>
          <w:lang w:val="en-US" w:eastAsia="zh-CN"/>
        </w:rPr>
        <w:t>5.6-9</w:t>
      </w:r>
      <w:r>
        <w:rPr>
          <w:rFonts w:hint="default" w:ascii="Times New Roman" w:hAnsi="Times New Roman" w:cs="Times New Roman"/>
          <w:color w:val="auto"/>
          <w:sz w:val="24"/>
          <w:highlight w:val="none"/>
        </w:rPr>
        <w:t>。</w:t>
      </w:r>
    </w:p>
    <w:p w14:paraId="5E675241">
      <w:pPr>
        <w:keepNext w:val="0"/>
        <w:keepLines w:val="0"/>
        <w:pageBreakBefore w:val="0"/>
        <w:widowControl w:val="0"/>
        <w:kinsoku/>
        <w:wordWrap/>
        <w:overflowPunct/>
        <w:topLinePunct w:val="0"/>
        <w:autoSpaceDE/>
        <w:autoSpaceDN/>
        <w:bidi w:val="0"/>
        <w:adjustRightInd/>
        <w:snapToGrid w:val="0"/>
        <w:spacing w:before="120" w:beforeLines="50" w:line="240" w:lineRule="auto"/>
        <w:ind w:firstLine="482" w:firstLineChars="200"/>
        <w:textAlignment w:val="auto"/>
        <w:rPr>
          <w:rFonts w:hint="default" w:ascii="Times New Roman" w:hAnsi="Times New Roman" w:cs="Times New Roman"/>
          <w:b/>
          <w:color w:val="auto"/>
          <w:kern w:val="10"/>
          <w:sz w:val="24"/>
          <w:highlight w:val="none"/>
        </w:rPr>
      </w:pPr>
      <w:r>
        <w:rPr>
          <w:rFonts w:hint="default" w:ascii="Times New Roman" w:hAnsi="Times New Roman" w:cs="Times New Roman"/>
          <w:b/>
          <w:color w:val="auto"/>
          <w:kern w:val="10"/>
          <w:sz w:val="24"/>
          <w:highlight w:val="none"/>
        </w:rPr>
        <w:t>表</w:t>
      </w:r>
      <w:r>
        <w:rPr>
          <w:rFonts w:hint="eastAsia" w:ascii="Times New Roman" w:hAnsi="Times New Roman" w:cs="Times New Roman"/>
          <w:b/>
          <w:color w:val="auto"/>
          <w:kern w:val="10"/>
          <w:sz w:val="24"/>
          <w:highlight w:val="none"/>
          <w:lang w:val="en-US" w:eastAsia="zh-CN"/>
        </w:rPr>
        <w:t xml:space="preserve">5.6-9         </w:t>
      </w:r>
      <w:r>
        <w:rPr>
          <w:rFonts w:hint="default" w:ascii="Times New Roman" w:hAnsi="Times New Roman" w:cs="Times New Roman"/>
          <w:b/>
          <w:color w:val="auto"/>
          <w:kern w:val="10"/>
          <w:sz w:val="24"/>
          <w:highlight w:val="none"/>
        </w:rPr>
        <w:t xml:space="preserve">         不同植被覆盖的C值</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1377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66" w:type="pct"/>
            <w:tcBorders>
              <w:tl2br w:val="nil"/>
              <w:tr2bl w:val="nil"/>
            </w:tcBorders>
            <w:vAlign w:val="center"/>
          </w:tcPr>
          <w:p w14:paraId="19B846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highlight w:val="none"/>
                <w:vertAlign w:val="baseline"/>
              </w:rPr>
            </w:pPr>
            <w:r>
              <w:rPr>
                <w:rFonts w:hint="default" w:ascii="Times New Roman" w:hAnsi="Times New Roman" w:eastAsia="Times New Roman" w:cs="Times New Roman"/>
                <w:b/>
                <w:bCs/>
                <w:color w:val="auto"/>
                <w:sz w:val="21"/>
                <w:szCs w:val="21"/>
                <w:highlight w:val="none"/>
                <w:lang w:val="zh-CN"/>
              </w:rPr>
              <w:t>覆盖度</w:t>
            </w:r>
          </w:p>
        </w:tc>
        <w:tc>
          <w:tcPr>
            <w:tcW w:w="1666" w:type="pct"/>
            <w:tcBorders>
              <w:tl2br w:val="nil"/>
              <w:tr2bl w:val="nil"/>
            </w:tcBorders>
            <w:vAlign w:val="center"/>
          </w:tcPr>
          <w:p w14:paraId="246B7C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vertAlign w:val="baseline"/>
              </w:rPr>
              <w:t>面积（hm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vertAlign w:val="baseline"/>
              </w:rPr>
              <w:t>）</w:t>
            </w:r>
          </w:p>
        </w:tc>
        <w:tc>
          <w:tcPr>
            <w:tcW w:w="1666" w:type="pct"/>
            <w:tcBorders>
              <w:tl2br w:val="nil"/>
              <w:tr2bl w:val="nil"/>
            </w:tcBorders>
            <w:vAlign w:val="center"/>
          </w:tcPr>
          <w:p w14:paraId="352101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rPr>
              <w:t>占评价区比例</w:t>
            </w:r>
            <w:r>
              <w:rPr>
                <w:rFonts w:hint="eastAsia" w:cs="Times New Roman"/>
                <w:b/>
                <w:bCs/>
                <w:color w:val="auto"/>
                <w:sz w:val="21"/>
                <w:szCs w:val="21"/>
                <w:highlight w:val="none"/>
                <w:vertAlign w:val="baseline"/>
                <w:lang w:val="en-US" w:eastAsia="zh-CN"/>
              </w:rPr>
              <w:t>%</w:t>
            </w:r>
          </w:p>
        </w:tc>
      </w:tr>
      <w:tr w14:paraId="040FB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75ED66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Times New Roman" w:cs="Times New Roman"/>
                <w:color w:val="auto"/>
                <w:sz w:val="21"/>
                <w:szCs w:val="21"/>
                <w:highlight w:val="none"/>
                <w:lang w:val="zh-CN"/>
              </w:rPr>
              <w:t>低覆盖度：&lt;20%</w:t>
            </w:r>
          </w:p>
        </w:tc>
        <w:tc>
          <w:tcPr>
            <w:tcW w:w="2840" w:type="dxa"/>
            <w:tcBorders>
              <w:tl2br w:val="nil"/>
              <w:tr2bl w:val="nil"/>
            </w:tcBorders>
            <w:vAlign w:val="center"/>
          </w:tcPr>
          <w:p w14:paraId="175548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eastAsia" w:ascii="Times New Roman" w:hAnsi="Times New Roman" w:eastAsia="Times New Roman" w:cs="Times New Roman"/>
                <w:color w:val="auto"/>
                <w:sz w:val="21"/>
                <w:szCs w:val="21"/>
                <w:highlight w:val="none"/>
                <w:lang w:val="en-US" w:eastAsia="zh-CN"/>
              </w:rPr>
              <w:t>0.09</w:t>
            </w:r>
          </w:p>
        </w:tc>
        <w:tc>
          <w:tcPr>
            <w:tcW w:w="2840" w:type="dxa"/>
            <w:tcBorders>
              <w:tl2br w:val="nil"/>
              <w:tr2bl w:val="nil"/>
            </w:tcBorders>
            <w:vAlign w:val="top"/>
          </w:tcPr>
          <w:p w14:paraId="63AF80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default" w:ascii="Times New Roman" w:hAnsi="Times New Roman" w:eastAsia="Times New Roman" w:cs="Times New Roman"/>
                <w:color w:val="auto"/>
                <w:sz w:val="21"/>
                <w:szCs w:val="21"/>
                <w:highlight w:val="none"/>
                <w:lang w:val="en-US" w:eastAsia="zh-CN"/>
              </w:rPr>
              <w:t>0.01%</w:t>
            </w:r>
          </w:p>
        </w:tc>
      </w:tr>
      <w:tr w14:paraId="0ADE6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0F677C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Times New Roman" w:cs="Times New Roman"/>
                <w:color w:val="auto"/>
                <w:sz w:val="21"/>
                <w:szCs w:val="21"/>
                <w:highlight w:val="none"/>
                <w:lang w:val="zh-CN"/>
              </w:rPr>
              <w:t>较低植被覆盖度：</w:t>
            </w:r>
            <w:r>
              <w:rPr>
                <w:rFonts w:hint="eastAsia" w:eastAsia="Times New Roman" w:cs="Times New Roman"/>
                <w:color w:val="auto"/>
                <w:sz w:val="21"/>
                <w:szCs w:val="21"/>
                <w:highlight w:val="none"/>
                <w:lang w:val="zh-CN"/>
              </w:rPr>
              <w:t>20%～40%</w:t>
            </w:r>
          </w:p>
        </w:tc>
        <w:tc>
          <w:tcPr>
            <w:tcW w:w="2840" w:type="dxa"/>
            <w:tcBorders>
              <w:tl2br w:val="nil"/>
              <w:tr2bl w:val="nil"/>
            </w:tcBorders>
            <w:vAlign w:val="center"/>
          </w:tcPr>
          <w:p w14:paraId="7E3196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eastAsia" w:ascii="Times New Roman" w:hAnsi="Times New Roman" w:eastAsia="Times New Roman" w:cs="Times New Roman"/>
                <w:color w:val="auto"/>
                <w:sz w:val="21"/>
                <w:szCs w:val="21"/>
                <w:highlight w:val="none"/>
                <w:lang w:val="en-US" w:eastAsia="zh-CN"/>
              </w:rPr>
              <w:t>372.04</w:t>
            </w:r>
          </w:p>
        </w:tc>
        <w:tc>
          <w:tcPr>
            <w:tcW w:w="2840" w:type="dxa"/>
            <w:tcBorders>
              <w:tl2br w:val="nil"/>
              <w:tr2bl w:val="nil"/>
            </w:tcBorders>
            <w:vAlign w:val="top"/>
          </w:tcPr>
          <w:p w14:paraId="093ECD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default" w:ascii="Times New Roman" w:hAnsi="Times New Roman" w:eastAsia="Times New Roman" w:cs="Times New Roman"/>
                <w:color w:val="auto"/>
                <w:sz w:val="21"/>
                <w:szCs w:val="21"/>
                <w:highlight w:val="none"/>
                <w:lang w:val="en-US" w:eastAsia="zh-CN"/>
              </w:rPr>
              <w:t>25.21%</w:t>
            </w:r>
          </w:p>
        </w:tc>
      </w:tr>
      <w:tr w14:paraId="7C8F2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7D9428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Times New Roman" w:cs="Times New Roman"/>
                <w:color w:val="auto"/>
                <w:sz w:val="21"/>
                <w:szCs w:val="21"/>
                <w:highlight w:val="none"/>
                <w:lang w:val="zh-CN"/>
              </w:rPr>
              <w:t>中植被覆盖度：</w:t>
            </w:r>
            <w:r>
              <w:rPr>
                <w:rFonts w:hint="eastAsia" w:eastAsia="Times New Roman" w:cs="Times New Roman"/>
                <w:color w:val="auto"/>
                <w:sz w:val="21"/>
                <w:szCs w:val="21"/>
                <w:highlight w:val="none"/>
                <w:lang w:val="zh-CN"/>
              </w:rPr>
              <w:t>40%—60%</w:t>
            </w:r>
          </w:p>
        </w:tc>
        <w:tc>
          <w:tcPr>
            <w:tcW w:w="2840" w:type="dxa"/>
            <w:tcBorders>
              <w:tl2br w:val="nil"/>
              <w:tr2bl w:val="nil"/>
            </w:tcBorders>
            <w:vAlign w:val="center"/>
          </w:tcPr>
          <w:p w14:paraId="2B6313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eastAsia" w:ascii="Times New Roman" w:hAnsi="Times New Roman" w:eastAsia="Times New Roman" w:cs="Times New Roman"/>
                <w:color w:val="auto"/>
                <w:sz w:val="21"/>
                <w:szCs w:val="21"/>
                <w:highlight w:val="none"/>
                <w:lang w:val="en-US" w:eastAsia="zh-CN"/>
              </w:rPr>
              <w:t>91.76</w:t>
            </w:r>
          </w:p>
        </w:tc>
        <w:tc>
          <w:tcPr>
            <w:tcW w:w="2840" w:type="dxa"/>
            <w:tcBorders>
              <w:tl2br w:val="nil"/>
              <w:tr2bl w:val="nil"/>
            </w:tcBorders>
            <w:vAlign w:val="top"/>
          </w:tcPr>
          <w:p w14:paraId="4A2689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default" w:ascii="Times New Roman" w:hAnsi="Times New Roman" w:eastAsia="Times New Roman" w:cs="Times New Roman"/>
                <w:color w:val="auto"/>
                <w:sz w:val="21"/>
                <w:szCs w:val="21"/>
                <w:highlight w:val="none"/>
                <w:lang w:val="en-US" w:eastAsia="zh-CN"/>
              </w:rPr>
              <w:t>6.22%</w:t>
            </w:r>
          </w:p>
        </w:tc>
      </w:tr>
      <w:tr w14:paraId="1743C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5E8056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Times New Roman" w:cs="Times New Roman"/>
                <w:color w:val="auto"/>
                <w:sz w:val="21"/>
                <w:szCs w:val="21"/>
                <w:highlight w:val="none"/>
                <w:lang w:val="zh-CN"/>
              </w:rPr>
              <w:t>较高植被覆盖度：</w:t>
            </w:r>
            <w:r>
              <w:rPr>
                <w:rFonts w:hint="eastAsia" w:eastAsia="Times New Roman" w:cs="Times New Roman"/>
                <w:color w:val="auto"/>
                <w:sz w:val="21"/>
                <w:szCs w:val="21"/>
                <w:highlight w:val="none"/>
                <w:lang w:val="zh-CN"/>
              </w:rPr>
              <w:t>60%～80%</w:t>
            </w:r>
          </w:p>
        </w:tc>
        <w:tc>
          <w:tcPr>
            <w:tcW w:w="2840" w:type="dxa"/>
            <w:tcBorders>
              <w:tl2br w:val="nil"/>
              <w:tr2bl w:val="nil"/>
            </w:tcBorders>
            <w:vAlign w:val="center"/>
          </w:tcPr>
          <w:p w14:paraId="0F4905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eastAsia" w:ascii="Times New Roman" w:hAnsi="Times New Roman" w:eastAsia="Times New Roman" w:cs="Times New Roman"/>
                <w:color w:val="auto"/>
                <w:sz w:val="21"/>
                <w:szCs w:val="21"/>
                <w:highlight w:val="none"/>
                <w:lang w:val="en-US" w:eastAsia="zh-CN"/>
              </w:rPr>
              <w:t>13.26</w:t>
            </w:r>
          </w:p>
        </w:tc>
        <w:tc>
          <w:tcPr>
            <w:tcW w:w="2840" w:type="dxa"/>
            <w:tcBorders>
              <w:tl2br w:val="nil"/>
              <w:tr2bl w:val="nil"/>
            </w:tcBorders>
            <w:vAlign w:val="top"/>
          </w:tcPr>
          <w:p w14:paraId="36846E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default" w:ascii="Times New Roman" w:hAnsi="Times New Roman" w:eastAsia="Times New Roman" w:cs="Times New Roman"/>
                <w:color w:val="auto"/>
                <w:sz w:val="21"/>
                <w:szCs w:val="21"/>
                <w:highlight w:val="none"/>
                <w:lang w:val="en-US" w:eastAsia="zh-CN"/>
              </w:rPr>
              <w:t>0.90%</w:t>
            </w:r>
          </w:p>
        </w:tc>
      </w:tr>
      <w:tr w14:paraId="754A9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6C1244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Times New Roman" w:cs="Times New Roman"/>
                <w:color w:val="auto"/>
                <w:sz w:val="21"/>
                <w:szCs w:val="21"/>
                <w:highlight w:val="none"/>
                <w:lang w:val="zh-CN"/>
              </w:rPr>
              <w:t>高植被覆盖度</w:t>
            </w:r>
            <w:r>
              <w:rPr>
                <w:rFonts w:hint="eastAsia" w:eastAsia="Times New Roman" w:cs="Times New Roman"/>
                <w:color w:val="auto"/>
                <w:sz w:val="21"/>
                <w:szCs w:val="21"/>
                <w:highlight w:val="none"/>
                <w:lang w:val="zh-CN"/>
              </w:rPr>
              <w:t>：</w:t>
            </w:r>
            <w:r>
              <w:rPr>
                <w:rFonts w:hint="default" w:ascii="Times New Roman" w:hAnsi="Times New Roman" w:eastAsia="Times New Roman" w:cs="Times New Roman"/>
                <w:color w:val="auto"/>
                <w:sz w:val="21"/>
                <w:szCs w:val="21"/>
                <w:highlight w:val="none"/>
                <w:lang w:val="zh-CN"/>
              </w:rPr>
              <w:t>80%</w:t>
            </w:r>
          </w:p>
        </w:tc>
        <w:tc>
          <w:tcPr>
            <w:tcW w:w="2840" w:type="dxa"/>
            <w:tcBorders>
              <w:tl2br w:val="nil"/>
              <w:tr2bl w:val="nil"/>
            </w:tcBorders>
            <w:vAlign w:val="center"/>
          </w:tcPr>
          <w:p w14:paraId="288986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eastAsia" w:ascii="Times New Roman" w:hAnsi="Times New Roman" w:eastAsia="Times New Roman" w:cs="Times New Roman"/>
                <w:color w:val="auto"/>
                <w:sz w:val="21"/>
                <w:szCs w:val="21"/>
                <w:highlight w:val="none"/>
                <w:lang w:val="en-US" w:eastAsia="zh-CN"/>
              </w:rPr>
              <w:t>998.60</w:t>
            </w:r>
          </w:p>
        </w:tc>
        <w:tc>
          <w:tcPr>
            <w:tcW w:w="2840" w:type="dxa"/>
            <w:tcBorders>
              <w:tl2br w:val="nil"/>
              <w:tr2bl w:val="nil"/>
            </w:tcBorders>
            <w:vAlign w:val="top"/>
          </w:tcPr>
          <w:p w14:paraId="254BE2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default" w:ascii="Times New Roman" w:hAnsi="Times New Roman" w:eastAsia="Times New Roman" w:cs="Times New Roman"/>
                <w:color w:val="auto"/>
                <w:sz w:val="21"/>
                <w:szCs w:val="21"/>
                <w:highlight w:val="none"/>
                <w:lang w:val="en-US" w:eastAsia="zh-CN"/>
              </w:rPr>
              <w:t>67.67%</w:t>
            </w:r>
          </w:p>
        </w:tc>
      </w:tr>
      <w:tr w14:paraId="2B8F7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vAlign w:val="center"/>
          </w:tcPr>
          <w:p w14:paraId="3C0BAC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vertAlign w:val="baseline"/>
              </w:rPr>
            </w:pPr>
            <w:r>
              <w:rPr>
                <w:rFonts w:hint="default" w:ascii="Times New Roman" w:hAnsi="Times New Roman" w:eastAsia="Times New Roman" w:cs="Times New Roman"/>
                <w:color w:val="auto"/>
                <w:sz w:val="21"/>
                <w:szCs w:val="21"/>
                <w:highlight w:val="none"/>
                <w:lang w:val="zh-CN"/>
              </w:rPr>
              <w:t>合计</w:t>
            </w:r>
          </w:p>
        </w:tc>
        <w:tc>
          <w:tcPr>
            <w:tcW w:w="2840" w:type="dxa"/>
            <w:tcBorders>
              <w:tl2br w:val="nil"/>
              <w:tr2bl w:val="nil"/>
            </w:tcBorders>
            <w:vAlign w:val="center"/>
          </w:tcPr>
          <w:p w14:paraId="5B65C2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rPr>
            </w:pPr>
            <w:r>
              <w:rPr>
                <w:rFonts w:hint="eastAsia" w:ascii="Times New Roman" w:hAnsi="Times New Roman" w:eastAsia="Times New Roman" w:cs="Times New Roman"/>
                <w:color w:val="auto"/>
                <w:sz w:val="21"/>
                <w:szCs w:val="21"/>
                <w:highlight w:val="none"/>
                <w:lang w:val="en-US" w:eastAsia="zh-CN"/>
              </w:rPr>
              <w:t>1475.74</w:t>
            </w:r>
          </w:p>
        </w:tc>
        <w:tc>
          <w:tcPr>
            <w:tcW w:w="2840" w:type="dxa"/>
            <w:tcBorders>
              <w:tl2br w:val="nil"/>
              <w:tr2bl w:val="nil"/>
            </w:tcBorders>
            <w:vAlign w:val="top"/>
          </w:tcPr>
          <w:p w14:paraId="26B3D6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sz w:val="21"/>
                <w:szCs w:val="21"/>
                <w:highlight w:val="none"/>
                <w:lang w:val="zh-CN" w:eastAsia="zh-CN"/>
              </w:rPr>
            </w:pPr>
            <w:r>
              <w:rPr>
                <w:rFonts w:hint="default" w:ascii="Times New Roman" w:hAnsi="Times New Roman" w:eastAsia="Times New Roman" w:cs="Times New Roman"/>
                <w:color w:val="auto"/>
                <w:sz w:val="21"/>
                <w:szCs w:val="21"/>
                <w:highlight w:val="none"/>
                <w:lang w:val="en-US" w:eastAsia="zh-CN"/>
              </w:rPr>
              <w:t>100.00%</w:t>
            </w:r>
          </w:p>
        </w:tc>
      </w:tr>
    </w:tbl>
    <w:p w14:paraId="4FC0130F">
      <w:pPr>
        <w:spacing w:line="360" w:lineRule="auto"/>
        <w:ind w:firstLine="480" w:firstLineChars="200"/>
        <w:jc w:val="both"/>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评价区植被覆盖度呈现显著的梯度分布特征，高覆盖度区域占绝对主导地位。其中，高植被覆盖度</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80%）面积最大，达998.60公顷，占评价区总面积的67.67%；较低植被覆盖度（</w:t>
      </w:r>
      <w:r>
        <w:rPr>
          <w:rFonts w:hint="eastAsia" w:cs="Times New Roman"/>
          <w:color w:val="auto"/>
          <w:sz w:val="24"/>
          <w:szCs w:val="24"/>
          <w:highlight w:val="none"/>
          <w:lang w:val="en-US" w:eastAsia="zh-CN"/>
        </w:rPr>
        <w:t>20%～40%</w:t>
      </w:r>
      <w:r>
        <w:rPr>
          <w:rFonts w:hint="default" w:ascii="Times New Roman" w:hAnsi="Times New Roman" w:eastAsia="宋体" w:cs="Times New Roman"/>
          <w:color w:val="auto"/>
          <w:sz w:val="24"/>
          <w:szCs w:val="24"/>
          <w:highlight w:val="none"/>
          <w:lang w:val="en-US" w:eastAsia="zh-CN"/>
        </w:rPr>
        <w:t>） 面积次之，为372.04公顷，占比25.21%。中植被覆盖度（</w:t>
      </w:r>
      <w:r>
        <w:rPr>
          <w:rFonts w:hint="eastAsia" w:cs="Times New Roman"/>
          <w:color w:val="auto"/>
          <w:sz w:val="24"/>
          <w:szCs w:val="24"/>
          <w:highlight w:val="none"/>
          <w:lang w:val="en-US" w:eastAsia="zh-CN"/>
        </w:rPr>
        <w:t>40%～60%</w:t>
      </w:r>
      <w:r>
        <w:rPr>
          <w:rFonts w:hint="default" w:ascii="Times New Roman" w:hAnsi="Times New Roman" w:eastAsia="宋体" w:cs="Times New Roman"/>
          <w:color w:val="auto"/>
          <w:sz w:val="24"/>
          <w:szCs w:val="24"/>
          <w:highlight w:val="none"/>
          <w:lang w:val="en-US" w:eastAsia="zh-CN"/>
        </w:rPr>
        <w:t>）、较高植被覆盖度（</w:t>
      </w:r>
      <w:r>
        <w:rPr>
          <w:rFonts w:hint="eastAsia" w:cs="Times New Roman"/>
          <w:color w:val="auto"/>
          <w:sz w:val="24"/>
          <w:szCs w:val="24"/>
          <w:highlight w:val="none"/>
          <w:lang w:val="en-US" w:eastAsia="zh-CN"/>
        </w:rPr>
        <w:t>60%～80%</w:t>
      </w:r>
      <w:r>
        <w:rPr>
          <w:rFonts w:hint="default" w:ascii="Times New Roman" w:hAnsi="Times New Roman" w:eastAsia="宋体" w:cs="Times New Roman"/>
          <w:color w:val="auto"/>
          <w:sz w:val="24"/>
          <w:szCs w:val="24"/>
          <w:highlight w:val="none"/>
          <w:lang w:val="en-US" w:eastAsia="zh-CN"/>
        </w:rPr>
        <w:t>）及低植被覆盖度（&lt;20%）的面积占比较小，分别为6.22%、0.90%和0.01%，三类合计占比不足10%。整体而言，评价区植被覆盖度以高、较低两个梯度为主，植被覆盖状况整体良好</w:t>
      </w:r>
      <w:r>
        <w:rPr>
          <w:rFonts w:hint="eastAsia" w:ascii="Times New Roman" w:hAnsi="Times New Roman" w:eastAsia="宋体" w:cs="Times New Roman"/>
          <w:color w:val="auto"/>
          <w:sz w:val="24"/>
          <w:szCs w:val="24"/>
          <w:highlight w:val="none"/>
          <w:lang w:val="en-US" w:eastAsia="zh-CN"/>
        </w:rPr>
        <w:t>。</w:t>
      </w:r>
    </w:p>
    <w:p w14:paraId="693BFBAC">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5.6.1.7评价区生态质量影响评价</w:t>
      </w:r>
    </w:p>
    <w:p w14:paraId="6D23CFAD">
      <w:pPr>
        <w:pStyle w:val="8"/>
        <w:bidi w:val="0"/>
        <w:ind w:left="0" w:leftChars="0" w:firstLine="0" w:firstLineChars="0"/>
        <w:outlineLvl w:val="4"/>
        <w:rPr>
          <w:rFonts w:hint="default" w:ascii="Times New Roman" w:hAnsi="Times New Roman" w:cs="Times New Roman"/>
          <w:b/>
          <w:bCs w:val="0"/>
          <w:color w:val="auto"/>
          <w:sz w:val="28"/>
          <w:szCs w:val="28"/>
          <w:highlight w:val="none"/>
          <w:lang w:val="en-US" w:eastAsia="zh-CN"/>
        </w:rPr>
      </w:pPr>
      <w:bookmarkStart w:id="4525" w:name="_Toc9710"/>
      <w:r>
        <w:rPr>
          <w:rFonts w:hint="default" w:ascii="Times New Roman" w:hAnsi="Times New Roman" w:cs="Times New Roman"/>
          <w:b/>
          <w:bCs w:val="0"/>
          <w:color w:val="auto"/>
          <w:sz w:val="28"/>
          <w:szCs w:val="28"/>
          <w:highlight w:val="none"/>
          <w:lang w:val="en-US" w:eastAsia="zh-CN"/>
        </w:rPr>
        <w:t>5.6.1.7.1植被生产力评价</w:t>
      </w:r>
      <w:bookmarkEnd w:id="4525"/>
    </w:p>
    <w:p w14:paraId="77E12815">
      <w:pPr>
        <w:bidi w:val="0"/>
        <w:outlineLvl w:val="9"/>
        <w:rPr>
          <w:rFonts w:hint="default" w:ascii="Times New Roman" w:hAnsi="Times New Roman" w:cs="Times New Roman"/>
          <w:color w:val="auto"/>
          <w:sz w:val="24"/>
          <w:szCs w:val="24"/>
          <w:highlight w:val="none"/>
        </w:rPr>
      </w:pPr>
      <w:bookmarkStart w:id="4526" w:name="_Toc32671"/>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自然生产力评价</w:t>
      </w:r>
      <w:bookmarkEnd w:id="4526"/>
    </w:p>
    <w:p w14:paraId="036CDA98">
      <w:pPr>
        <w:bidi w:val="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自然生产力采用H.lieth生物生产力经验公式计算，公式如下：</w:t>
      </w:r>
    </w:p>
    <w:p w14:paraId="197AC989">
      <w:pPr>
        <w:bidi w:val="0"/>
        <w:jc w:val="center"/>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1569720" cy="365760"/>
            <wp:effectExtent l="0" t="0" r="0"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6"/>
                    <a:stretch>
                      <a:fillRect/>
                    </a:stretch>
                  </pic:blipFill>
                  <pic:spPr>
                    <a:xfrm>
                      <a:off x="0" y="0"/>
                      <a:ext cx="1569720" cy="365760"/>
                    </a:xfrm>
                    <a:prstGeom prst="rect">
                      <a:avLst/>
                    </a:prstGeom>
                    <a:noFill/>
                    <a:ln>
                      <a:noFill/>
                    </a:ln>
                  </pic:spPr>
                </pic:pic>
              </a:graphicData>
            </a:graphic>
          </wp:inline>
        </w:drawing>
      </w:r>
    </w:p>
    <w:p w14:paraId="630B36DD">
      <w:pPr>
        <w:bidi w:val="0"/>
        <w:jc w:val="center"/>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1470025" cy="259080"/>
            <wp:effectExtent l="0" t="0" r="1587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7"/>
                    <a:stretch>
                      <a:fillRect/>
                    </a:stretch>
                  </pic:blipFill>
                  <pic:spPr>
                    <a:xfrm>
                      <a:off x="0" y="0"/>
                      <a:ext cx="1470025" cy="259080"/>
                    </a:xfrm>
                    <a:prstGeom prst="rect">
                      <a:avLst/>
                    </a:prstGeom>
                    <a:noFill/>
                    <a:ln>
                      <a:noFill/>
                    </a:ln>
                  </pic:spPr>
                </pic:pic>
              </a:graphicData>
            </a:graphic>
          </wp:inline>
        </w:drawing>
      </w:r>
    </w:p>
    <w:p w14:paraId="1176E34C">
      <w:pPr>
        <w:bidi w:val="0"/>
        <w:ind w:left="0" w:leftChars="0" w:firstLine="0" w:firstLineChars="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式中：Y1 — 根据年均温度（t）估算的热量生产力[g/（m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·a）]</w:t>
      </w:r>
    </w:p>
    <w:p w14:paraId="4039893C">
      <w:pPr>
        <w:bidi w:val="0"/>
        <w:ind w:firstLine="720" w:firstLineChars="30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Y2 — 根据年降水量（p）估算的水分生产力[g/（m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·a）]；</w:t>
      </w:r>
    </w:p>
    <w:p w14:paraId="0E7F939A">
      <w:pPr>
        <w:bidi w:val="0"/>
        <w:jc w:val="both"/>
        <w:outlineLvl w:val="9"/>
        <w:rPr>
          <w:rFonts w:hint="default" w:ascii="Times New Roman" w:hAnsi="Times New Roman" w:cs="Times New Roman"/>
          <w:color w:val="auto"/>
          <w:sz w:val="24"/>
          <w:highlight w:val="none"/>
        </w:rPr>
      </w:pPr>
      <w:r>
        <w:rPr>
          <w:rFonts w:hint="eastAsia" w:cs="Times New Roman"/>
          <w:color w:val="auto"/>
          <w:sz w:val="24"/>
          <w:szCs w:val="24"/>
          <w:highlight w:val="none"/>
          <w:lang w:val="en-US" w:eastAsia="zh-CN"/>
        </w:rPr>
        <w:t>本工程</w:t>
      </w:r>
      <w:r>
        <w:rPr>
          <w:rFonts w:hint="default" w:ascii="Times New Roman" w:hAnsi="Times New Roman" w:cs="Times New Roman"/>
          <w:color w:val="auto"/>
          <w:sz w:val="24"/>
          <w:szCs w:val="24"/>
          <w:highlight w:val="none"/>
          <w:lang w:val="en-US" w:eastAsia="zh-CN"/>
        </w:rPr>
        <w:t>位于</w:t>
      </w:r>
      <w:r>
        <w:rPr>
          <w:rFonts w:hint="eastAsia" w:cs="Times New Roman"/>
          <w:color w:val="auto"/>
          <w:sz w:val="24"/>
          <w:szCs w:val="24"/>
          <w:highlight w:val="none"/>
          <w:lang w:val="en-US" w:eastAsia="zh-CN"/>
        </w:rPr>
        <w:t>固原市</w:t>
      </w:r>
      <w:r>
        <w:rPr>
          <w:rFonts w:hint="default" w:ascii="Times New Roman" w:hAnsi="Times New Roman" w:cs="Times New Roman"/>
          <w:color w:val="auto"/>
          <w:sz w:val="24"/>
          <w:szCs w:val="24"/>
          <w:highlight w:val="none"/>
          <w:lang w:val="en-US" w:eastAsia="zh-CN"/>
        </w:rPr>
        <w:t>彭阳县，固原市</w:t>
      </w:r>
      <w:r>
        <w:rPr>
          <w:rFonts w:hint="default" w:ascii="Times New Roman" w:hAnsi="Times New Roman" w:cs="Times New Roman"/>
          <w:color w:val="auto"/>
          <w:sz w:val="24"/>
          <w:szCs w:val="24"/>
          <w:highlight w:val="none"/>
        </w:rPr>
        <w:t>多年平均气温</w:t>
      </w:r>
      <w:r>
        <w:rPr>
          <w:rFonts w:hint="default" w:ascii="Times New Roman" w:hAnsi="Times New Roman" w:cs="Times New Roman"/>
          <w:color w:val="auto"/>
          <w:sz w:val="24"/>
          <w:szCs w:val="24"/>
          <w:highlight w:val="none"/>
          <w:lang w:val="en-US" w:eastAsia="zh-CN"/>
        </w:rPr>
        <w:t>6.1</w:t>
      </w:r>
      <w:r>
        <w:rPr>
          <w:rFonts w:hint="default" w:ascii="Times New Roman" w:hAnsi="Times New Roman" w:cs="Times New Roman"/>
          <w:color w:val="auto"/>
          <w:sz w:val="24"/>
          <w:szCs w:val="24"/>
          <w:highlight w:val="none"/>
        </w:rPr>
        <w:t>℃，流域多年平均降水量</w:t>
      </w:r>
      <w:r>
        <w:rPr>
          <w:rFonts w:hint="default" w:ascii="Times New Roman" w:hAnsi="Times New Roman" w:cs="Times New Roman"/>
          <w:color w:val="auto"/>
          <w:sz w:val="24"/>
          <w:szCs w:val="24"/>
          <w:highlight w:val="none"/>
          <w:lang w:val="en-US" w:eastAsia="zh-CN"/>
        </w:rPr>
        <w:t>458</w:t>
      </w:r>
      <w:r>
        <w:rPr>
          <w:rFonts w:hint="default" w:ascii="Times New Roman" w:hAnsi="Times New Roman" w:cs="Times New Roman"/>
          <w:color w:val="auto"/>
          <w:sz w:val="24"/>
          <w:szCs w:val="24"/>
          <w:highlight w:val="none"/>
        </w:rPr>
        <w:t>mm，年蒸发量</w:t>
      </w:r>
      <w:r>
        <w:rPr>
          <w:rFonts w:hint="default" w:ascii="Times New Roman" w:hAnsi="Times New Roman" w:cs="Times New Roman"/>
          <w:color w:val="auto"/>
          <w:sz w:val="24"/>
          <w:szCs w:val="24"/>
          <w:highlight w:val="none"/>
          <w:lang w:val="en-US" w:eastAsia="zh-CN"/>
        </w:rPr>
        <w:t>960</w:t>
      </w:r>
      <w:r>
        <w:rPr>
          <w:rFonts w:hint="default" w:ascii="Times New Roman" w:hAnsi="Times New Roman" w:cs="Times New Roman"/>
          <w:color w:val="auto"/>
          <w:sz w:val="24"/>
          <w:szCs w:val="24"/>
          <w:highlight w:val="none"/>
        </w:rPr>
        <w:t>mm。</w:t>
      </w:r>
      <w:r>
        <w:rPr>
          <w:rFonts w:hint="eastAsia" w:cs="Times New Roman"/>
          <w:color w:val="auto"/>
          <w:sz w:val="24"/>
          <w:highlight w:val="none"/>
          <w:lang w:val="en-US" w:eastAsia="zh-CN"/>
        </w:rPr>
        <w:t>固原市</w:t>
      </w:r>
      <w:r>
        <w:rPr>
          <w:rFonts w:hint="default" w:ascii="Times New Roman" w:hAnsi="Times New Roman" w:cs="Times New Roman"/>
          <w:color w:val="auto"/>
          <w:sz w:val="24"/>
          <w:highlight w:val="none"/>
        </w:rPr>
        <w:t>多年平均气温</w:t>
      </w:r>
      <w:r>
        <w:rPr>
          <w:rFonts w:hint="eastAsia" w:cs="Times New Roman"/>
          <w:color w:val="auto"/>
          <w:sz w:val="24"/>
          <w:highlight w:val="none"/>
          <w:lang w:val="en-US" w:eastAsia="zh-CN"/>
        </w:rPr>
        <w:t>7.8</w:t>
      </w:r>
      <w:r>
        <w:rPr>
          <w:rFonts w:hint="default" w:ascii="Times New Roman" w:hAnsi="Times New Roman" w:cs="Times New Roman"/>
          <w:color w:val="auto"/>
          <w:sz w:val="24"/>
          <w:highlight w:val="none"/>
        </w:rPr>
        <w:t>℃，流域多年平均降水量</w:t>
      </w:r>
      <w:r>
        <w:rPr>
          <w:rFonts w:hint="eastAsia" w:cs="Times New Roman"/>
          <w:color w:val="auto"/>
          <w:sz w:val="24"/>
          <w:highlight w:val="none"/>
          <w:lang w:val="en-US" w:eastAsia="zh-CN"/>
        </w:rPr>
        <w:t>440</w:t>
      </w:r>
      <w:r>
        <w:rPr>
          <w:rFonts w:hint="default" w:ascii="Times New Roman" w:hAnsi="Times New Roman" w:cs="Times New Roman"/>
          <w:color w:val="auto"/>
          <w:sz w:val="24"/>
          <w:highlight w:val="none"/>
        </w:rPr>
        <w:t>mm，年蒸发量</w:t>
      </w:r>
      <w:r>
        <w:rPr>
          <w:rFonts w:hint="eastAsia" w:cs="Times New Roman"/>
          <w:color w:val="auto"/>
          <w:sz w:val="24"/>
          <w:highlight w:val="none"/>
          <w:lang w:val="en-US" w:eastAsia="zh-CN"/>
        </w:rPr>
        <w:t>1050</w:t>
      </w:r>
      <w:r>
        <w:rPr>
          <w:rFonts w:hint="default" w:ascii="Times New Roman" w:hAnsi="Times New Roman" w:cs="Times New Roman"/>
          <w:color w:val="auto"/>
          <w:sz w:val="24"/>
          <w:highlight w:val="none"/>
        </w:rPr>
        <w:t>mm。</w:t>
      </w:r>
    </w:p>
    <w:p w14:paraId="6B111322">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根据</w:t>
      </w:r>
      <w:r>
        <w:rPr>
          <w:rFonts w:hint="eastAsia" w:cs="Times New Roman"/>
          <w:color w:val="auto"/>
          <w:sz w:val="24"/>
          <w:highlight w:val="none"/>
          <w:lang w:val="en-US" w:eastAsia="zh-CN"/>
        </w:rPr>
        <w:t>固原市</w:t>
      </w:r>
      <w:r>
        <w:rPr>
          <w:rFonts w:hint="default" w:ascii="Times New Roman" w:hAnsi="Times New Roman" w:cs="Times New Roman"/>
          <w:color w:val="auto"/>
          <w:sz w:val="24"/>
          <w:highlight w:val="none"/>
        </w:rPr>
        <w:t>多年的气象资料统计，通过采用H.lieth生物生产力经验公式计算出自然生产力的值，结果见表</w:t>
      </w:r>
      <w:r>
        <w:rPr>
          <w:rFonts w:hint="eastAsia" w:ascii="Times New Roman" w:hAnsi="Times New Roman" w:cs="Times New Roman"/>
          <w:color w:val="auto"/>
          <w:sz w:val="24"/>
          <w:highlight w:val="none"/>
          <w:lang w:val="en-US" w:eastAsia="zh-CN"/>
        </w:rPr>
        <w:t>5.6-10</w:t>
      </w:r>
      <w:r>
        <w:rPr>
          <w:rFonts w:hint="default" w:ascii="Times New Roman" w:hAnsi="Times New Roman" w:cs="Times New Roman"/>
          <w:color w:val="auto"/>
          <w:sz w:val="24"/>
          <w:szCs w:val="24"/>
          <w:highlight w:val="none"/>
        </w:rPr>
        <w:t>。</w:t>
      </w:r>
    </w:p>
    <w:p w14:paraId="76CFC2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cs="Times New Roman"/>
          <w:b/>
          <w:bCs/>
          <w:color w:val="auto"/>
          <w:kern w:val="0"/>
          <w:sz w:val="24"/>
          <w:szCs w:val="24"/>
          <w:highlight w:val="none"/>
          <w:lang w:val="en-US" w:eastAsia="zh-CN" w:bidi="ar"/>
        </w:rPr>
        <w:t>5.6-10</w:t>
      </w:r>
      <w:r>
        <w:rPr>
          <w:rFonts w:hint="default" w:ascii="Times New Roman" w:hAnsi="Times New Roman" w:eastAsia="宋体" w:cs="Times New Roman"/>
          <w:b/>
          <w:bCs/>
          <w:color w:val="auto"/>
          <w:kern w:val="0"/>
          <w:sz w:val="24"/>
          <w:szCs w:val="24"/>
          <w:highlight w:val="none"/>
          <w:lang w:val="en-US" w:eastAsia="zh-CN" w:bidi="ar"/>
        </w:rPr>
        <w:t xml:space="preserve"> 评价区土地自然生产力计算表</w:t>
      </w:r>
    </w:p>
    <w:tbl>
      <w:tblPr>
        <w:tblStyle w:val="31"/>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2265"/>
        <w:gridCol w:w="2264"/>
        <w:gridCol w:w="2265"/>
      </w:tblGrid>
      <w:tr w14:paraId="36A4F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6" w:type="dxa"/>
            <w:tcBorders>
              <w:tl2br w:val="nil"/>
              <w:tr2bl w:val="nil"/>
            </w:tcBorders>
            <w:noWrap w:val="0"/>
            <w:vAlign w:val="center"/>
          </w:tcPr>
          <w:p w14:paraId="35E151B1">
            <w:pPr>
              <w:pStyle w:val="29"/>
              <w:keepNext w:val="0"/>
              <w:keepLines w:val="0"/>
              <w:pageBreakBefore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rPr>
            </w:pPr>
            <w:bookmarkStart w:id="4527" w:name="_Toc5812"/>
            <w:bookmarkStart w:id="4528" w:name="_Toc17542"/>
            <w:bookmarkStart w:id="4529" w:name="_Toc22077"/>
            <w:bookmarkStart w:id="4530" w:name="_Toc7516"/>
            <w:bookmarkStart w:id="4531" w:name="_Toc25878"/>
            <w:r>
              <w:rPr>
                <w:rFonts w:hint="default" w:ascii="Times New Roman" w:hAnsi="Times New Roman" w:cs="Times New Roman"/>
                <w:b/>
                <w:bCs/>
                <w:color w:val="auto"/>
                <w:sz w:val="21"/>
                <w:szCs w:val="21"/>
                <w:highlight w:val="none"/>
              </w:rPr>
              <w:t>多年平均气温</w:t>
            </w:r>
            <w:bookmarkEnd w:id="4527"/>
            <w:bookmarkEnd w:id="4528"/>
            <w:bookmarkEnd w:id="4529"/>
            <w:bookmarkEnd w:id="4530"/>
            <w:bookmarkEnd w:id="4531"/>
          </w:p>
          <w:p w14:paraId="7739E776">
            <w:pPr>
              <w:pStyle w:val="29"/>
              <w:keepNext w:val="0"/>
              <w:keepLines w:val="0"/>
              <w:pageBreakBefore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rPr>
            </w:pPr>
            <w:bookmarkStart w:id="4532" w:name="_Toc11117"/>
            <w:bookmarkStart w:id="4533" w:name="_Toc19332"/>
            <w:bookmarkStart w:id="4534" w:name="_Toc32415"/>
            <w:bookmarkStart w:id="4535" w:name="_Toc11274"/>
            <w:bookmarkStart w:id="4536" w:name="_Toc10281"/>
            <w:r>
              <w:rPr>
                <w:rFonts w:hint="default" w:ascii="Times New Roman" w:hAnsi="Times New Roman" w:cs="Times New Roman"/>
                <w:b/>
                <w:bCs/>
                <w:color w:val="auto"/>
                <w:sz w:val="21"/>
                <w:szCs w:val="21"/>
                <w:highlight w:val="none"/>
              </w:rPr>
              <w:t>（℃）</w:t>
            </w:r>
            <w:bookmarkEnd w:id="4532"/>
            <w:bookmarkEnd w:id="4533"/>
            <w:bookmarkEnd w:id="4534"/>
            <w:bookmarkEnd w:id="4535"/>
            <w:bookmarkEnd w:id="4536"/>
          </w:p>
        </w:tc>
        <w:tc>
          <w:tcPr>
            <w:tcW w:w="2265" w:type="dxa"/>
            <w:tcBorders>
              <w:tl2br w:val="nil"/>
              <w:tr2bl w:val="nil"/>
            </w:tcBorders>
            <w:noWrap w:val="0"/>
            <w:vAlign w:val="center"/>
          </w:tcPr>
          <w:p w14:paraId="44311929">
            <w:pPr>
              <w:pStyle w:val="29"/>
              <w:keepNext w:val="0"/>
              <w:keepLines w:val="0"/>
              <w:pageBreakBefore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rPr>
            </w:pPr>
            <w:bookmarkStart w:id="4537" w:name="_Toc12392"/>
            <w:bookmarkStart w:id="4538" w:name="_Toc12828"/>
            <w:bookmarkStart w:id="4539" w:name="_Toc28261"/>
            <w:bookmarkStart w:id="4540" w:name="_Toc20054"/>
            <w:bookmarkStart w:id="4541" w:name="_Toc23666"/>
            <w:r>
              <w:rPr>
                <w:rFonts w:hint="default" w:ascii="Times New Roman" w:hAnsi="Times New Roman" w:cs="Times New Roman"/>
                <w:b/>
                <w:bCs/>
                <w:color w:val="auto"/>
                <w:sz w:val="21"/>
                <w:szCs w:val="21"/>
                <w:highlight w:val="none"/>
              </w:rPr>
              <w:t>多年平均降水量（mm）</w:t>
            </w:r>
            <w:bookmarkEnd w:id="4537"/>
            <w:bookmarkEnd w:id="4538"/>
            <w:bookmarkEnd w:id="4539"/>
            <w:bookmarkEnd w:id="4540"/>
            <w:bookmarkEnd w:id="4541"/>
          </w:p>
        </w:tc>
        <w:tc>
          <w:tcPr>
            <w:tcW w:w="2264" w:type="dxa"/>
            <w:tcBorders>
              <w:tl2br w:val="nil"/>
              <w:tr2bl w:val="nil"/>
            </w:tcBorders>
            <w:noWrap w:val="0"/>
            <w:vAlign w:val="center"/>
          </w:tcPr>
          <w:p w14:paraId="6FEC4966">
            <w:pPr>
              <w:pStyle w:val="29"/>
              <w:keepNext w:val="0"/>
              <w:keepLines w:val="0"/>
              <w:pageBreakBefore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rPr>
            </w:pPr>
            <w:bookmarkStart w:id="4542" w:name="_Toc26777"/>
            <w:bookmarkStart w:id="4543" w:name="_Toc17182"/>
            <w:bookmarkStart w:id="4544" w:name="_Toc4435"/>
            <w:bookmarkStart w:id="4545" w:name="_Toc28605"/>
            <w:bookmarkStart w:id="4546" w:name="_Toc30816"/>
            <w:r>
              <w:rPr>
                <w:rFonts w:hint="default" w:ascii="Times New Roman" w:hAnsi="Times New Roman" w:cs="Times New Roman"/>
                <w:b/>
                <w:bCs/>
                <w:color w:val="auto"/>
                <w:sz w:val="21"/>
                <w:szCs w:val="21"/>
                <w:highlight w:val="none"/>
              </w:rPr>
              <w:t>热量生产力</w:t>
            </w:r>
            <w:bookmarkEnd w:id="4542"/>
            <w:bookmarkEnd w:id="4543"/>
            <w:bookmarkEnd w:id="4544"/>
            <w:bookmarkEnd w:id="4545"/>
            <w:bookmarkEnd w:id="4546"/>
          </w:p>
          <w:p w14:paraId="531C15A7">
            <w:pPr>
              <w:pStyle w:val="29"/>
              <w:keepNext w:val="0"/>
              <w:keepLines w:val="0"/>
              <w:pageBreakBefore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rPr>
            </w:pPr>
            <w:bookmarkStart w:id="4547" w:name="_Toc17302"/>
            <w:bookmarkStart w:id="4548" w:name="_Toc4962"/>
            <w:bookmarkStart w:id="4549" w:name="_Toc6080"/>
            <w:bookmarkStart w:id="4550" w:name="_Toc28565"/>
            <w:bookmarkStart w:id="4551" w:name="_Toc11146"/>
            <w:r>
              <w:rPr>
                <w:rFonts w:hint="default" w:ascii="Times New Roman" w:hAnsi="Times New Roman" w:cs="Times New Roman"/>
                <w:b/>
                <w:bCs/>
                <w:color w:val="auto"/>
                <w:sz w:val="21"/>
                <w:szCs w:val="21"/>
                <w:highlight w:val="none"/>
              </w:rPr>
              <w:t>[g/</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.a</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w:t>
            </w:r>
            <w:bookmarkEnd w:id="4547"/>
            <w:bookmarkEnd w:id="4548"/>
            <w:bookmarkEnd w:id="4549"/>
            <w:bookmarkEnd w:id="4550"/>
            <w:bookmarkEnd w:id="4551"/>
          </w:p>
        </w:tc>
        <w:tc>
          <w:tcPr>
            <w:tcW w:w="2265" w:type="dxa"/>
            <w:tcBorders>
              <w:tl2br w:val="nil"/>
              <w:tr2bl w:val="nil"/>
            </w:tcBorders>
            <w:noWrap w:val="0"/>
            <w:vAlign w:val="center"/>
          </w:tcPr>
          <w:p w14:paraId="1853FEF7">
            <w:pPr>
              <w:pStyle w:val="29"/>
              <w:keepNext w:val="0"/>
              <w:keepLines w:val="0"/>
              <w:pageBreakBefore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rPr>
            </w:pPr>
            <w:bookmarkStart w:id="4552" w:name="_Toc4293"/>
            <w:bookmarkStart w:id="4553" w:name="_Toc29959"/>
            <w:bookmarkStart w:id="4554" w:name="_Toc25349"/>
            <w:bookmarkStart w:id="4555" w:name="_Toc16150"/>
            <w:bookmarkStart w:id="4556" w:name="_Toc29018"/>
            <w:r>
              <w:rPr>
                <w:rFonts w:hint="default" w:ascii="Times New Roman" w:hAnsi="Times New Roman" w:cs="Times New Roman"/>
                <w:b/>
                <w:bCs/>
                <w:color w:val="auto"/>
                <w:sz w:val="21"/>
                <w:szCs w:val="21"/>
                <w:highlight w:val="none"/>
              </w:rPr>
              <w:t>水分生产力</w:t>
            </w:r>
            <w:bookmarkEnd w:id="4552"/>
            <w:bookmarkEnd w:id="4553"/>
            <w:bookmarkEnd w:id="4554"/>
            <w:bookmarkEnd w:id="4555"/>
            <w:bookmarkEnd w:id="4556"/>
          </w:p>
          <w:p w14:paraId="08A5EFBA">
            <w:pPr>
              <w:pStyle w:val="29"/>
              <w:keepNext w:val="0"/>
              <w:keepLines w:val="0"/>
              <w:pageBreakBefore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cs="Times New Roman"/>
                <w:b/>
                <w:bCs/>
                <w:color w:val="auto"/>
                <w:sz w:val="21"/>
                <w:szCs w:val="21"/>
                <w:highlight w:val="none"/>
              </w:rPr>
            </w:pPr>
            <w:bookmarkStart w:id="4557" w:name="_Toc14812"/>
            <w:bookmarkStart w:id="4558" w:name="_Toc2750"/>
            <w:bookmarkStart w:id="4559" w:name="_Toc15298"/>
            <w:bookmarkStart w:id="4560" w:name="_Toc14774"/>
            <w:bookmarkStart w:id="4561" w:name="_Toc3810"/>
            <w:r>
              <w:rPr>
                <w:rFonts w:hint="default" w:ascii="Times New Roman" w:hAnsi="Times New Roman" w:cs="Times New Roman"/>
                <w:b/>
                <w:bCs/>
                <w:color w:val="auto"/>
                <w:sz w:val="21"/>
                <w:szCs w:val="21"/>
                <w:highlight w:val="none"/>
              </w:rPr>
              <w:t>[g/</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.a</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w:t>
            </w:r>
            <w:bookmarkEnd w:id="4557"/>
            <w:bookmarkEnd w:id="4558"/>
            <w:bookmarkEnd w:id="4559"/>
            <w:bookmarkEnd w:id="4560"/>
            <w:bookmarkEnd w:id="4561"/>
          </w:p>
        </w:tc>
      </w:tr>
      <w:tr w14:paraId="4863D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266" w:type="dxa"/>
            <w:tcBorders>
              <w:tl2br w:val="nil"/>
              <w:tr2bl w:val="nil"/>
            </w:tcBorders>
            <w:noWrap w:val="0"/>
            <w:vAlign w:val="center"/>
          </w:tcPr>
          <w:p w14:paraId="0319263F">
            <w:pPr>
              <w:pStyle w:val="3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7.8</w:t>
            </w:r>
          </w:p>
        </w:tc>
        <w:tc>
          <w:tcPr>
            <w:tcW w:w="2265" w:type="dxa"/>
            <w:tcBorders>
              <w:tl2br w:val="nil"/>
              <w:tr2bl w:val="nil"/>
            </w:tcBorders>
            <w:noWrap w:val="0"/>
            <w:vAlign w:val="center"/>
          </w:tcPr>
          <w:p w14:paraId="3E311A1E">
            <w:pPr>
              <w:pStyle w:val="3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440</w:t>
            </w:r>
          </w:p>
        </w:tc>
        <w:tc>
          <w:tcPr>
            <w:tcW w:w="2264" w:type="dxa"/>
            <w:tcBorders>
              <w:tl2br w:val="nil"/>
              <w:tr2bl w:val="nil"/>
            </w:tcBorders>
            <w:noWrap w:val="0"/>
            <w:vAlign w:val="center"/>
          </w:tcPr>
          <w:p w14:paraId="760B50BB">
            <w:pPr>
              <w:pStyle w:val="3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940.38</w:t>
            </w:r>
          </w:p>
        </w:tc>
        <w:tc>
          <w:tcPr>
            <w:tcW w:w="2265" w:type="dxa"/>
            <w:tcBorders>
              <w:tl2br w:val="nil"/>
              <w:tr2bl w:val="nil"/>
            </w:tcBorders>
            <w:noWrap w:val="0"/>
            <w:vAlign w:val="center"/>
          </w:tcPr>
          <w:p w14:paraId="5F8D2808">
            <w:pPr>
              <w:pStyle w:val="3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745.90</w:t>
            </w:r>
          </w:p>
        </w:tc>
      </w:tr>
    </w:tbl>
    <w:p w14:paraId="7E546A86">
      <w:pPr>
        <w:rPr>
          <w:rFonts w:hint="default"/>
          <w:color w:val="auto"/>
          <w:highlight w:val="none"/>
          <w:lang w:val="en-US" w:eastAsia="zh-CN"/>
        </w:rPr>
      </w:pPr>
      <w:r>
        <w:rPr>
          <w:rFonts w:hint="default"/>
          <w:color w:val="auto"/>
          <w:highlight w:val="none"/>
          <w:lang w:val="en-US" w:eastAsia="zh-CN"/>
        </w:rPr>
        <w:t>由表</w:t>
      </w:r>
      <w:r>
        <w:rPr>
          <w:rFonts w:hint="eastAsia"/>
          <w:color w:val="auto"/>
          <w:highlight w:val="none"/>
          <w:lang w:val="en-US" w:eastAsia="zh-CN"/>
        </w:rPr>
        <w:t>5.6-10</w:t>
      </w:r>
      <w:r>
        <w:rPr>
          <w:rFonts w:hint="default"/>
          <w:color w:val="auto"/>
          <w:highlight w:val="none"/>
          <w:lang w:val="en-US" w:eastAsia="zh-CN"/>
        </w:rPr>
        <w:t>可见，根据多年平均气温和平均降水量计算的评价区内热量生产力和水分生产力分别为</w:t>
      </w:r>
      <w:r>
        <w:rPr>
          <w:rFonts w:hint="eastAsia"/>
          <w:color w:val="auto"/>
          <w:highlight w:val="none"/>
          <w:lang w:val="en-US" w:eastAsia="zh-CN"/>
        </w:rPr>
        <w:t>940.38</w:t>
      </w:r>
      <w:r>
        <w:rPr>
          <w:rFonts w:hint="default"/>
          <w:color w:val="auto"/>
          <w:highlight w:val="none"/>
          <w:lang w:val="en-US" w:eastAsia="zh-CN"/>
        </w:rPr>
        <w:t>g/（m</w:t>
      </w:r>
      <w:r>
        <w:rPr>
          <w:rFonts w:hint="default"/>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color w:val="auto"/>
          <w:highlight w:val="none"/>
          <w:lang w:val="en-US" w:eastAsia="zh-CN"/>
        </w:rPr>
        <w:t>a）和</w:t>
      </w:r>
      <w:r>
        <w:rPr>
          <w:rFonts w:hint="eastAsia"/>
          <w:color w:val="auto"/>
          <w:highlight w:val="none"/>
          <w:lang w:val="en-US" w:eastAsia="zh-CN"/>
        </w:rPr>
        <w:t>745.90</w:t>
      </w:r>
      <w:r>
        <w:rPr>
          <w:rFonts w:hint="default"/>
          <w:color w:val="auto"/>
          <w:highlight w:val="none"/>
          <w:lang w:val="en-US" w:eastAsia="zh-CN"/>
        </w:rPr>
        <w:t>g/（m</w:t>
      </w:r>
      <w:r>
        <w:rPr>
          <w:rFonts w:hint="default"/>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default"/>
          <w:color w:val="auto"/>
          <w:highlight w:val="none"/>
          <w:lang w:val="en-US" w:eastAsia="zh-CN"/>
        </w:rPr>
        <w:t>a）。当地降雨量低，热量生产力大于水分生产力水平，水分条件较差，生产力较低。</w:t>
      </w:r>
    </w:p>
    <w:p w14:paraId="36B39898">
      <w:pPr>
        <w:rPr>
          <w:rFonts w:hint="default"/>
          <w:color w:val="auto"/>
          <w:highlight w:val="none"/>
          <w:lang w:val="en-US" w:eastAsia="zh-CN"/>
        </w:rPr>
      </w:pPr>
      <w:r>
        <w:rPr>
          <w:rFonts w:hint="default"/>
          <w:color w:val="auto"/>
          <w:highlight w:val="none"/>
          <w:lang w:val="en-US" w:eastAsia="zh-CN"/>
        </w:rPr>
        <w:t>固原地处黄土高原温暖半干旱气候区，是典型的大陆性季风气候，在区域内受地形地貌影响，气温变化差异大，尤其是在高海拔的山顶和低海拔的山脚常常受温度的影响，植被的分布、生长、演替及其组成与结构差异明显。由于降水量低，植被种类较为单一，组成结构差异不明显，分布稀疏。</w:t>
      </w:r>
    </w:p>
    <w:p w14:paraId="2342AB16">
      <w:pPr>
        <w:spacing w:line="360" w:lineRule="auto"/>
        <w:ind w:firstLine="480" w:firstLineChars="200"/>
        <w:jc w:val="both"/>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图</w:t>
      </w:r>
      <w:r>
        <w:rPr>
          <w:rFonts w:hint="default" w:ascii="Times New Roman" w:hAnsi="Times New Roman" w:cs="Times New Roman"/>
          <w:color w:val="auto"/>
          <w:kern w:val="0"/>
          <w:sz w:val="24"/>
          <w:szCs w:val="24"/>
          <w:highlight w:val="none"/>
          <w:lang w:val="en-US" w:eastAsia="zh-CN"/>
        </w:rPr>
        <w:t>5.6-3</w:t>
      </w:r>
      <w:r>
        <w:rPr>
          <w:rFonts w:hint="default" w:ascii="Times New Roman" w:hAnsi="Times New Roman" w:eastAsia="宋体" w:cs="Times New Roman"/>
          <w:color w:val="auto"/>
          <w:kern w:val="0"/>
          <w:sz w:val="24"/>
          <w:szCs w:val="24"/>
          <w:highlight w:val="none"/>
        </w:rPr>
        <w:t>为赵东升等利用遥感反演的中国自然植被净初级生产力全国分布状况，从图中看出评价区的植被净初级生产力在0-50 g/m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·a，根据赵东升等的研究结果，评价区的理论生产力低于自然植被净初级生产力。</w:t>
      </w:r>
    </w:p>
    <w:p w14:paraId="1DDFC73C">
      <w:pPr>
        <w:spacing w:line="360" w:lineRule="auto"/>
        <w:ind w:firstLine="480" w:firstLineChars="200"/>
        <w:jc w:val="both"/>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综上，评价区的植被生产力较差，生态敏感性较低，因此，项目建设对植被的自然净初级生产力</w:t>
      </w:r>
      <w:r>
        <w:rPr>
          <w:rFonts w:hint="default" w:ascii="Times New Roman" w:hAnsi="Times New Roman" w:cs="Times New Roman"/>
          <w:color w:val="auto"/>
          <w:kern w:val="0"/>
          <w:sz w:val="24"/>
          <w:szCs w:val="24"/>
          <w:highlight w:val="none"/>
          <w:lang w:eastAsia="zh-CN"/>
        </w:rPr>
        <w:t>的</w:t>
      </w:r>
      <w:r>
        <w:rPr>
          <w:rFonts w:hint="default" w:ascii="Times New Roman" w:hAnsi="Times New Roman" w:eastAsia="宋体" w:cs="Times New Roman"/>
          <w:color w:val="auto"/>
          <w:kern w:val="0"/>
          <w:sz w:val="24"/>
          <w:szCs w:val="24"/>
          <w:highlight w:val="none"/>
        </w:rPr>
        <w:t>影响</w:t>
      </w:r>
      <w:r>
        <w:rPr>
          <w:rFonts w:hint="default" w:ascii="Times New Roman" w:hAnsi="Times New Roman" w:cs="Times New Roman"/>
          <w:color w:val="auto"/>
          <w:kern w:val="0"/>
          <w:sz w:val="24"/>
          <w:szCs w:val="24"/>
          <w:highlight w:val="none"/>
          <w:lang w:val="en-US" w:eastAsia="zh-CN"/>
        </w:rPr>
        <w:t>有限</w:t>
      </w:r>
      <w:r>
        <w:rPr>
          <w:rFonts w:hint="default" w:ascii="Times New Roman" w:hAnsi="Times New Roman" w:eastAsia="宋体" w:cs="Times New Roman"/>
          <w:color w:val="auto"/>
          <w:kern w:val="0"/>
          <w:sz w:val="24"/>
          <w:szCs w:val="24"/>
          <w:highlight w:val="none"/>
        </w:rPr>
        <w:t>，生态系统结构和功能</w:t>
      </w:r>
      <w:r>
        <w:rPr>
          <w:rFonts w:hint="default" w:ascii="Times New Roman" w:hAnsi="Times New Roman" w:cs="Times New Roman"/>
          <w:color w:val="auto"/>
          <w:kern w:val="0"/>
          <w:sz w:val="24"/>
          <w:szCs w:val="24"/>
          <w:highlight w:val="none"/>
          <w:lang w:val="en-US" w:eastAsia="zh-CN"/>
        </w:rPr>
        <w:t>将趋于稳定</w:t>
      </w:r>
      <w:r>
        <w:rPr>
          <w:rFonts w:hint="default" w:ascii="Times New Roman" w:hAnsi="Times New Roman" w:eastAsia="宋体" w:cs="Times New Roman"/>
          <w:color w:val="auto"/>
          <w:kern w:val="0"/>
          <w:sz w:val="24"/>
          <w:szCs w:val="24"/>
          <w:highlight w:val="none"/>
        </w:rPr>
        <w:t>。</w:t>
      </w:r>
    </w:p>
    <w:p w14:paraId="2C50CB37">
      <w:pPr>
        <w:jc w:val="center"/>
        <w:rPr>
          <w:rFonts w:hint="default" w:ascii="Times New Roman" w:hAnsi="Times New Roman" w:eastAsia="宋体" w:cs="Times New Roman"/>
          <w:color w:val="auto"/>
          <w:kern w:val="0"/>
          <w:sz w:val="28"/>
          <w:szCs w:val="28"/>
          <w:highlight w:val="none"/>
        </w:rPr>
      </w:pPr>
      <w:r>
        <w:rPr>
          <w:rFonts w:hint="default" w:ascii="Times New Roman" w:hAnsi="Times New Roman" w:eastAsia="宋体" w:cs="Times New Roman"/>
          <w:color w:val="auto"/>
          <w:kern w:val="0"/>
          <w:sz w:val="28"/>
          <w:szCs w:val="28"/>
          <w:highlight w:val="none"/>
        </w:rPr>
        <w:drawing>
          <wp:inline distT="0" distB="0" distL="114300" distR="114300">
            <wp:extent cx="4605655" cy="3345180"/>
            <wp:effectExtent l="0" t="0" r="4445"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8"/>
                    <a:stretch>
                      <a:fillRect/>
                    </a:stretch>
                  </pic:blipFill>
                  <pic:spPr>
                    <a:xfrm>
                      <a:off x="0" y="0"/>
                      <a:ext cx="4605655" cy="3345180"/>
                    </a:xfrm>
                    <a:prstGeom prst="rect">
                      <a:avLst/>
                    </a:prstGeom>
                    <a:noFill/>
                    <a:ln>
                      <a:noFill/>
                    </a:ln>
                  </pic:spPr>
                </pic:pic>
              </a:graphicData>
            </a:graphic>
          </wp:inline>
        </w:drawing>
      </w:r>
    </w:p>
    <w:p w14:paraId="1212987D">
      <w:pPr>
        <w:spacing w:line="360" w:lineRule="auto"/>
        <w:jc w:val="center"/>
        <w:rPr>
          <w:rFonts w:hint="default" w:ascii="Times New Roman" w:hAnsi="Times New Roman" w:eastAsia="宋体" w:cs="Times New Roman"/>
          <w:b/>
          <w:color w:val="auto"/>
          <w:kern w:val="10"/>
          <w:sz w:val="24"/>
          <w:szCs w:val="24"/>
          <w:highlight w:val="none"/>
        </w:rPr>
      </w:pPr>
      <w:r>
        <w:rPr>
          <w:rFonts w:hint="default" w:ascii="Times New Roman" w:hAnsi="Times New Roman" w:eastAsia="宋体" w:cs="Times New Roman"/>
          <w:b/>
          <w:color w:val="auto"/>
          <w:kern w:val="10"/>
          <w:sz w:val="24"/>
          <w:szCs w:val="24"/>
          <w:highlight w:val="none"/>
        </w:rPr>
        <w:t>图</w:t>
      </w:r>
      <w:r>
        <w:rPr>
          <w:rFonts w:hint="default" w:ascii="Times New Roman" w:hAnsi="Times New Roman" w:cs="Times New Roman"/>
          <w:b/>
          <w:color w:val="auto"/>
          <w:kern w:val="10"/>
          <w:sz w:val="24"/>
          <w:szCs w:val="24"/>
          <w:highlight w:val="none"/>
          <w:lang w:val="en-US" w:eastAsia="zh-CN"/>
        </w:rPr>
        <w:t>5.6-3</w:t>
      </w:r>
      <w:r>
        <w:rPr>
          <w:rFonts w:hint="default" w:ascii="Times New Roman" w:hAnsi="Times New Roman" w:eastAsia="宋体" w:cs="Times New Roman"/>
          <w:b/>
          <w:color w:val="auto"/>
          <w:kern w:val="10"/>
          <w:sz w:val="24"/>
          <w:szCs w:val="24"/>
          <w:highlight w:val="none"/>
        </w:rPr>
        <w:t>基于MODIS 遥感反演的全国NPP 空间分布[g/（m</w:t>
      </w:r>
      <w:r>
        <w:rPr>
          <w:rFonts w:hint="default" w:ascii="Times New Roman" w:hAnsi="Times New Roman" w:eastAsia="宋体" w:cs="Times New Roman"/>
          <w:b/>
          <w:color w:val="auto"/>
          <w:kern w:val="10"/>
          <w:sz w:val="24"/>
          <w:szCs w:val="24"/>
          <w:highlight w:val="none"/>
          <w:vertAlign w:val="superscript"/>
        </w:rPr>
        <w:t>2</w:t>
      </w:r>
      <w:r>
        <w:rPr>
          <w:rFonts w:hint="default" w:ascii="Times New Roman" w:hAnsi="Times New Roman" w:eastAsia="宋体" w:cs="Times New Roman"/>
          <w:b/>
          <w:color w:val="auto"/>
          <w:kern w:val="10"/>
          <w:sz w:val="24"/>
          <w:szCs w:val="24"/>
          <w:highlight w:val="none"/>
        </w:rPr>
        <w:t>.a）]</w:t>
      </w:r>
    </w:p>
    <w:p w14:paraId="6152ECF8">
      <w:pPr>
        <w:pStyle w:val="8"/>
        <w:bidi w:val="0"/>
        <w:ind w:left="0" w:leftChars="0" w:firstLine="0" w:firstLineChars="0"/>
        <w:outlineLvl w:val="4"/>
        <w:rPr>
          <w:rFonts w:hint="default" w:ascii="Times New Roman" w:hAnsi="Times New Roman" w:cs="Times New Roman"/>
          <w:b/>
          <w:bCs w:val="0"/>
          <w:color w:val="auto"/>
          <w:sz w:val="28"/>
          <w:szCs w:val="28"/>
          <w:highlight w:val="none"/>
          <w:lang w:val="en-US" w:eastAsia="zh-CN"/>
        </w:rPr>
      </w:pPr>
      <w:bookmarkStart w:id="4562" w:name="_Toc5836"/>
      <w:r>
        <w:rPr>
          <w:rFonts w:hint="default" w:ascii="Times New Roman" w:hAnsi="Times New Roman" w:cs="Times New Roman"/>
          <w:b/>
          <w:bCs w:val="0"/>
          <w:color w:val="auto"/>
          <w:sz w:val="28"/>
          <w:szCs w:val="28"/>
          <w:highlight w:val="none"/>
          <w:lang w:val="en-US" w:eastAsia="zh-CN"/>
        </w:rPr>
        <w:t>5.6.1.7.2植被生物量评价</w:t>
      </w:r>
      <w:bookmarkEnd w:id="4562"/>
    </w:p>
    <w:p w14:paraId="727E1624">
      <w:pPr>
        <w:autoSpaceDE w:val="0"/>
        <w:autoSpaceDN w:val="0"/>
        <w:adjustRightIn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bookmarkStart w:id="4563" w:name="_Toc477336647"/>
      <w:bookmarkStart w:id="4564" w:name="_Toc392049525"/>
      <w:bookmarkStart w:id="4565" w:name="_Toc15441"/>
      <w:bookmarkStart w:id="4566" w:name="_Toc393099927"/>
      <w:bookmarkStart w:id="4567" w:name="_Toc10467"/>
      <w:bookmarkStart w:id="4568" w:name="_Toc395184661"/>
      <w:bookmarkStart w:id="4569" w:name="_Toc478487202"/>
      <w:bookmarkStart w:id="4570" w:name="_Toc466908996"/>
      <w:bookmarkStart w:id="4571" w:name="_Toc392050754"/>
      <w:bookmarkStart w:id="4572" w:name="_Toc12091"/>
      <w:bookmarkStart w:id="4573" w:name="_Toc109767248"/>
      <w:r>
        <w:rPr>
          <w:rFonts w:hint="default" w:ascii="Times New Roman" w:hAnsi="Times New Roman" w:eastAsia="宋体" w:cs="Times New Roman"/>
          <w:color w:val="auto"/>
          <w:kern w:val="0"/>
          <w:sz w:val="24"/>
          <w:szCs w:val="24"/>
          <w:highlight w:val="none"/>
          <w:lang w:val="en-US" w:eastAsia="zh-CN" w:bidi="ar"/>
        </w:rPr>
        <w:t>评价范围内植被生物量数据借用中国科学院生态环境研究中心专家建立的生物量的基本参数，并以其对宁夏回族自治区植被推算的平均生物量作为本次植被生物量估算的基础，参照植被生物量和净生产量估计模型，参考《中国不同植被类型净初级生产力变化特征》（陈雅敏等，2012年）、《中亚干旱荒漠区植被碳储量估算》（陶冶等，2013）文献</w:t>
      </w:r>
      <w:r>
        <w:rPr>
          <w:rFonts w:hint="eastAsia" w:cs="Times New Roman"/>
          <w:color w:val="auto"/>
          <w:kern w:val="0"/>
          <w:sz w:val="24"/>
          <w:szCs w:val="24"/>
          <w:highlight w:val="none"/>
          <w:lang w:val="en-US" w:eastAsia="zh-CN" w:bidi="ar"/>
        </w:rPr>
        <w:t>资料</w:t>
      </w:r>
      <w:r>
        <w:rPr>
          <w:rFonts w:hint="default" w:ascii="Times New Roman" w:hAnsi="Times New Roman" w:eastAsia="宋体" w:cs="Times New Roman"/>
          <w:color w:val="auto"/>
          <w:kern w:val="0"/>
          <w:sz w:val="24"/>
          <w:szCs w:val="24"/>
          <w:highlight w:val="none"/>
          <w:lang w:val="en-US" w:eastAsia="zh-CN" w:bidi="ar"/>
        </w:rPr>
        <w:t>，并根据现场调查，得出评价区域不同植被类型平均单位面积生物量指标，经计算得到评价区域的生物量，见表</w:t>
      </w:r>
      <w:r>
        <w:rPr>
          <w:rFonts w:hint="default" w:ascii="Times New Roman" w:hAnsi="Times New Roman" w:cs="Times New Roman"/>
          <w:color w:val="auto"/>
          <w:kern w:val="0"/>
          <w:sz w:val="24"/>
          <w:szCs w:val="24"/>
          <w:highlight w:val="none"/>
          <w:lang w:val="en-US" w:eastAsia="zh-CN" w:bidi="ar"/>
        </w:rPr>
        <w:t>5.6-11</w:t>
      </w:r>
      <w:r>
        <w:rPr>
          <w:rFonts w:hint="default" w:ascii="Times New Roman" w:hAnsi="Times New Roman" w:eastAsia="宋体" w:cs="Times New Roman"/>
          <w:color w:val="auto"/>
          <w:kern w:val="0"/>
          <w:sz w:val="24"/>
          <w:szCs w:val="24"/>
          <w:highlight w:val="none"/>
          <w:lang w:val="en-US" w:eastAsia="zh-CN" w:bidi="ar"/>
        </w:rPr>
        <w:t>所示。</w:t>
      </w:r>
    </w:p>
    <w:p w14:paraId="76942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cs="Times New Roman"/>
          <w:b/>
          <w:bCs/>
          <w:color w:val="auto"/>
          <w:kern w:val="0"/>
          <w:sz w:val="24"/>
          <w:szCs w:val="24"/>
          <w:highlight w:val="none"/>
          <w:lang w:val="en-US" w:eastAsia="zh-CN" w:bidi="ar"/>
        </w:rPr>
        <w:t>5.6-11</w:t>
      </w:r>
      <w:r>
        <w:rPr>
          <w:rFonts w:hint="default" w:ascii="Times New Roman" w:hAnsi="Times New Roman" w:eastAsia="宋体" w:cs="Times New Roman"/>
          <w:b/>
          <w:bCs/>
          <w:color w:val="auto"/>
          <w:kern w:val="0"/>
          <w:sz w:val="24"/>
          <w:szCs w:val="24"/>
          <w:highlight w:val="none"/>
          <w:lang w:val="en-US" w:eastAsia="zh-CN" w:bidi="ar"/>
        </w:rPr>
        <w:t xml:space="preserve">  评价区植被生物量计算表</w:t>
      </w:r>
    </w:p>
    <w:tbl>
      <w:tblPr>
        <w:tblStyle w:val="3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44"/>
        <w:gridCol w:w="1638"/>
        <w:gridCol w:w="2025"/>
        <w:gridCol w:w="1500"/>
        <w:gridCol w:w="1541"/>
      </w:tblGrid>
      <w:tr w14:paraId="37088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blHeader/>
        </w:trPr>
        <w:tc>
          <w:tcPr>
            <w:tcW w:w="674" w:type="dxa"/>
            <w:tcBorders>
              <w:tl2br w:val="nil"/>
              <w:tr2bl w:val="nil"/>
            </w:tcBorders>
            <w:noWrap/>
            <w:vAlign w:val="center"/>
          </w:tcPr>
          <w:p w14:paraId="60241ED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574" w:name="_Toc16233"/>
            <w:bookmarkStart w:id="4575" w:name="_Toc21227"/>
            <w:bookmarkStart w:id="4576" w:name="_Toc31578"/>
            <w:bookmarkStart w:id="4577" w:name="_Toc12424"/>
            <w:bookmarkStart w:id="4578" w:name="_Toc25244"/>
            <w:r>
              <w:rPr>
                <w:rFonts w:hint="default" w:ascii="Times New Roman" w:hAnsi="Times New Roman" w:cs="Times New Roman"/>
                <w:b/>
                <w:bCs/>
                <w:color w:val="auto"/>
                <w:sz w:val="21"/>
                <w:szCs w:val="21"/>
                <w:highlight w:val="none"/>
                <w:lang w:val="en-US" w:eastAsia="zh-CN"/>
              </w:rPr>
              <w:t>序号</w:t>
            </w:r>
            <w:bookmarkEnd w:id="4574"/>
            <w:bookmarkEnd w:id="4575"/>
            <w:bookmarkEnd w:id="4576"/>
            <w:bookmarkEnd w:id="4577"/>
            <w:bookmarkEnd w:id="4578"/>
          </w:p>
        </w:tc>
        <w:tc>
          <w:tcPr>
            <w:tcW w:w="1144" w:type="dxa"/>
            <w:tcBorders>
              <w:tl2br w:val="nil"/>
              <w:tr2bl w:val="nil"/>
            </w:tcBorders>
            <w:noWrap/>
            <w:vAlign w:val="center"/>
          </w:tcPr>
          <w:p w14:paraId="07A96F7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579" w:name="_Toc23177"/>
            <w:bookmarkStart w:id="4580" w:name="_Toc6478"/>
            <w:bookmarkStart w:id="4581" w:name="_Toc12634"/>
            <w:bookmarkStart w:id="4582" w:name="_Toc31376"/>
            <w:bookmarkStart w:id="4583" w:name="_Toc14910"/>
            <w:r>
              <w:rPr>
                <w:rFonts w:hint="default" w:ascii="Times New Roman" w:hAnsi="Times New Roman" w:cs="Times New Roman"/>
                <w:b/>
                <w:bCs/>
                <w:color w:val="auto"/>
                <w:sz w:val="21"/>
                <w:szCs w:val="21"/>
                <w:highlight w:val="none"/>
                <w:lang w:val="en-US" w:eastAsia="zh-CN"/>
              </w:rPr>
              <w:t>植被类型</w:t>
            </w:r>
            <w:bookmarkEnd w:id="4579"/>
            <w:bookmarkEnd w:id="4580"/>
            <w:bookmarkEnd w:id="4581"/>
            <w:bookmarkEnd w:id="4582"/>
            <w:bookmarkEnd w:id="4583"/>
          </w:p>
        </w:tc>
        <w:tc>
          <w:tcPr>
            <w:tcW w:w="1638" w:type="dxa"/>
            <w:tcBorders>
              <w:tl2br w:val="nil"/>
              <w:tr2bl w:val="nil"/>
            </w:tcBorders>
            <w:noWrap/>
            <w:vAlign w:val="center"/>
          </w:tcPr>
          <w:p w14:paraId="03AB4454">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584" w:name="_Toc11580"/>
            <w:bookmarkStart w:id="4585" w:name="_Toc26547"/>
            <w:bookmarkStart w:id="4586" w:name="_Toc17666"/>
            <w:bookmarkStart w:id="4587" w:name="_Toc10647"/>
            <w:bookmarkStart w:id="4588" w:name="_Toc21783"/>
            <w:r>
              <w:rPr>
                <w:rFonts w:hint="default" w:ascii="Times New Roman" w:hAnsi="Times New Roman" w:cs="Times New Roman"/>
                <w:b/>
                <w:bCs/>
                <w:color w:val="auto"/>
                <w:sz w:val="21"/>
                <w:szCs w:val="21"/>
                <w:highlight w:val="none"/>
                <w:lang w:val="en-US" w:eastAsia="zh-CN"/>
              </w:rPr>
              <w:t>面积（hm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cs="Times New Roman"/>
                <w:b/>
                <w:bCs/>
                <w:color w:val="auto"/>
                <w:sz w:val="21"/>
                <w:szCs w:val="21"/>
                <w:highlight w:val="none"/>
                <w:lang w:val="en-US" w:eastAsia="zh-CN"/>
              </w:rPr>
              <w:t>）</w:t>
            </w:r>
            <w:bookmarkEnd w:id="4584"/>
            <w:bookmarkEnd w:id="4585"/>
            <w:bookmarkEnd w:id="4586"/>
            <w:bookmarkEnd w:id="4587"/>
            <w:bookmarkEnd w:id="4588"/>
          </w:p>
        </w:tc>
        <w:tc>
          <w:tcPr>
            <w:tcW w:w="2025" w:type="dxa"/>
            <w:tcBorders>
              <w:tl2br w:val="nil"/>
              <w:tr2bl w:val="nil"/>
            </w:tcBorders>
            <w:noWrap/>
            <w:vAlign w:val="center"/>
          </w:tcPr>
          <w:p w14:paraId="05EC9E7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589" w:name="_Toc7658"/>
            <w:bookmarkStart w:id="4590" w:name="_Toc13625"/>
            <w:bookmarkStart w:id="4591" w:name="_Toc29114"/>
            <w:bookmarkStart w:id="4592" w:name="_Toc32023"/>
            <w:bookmarkStart w:id="4593" w:name="_Toc26313"/>
            <w:r>
              <w:rPr>
                <w:rFonts w:hint="default" w:ascii="Times New Roman" w:hAnsi="Times New Roman" w:cs="Times New Roman"/>
                <w:b/>
                <w:bCs/>
                <w:color w:val="auto"/>
                <w:sz w:val="21"/>
                <w:szCs w:val="21"/>
                <w:highlight w:val="none"/>
                <w:lang w:val="en-US" w:eastAsia="zh-CN"/>
              </w:rPr>
              <w:t>单位面积生物量（t/hm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cs="Times New Roman"/>
                <w:b/>
                <w:bCs/>
                <w:color w:val="auto"/>
                <w:sz w:val="21"/>
                <w:szCs w:val="21"/>
                <w:highlight w:val="none"/>
                <w:lang w:val="en-US" w:eastAsia="zh-CN"/>
              </w:rPr>
              <w:t>）</w:t>
            </w:r>
            <w:bookmarkEnd w:id="4589"/>
            <w:bookmarkEnd w:id="4590"/>
            <w:bookmarkEnd w:id="4591"/>
            <w:bookmarkEnd w:id="4592"/>
            <w:bookmarkEnd w:id="4593"/>
          </w:p>
        </w:tc>
        <w:tc>
          <w:tcPr>
            <w:tcW w:w="1500" w:type="dxa"/>
            <w:tcBorders>
              <w:tl2br w:val="nil"/>
              <w:tr2bl w:val="nil"/>
            </w:tcBorders>
            <w:noWrap/>
            <w:vAlign w:val="center"/>
          </w:tcPr>
          <w:p w14:paraId="7A51DED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594" w:name="_Toc22901"/>
            <w:bookmarkStart w:id="4595" w:name="_Toc9880"/>
            <w:bookmarkStart w:id="4596" w:name="_Toc20749"/>
            <w:bookmarkStart w:id="4597" w:name="_Toc31789"/>
            <w:bookmarkStart w:id="4598" w:name="_Toc27703"/>
            <w:r>
              <w:rPr>
                <w:rFonts w:hint="default" w:ascii="Times New Roman" w:hAnsi="Times New Roman" w:cs="Times New Roman"/>
                <w:b/>
                <w:bCs/>
                <w:color w:val="auto"/>
                <w:sz w:val="21"/>
                <w:szCs w:val="21"/>
                <w:highlight w:val="none"/>
                <w:lang w:val="en-US" w:eastAsia="zh-CN"/>
              </w:rPr>
              <w:t>生物量（t）</w:t>
            </w:r>
            <w:bookmarkEnd w:id="4594"/>
            <w:bookmarkEnd w:id="4595"/>
            <w:bookmarkEnd w:id="4596"/>
            <w:bookmarkEnd w:id="4597"/>
            <w:bookmarkEnd w:id="4598"/>
          </w:p>
        </w:tc>
        <w:tc>
          <w:tcPr>
            <w:tcW w:w="1541" w:type="dxa"/>
            <w:tcBorders>
              <w:tl2br w:val="nil"/>
              <w:tr2bl w:val="nil"/>
            </w:tcBorders>
            <w:noWrap/>
            <w:vAlign w:val="center"/>
          </w:tcPr>
          <w:p w14:paraId="2DF8320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599" w:name="_Toc7180"/>
            <w:bookmarkStart w:id="4600" w:name="_Toc30847"/>
            <w:bookmarkStart w:id="4601" w:name="_Toc27337"/>
            <w:bookmarkStart w:id="4602" w:name="_Toc10256"/>
            <w:bookmarkStart w:id="4603" w:name="_Toc2465"/>
            <w:r>
              <w:rPr>
                <w:rFonts w:hint="default" w:ascii="Times New Roman" w:hAnsi="Times New Roman" w:cs="Times New Roman"/>
                <w:b/>
                <w:bCs/>
                <w:color w:val="auto"/>
                <w:sz w:val="21"/>
                <w:szCs w:val="21"/>
                <w:highlight w:val="none"/>
                <w:lang w:val="en-US" w:eastAsia="zh-CN"/>
              </w:rPr>
              <w:t>占总生物量比例</w:t>
            </w:r>
            <w:bookmarkEnd w:id="4599"/>
            <w:bookmarkEnd w:id="4600"/>
            <w:bookmarkEnd w:id="4601"/>
            <w:bookmarkEnd w:id="4602"/>
            <w:bookmarkEnd w:id="4603"/>
          </w:p>
        </w:tc>
      </w:tr>
      <w:tr w14:paraId="1B08B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74" w:type="dxa"/>
            <w:tcBorders>
              <w:tl2br w:val="nil"/>
              <w:tr2bl w:val="nil"/>
            </w:tcBorders>
            <w:noWrap/>
            <w:vAlign w:val="center"/>
          </w:tcPr>
          <w:p w14:paraId="1242CAD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04" w:name="_Toc6370"/>
            <w:bookmarkStart w:id="4605" w:name="_Toc4818"/>
            <w:bookmarkStart w:id="4606" w:name="_Toc11291"/>
            <w:bookmarkStart w:id="4607" w:name="_Toc17138"/>
            <w:bookmarkStart w:id="4608" w:name="_Toc28716"/>
            <w:r>
              <w:rPr>
                <w:rFonts w:hint="default" w:ascii="Times New Roman" w:hAnsi="Times New Roman" w:cs="Times New Roman"/>
                <w:color w:val="auto"/>
                <w:sz w:val="21"/>
                <w:szCs w:val="21"/>
                <w:highlight w:val="none"/>
                <w:lang w:val="en-US" w:eastAsia="zh-CN"/>
              </w:rPr>
              <w:t>1</w:t>
            </w:r>
            <w:bookmarkEnd w:id="4604"/>
            <w:bookmarkEnd w:id="4605"/>
            <w:bookmarkEnd w:id="4606"/>
            <w:bookmarkEnd w:id="4607"/>
            <w:bookmarkEnd w:id="4608"/>
          </w:p>
        </w:tc>
        <w:tc>
          <w:tcPr>
            <w:tcW w:w="1144" w:type="dxa"/>
            <w:tcBorders>
              <w:tl2br w:val="nil"/>
              <w:tr2bl w:val="nil"/>
            </w:tcBorders>
            <w:noWrap/>
            <w:vAlign w:val="center"/>
          </w:tcPr>
          <w:p w14:paraId="73EA61E5">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09" w:name="_Toc28039"/>
            <w:bookmarkStart w:id="4610" w:name="_Toc14689"/>
            <w:bookmarkStart w:id="4611" w:name="_Toc26080"/>
            <w:bookmarkStart w:id="4612" w:name="_Toc5068"/>
            <w:bookmarkStart w:id="4613" w:name="_Toc6045"/>
            <w:r>
              <w:rPr>
                <w:rFonts w:hint="default" w:ascii="Times New Roman" w:hAnsi="Times New Roman" w:cs="Times New Roman"/>
                <w:color w:val="auto"/>
                <w:sz w:val="21"/>
                <w:szCs w:val="21"/>
                <w:highlight w:val="none"/>
                <w:lang w:val="en-US" w:eastAsia="zh-CN"/>
              </w:rPr>
              <w:t>草原植被</w:t>
            </w:r>
            <w:bookmarkEnd w:id="4609"/>
            <w:bookmarkEnd w:id="4610"/>
            <w:bookmarkEnd w:id="4611"/>
            <w:bookmarkEnd w:id="4612"/>
            <w:bookmarkEnd w:id="4613"/>
          </w:p>
        </w:tc>
        <w:tc>
          <w:tcPr>
            <w:tcW w:w="1638" w:type="dxa"/>
            <w:tcBorders>
              <w:tl2br w:val="nil"/>
              <w:tr2bl w:val="nil"/>
            </w:tcBorders>
            <w:noWrap/>
            <w:vAlign w:val="center"/>
          </w:tcPr>
          <w:p w14:paraId="716CDAE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14" w:name="_Toc20770"/>
            <w:bookmarkStart w:id="4615" w:name="_Toc689"/>
            <w:bookmarkStart w:id="4616" w:name="_Toc4418"/>
            <w:r>
              <w:rPr>
                <w:rFonts w:hint="default" w:ascii="Times New Roman" w:hAnsi="Times New Roman" w:cs="Times New Roman"/>
                <w:color w:val="auto"/>
                <w:sz w:val="21"/>
                <w:szCs w:val="21"/>
                <w:highlight w:val="none"/>
                <w:lang w:val="en-US" w:eastAsia="zh-CN"/>
              </w:rPr>
              <w:t>102.41</w:t>
            </w:r>
            <w:bookmarkEnd w:id="4614"/>
            <w:bookmarkEnd w:id="4615"/>
            <w:bookmarkEnd w:id="4616"/>
          </w:p>
        </w:tc>
        <w:tc>
          <w:tcPr>
            <w:tcW w:w="2025" w:type="dxa"/>
            <w:tcBorders>
              <w:tl2br w:val="nil"/>
              <w:tr2bl w:val="nil"/>
            </w:tcBorders>
            <w:noWrap/>
            <w:vAlign w:val="center"/>
          </w:tcPr>
          <w:p w14:paraId="22137172">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17" w:name="_Toc1089"/>
            <w:bookmarkStart w:id="4618" w:name="_Toc5584"/>
            <w:bookmarkStart w:id="4619" w:name="_Toc27694"/>
            <w:r>
              <w:rPr>
                <w:rFonts w:hint="default" w:ascii="Times New Roman" w:hAnsi="Times New Roman" w:cs="Times New Roman"/>
                <w:color w:val="auto"/>
                <w:sz w:val="21"/>
                <w:szCs w:val="21"/>
                <w:highlight w:val="none"/>
                <w:lang w:val="en-US" w:eastAsia="zh-CN"/>
              </w:rPr>
              <w:t>2.3</w:t>
            </w:r>
            <w:bookmarkEnd w:id="4617"/>
            <w:bookmarkEnd w:id="4618"/>
            <w:bookmarkEnd w:id="4619"/>
          </w:p>
        </w:tc>
        <w:tc>
          <w:tcPr>
            <w:tcW w:w="1500" w:type="dxa"/>
            <w:tcBorders>
              <w:tl2br w:val="nil"/>
              <w:tr2bl w:val="nil"/>
            </w:tcBorders>
            <w:noWrap/>
            <w:vAlign w:val="center"/>
          </w:tcPr>
          <w:p w14:paraId="06673E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20" w:name="_Toc14790"/>
            <w:bookmarkStart w:id="4621" w:name="_Toc7240"/>
            <w:bookmarkStart w:id="4622" w:name="_Toc31972"/>
            <w:r>
              <w:rPr>
                <w:rFonts w:hint="default" w:ascii="Times New Roman" w:hAnsi="Times New Roman" w:cs="Times New Roman"/>
                <w:color w:val="auto"/>
                <w:sz w:val="21"/>
                <w:szCs w:val="21"/>
                <w:highlight w:val="none"/>
                <w:lang w:val="en-US" w:eastAsia="zh-CN"/>
              </w:rPr>
              <w:t>235.53</w:t>
            </w:r>
            <w:bookmarkEnd w:id="4620"/>
            <w:bookmarkEnd w:id="4621"/>
            <w:bookmarkEnd w:id="4622"/>
            <w:r>
              <w:rPr>
                <w:rFonts w:hint="default" w:ascii="Times New Roman" w:hAnsi="Times New Roman" w:cs="Times New Roman"/>
                <w:color w:val="auto"/>
                <w:sz w:val="21"/>
                <w:szCs w:val="21"/>
                <w:highlight w:val="none"/>
                <w:lang w:val="en-US" w:eastAsia="zh-CN"/>
              </w:rPr>
              <w:t xml:space="preserve"> </w:t>
            </w:r>
          </w:p>
        </w:tc>
        <w:tc>
          <w:tcPr>
            <w:tcW w:w="1541" w:type="dxa"/>
            <w:tcBorders>
              <w:tl2br w:val="nil"/>
              <w:tr2bl w:val="nil"/>
            </w:tcBorders>
            <w:noWrap/>
            <w:vAlign w:val="center"/>
          </w:tcPr>
          <w:p w14:paraId="466DE1C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23" w:name="_Toc26305"/>
            <w:bookmarkStart w:id="4624" w:name="_Toc30526"/>
            <w:bookmarkStart w:id="4625" w:name="_Toc32767"/>
            <w:r>
              <w:rPr>
                <w:rFonts w:hint="default" w:ascii="Times New Roman" w:hAnsi="Times New Roman" w:cs="Times New Roman"/>
                <w:color w:val="auto"/>
                <w:sz w:val="21"/>
                <w:szCs w:val="21"/>
                <w:highlight w:val="none"/>
                <w:lang w:val="en-US" w:eastAsia="zh-CN"/>
              </w:rPr>
              <w:t>1.21%</w:t>
            </w:r>
            <w:bookmarkEnd w:id="4623"/>
            <w:bookmarkEnd w:id="4624"/>
            <w:bookmarkEnd w:id="4625"/>
          </w:p>
        </w:tc>
      </w:tr>
      <w:tr w14:paraId="2A753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74" w:type="dxa"/>
            <w:tcBorders>
              <w:tl2br w:val="nil"/>
              <w:tr2bl w:val="nil"/>
            </w:tcBorders>
            <w:noWrap/>
            <w:vAlign w:val="center"/>
          </w:tcPr>
          <w:p w14:paraId="1075F75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26" w:name="_Toc20622"/>
            <w:bookmarkStart w:id="4627" w:name="_Toc22771"/>
            <w:bookmarkStart w:id="4628" w:name="_Toc27731"/>
            <w:bookmarkStart w:id="4629" w:name="_Toc10868"/>
            <w:bookmarkStart w:id="4630" w:name="_Toc18199"/>
            <w:r>
              <w:rPr>
                <w:rFonts w:hint="default" w:ascii="Times New Roman" w:hAnsi="Times New Roman" w:cs="Times New Roman"/>
                <w:color w:val="auto"/>
                <w:sz w:val="21"/>
                <w:szCs w:val="21"/>
                <w:highlight w:val="none"/>
                <w:lang w:val="en-US" w:eastAsia="zh-CN"/>
              </w:rPr>
              <w:t>2</w:t>
            </w:r>
            <w:bookmarkEnd w:id="4626"/>
            <w:bookmarkEnd w:id="4627"/>
            <w:bookmarkEnd w:id="4628"/>
            <w:bookmarkEnd w:id="4629"/>
            <w:bookmarkEnd w:id="4630"/>
          </w:p>
        </w:tc>
        <w:tc>
          <w:tcPr>
            <w:tcW w:w="1144" w:type="dxa"/>
            <w:tcBorders>
              <w:tl2br w:val="nil"/>
              <w:tr2bl w:val="nil"/>
            </w:tcBorders>
            <w:noWrap/>
            <w:vAlign w:val="center"/>
          </w:tcPr>
          <w:p w14:paraId="2E58BEE2">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31" w:name="_Toc26390"/>
            <w:bookmarkStart w:id="4632" w:name="_Toc20202"/>
            <w:bookmarkStart w:id="4633" w:name="_Toc753"/>
            <w:r>
              <w:rPr>
                <w:rFonts w:hint="eastAsia" w:cs="Times New Roman"/>
                <w:color w:val="auto"/>
                <w:sz w:val="21"/>
                <w:szCs w:val="21"/>
                <w:highlight w:val="none"/>
                <w:lang w:val="en-US" w:eastAsia="zh-CN"/>
              </w:rPr>
              <w:t>森林植被</w:t>
            </w:r>
            <w:bookmarkEnd w:id="4631"/>
            <w:bookmarkEnd w:id="4632"/>
            <w:bookmarkEnd w:id="4633"/>
          </w:p>
        </w:tc>
        <w:tc>
          <w:tcPr>
            <w:tcW w:w="1638" w:type="dxa"/>
            <w:tcBorders>
              <w:tl2br w:val="nil"/>
              <w:tr2bl w:val="nil"/>
            </w:tcBorders>
            <w:noWrap/>
            <w:vAlign w:val="center"/>
          </w:tcPr>
          <w:p w14:paraId="0DAA9DF9">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34" w:name="_Toc3183"/>
            <w:bookmarkStart w:id="4635" w:name="_Toc20367"/>
            <w:bookmarkStart w:id="4636" w:name="_Toc19129"/>
            <w:r>
              <w:rPr>
                <w:rFonts w:hint="default" w:ascii="Times New Roman" w:hAnsi="Times New Roman" w:cs="Times New Roman"/>
                <w:color w:val="auto"/>
                <w:sz w:val="21"/>
                <w:szCs w:val="21"/>
                <w:highlight w:val="none"/>
                <w:lang w:val="en-US" w:eastAsia="zh-CN"/>
              </w:rPr>
              <w:t>593.97</w:t>
            </w:r>
            <w:bookmarkEnd w:id="4634"/>
            <w:bookmarkEnd w:id="4635"/>
            <w:bookmarkEnd w:id="4636"/>
          </w:p>
        </w:tc>
        <w:tc>
          <w:tcPr>
            <w:tcW w:w="2025" w:type="dxa"/>
            <w:tcBorders>
              <w:tl2br w:val="nil"/>
              <w:tr2bl w:val="nil"/>
            </w:tcBorders>
            <w:noWrap/>
            <w:vAlign w:val="center"/>
          </w:tcPr>
          <w:p w14:paraId="11CB37CA">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37" w:name="_Toc12266"/>
            <w:bookmarkStart w:id="4638" w:name="_Toc10114"/>
            <w:bookmarkStart w:id="4639" w:name="_Toc13336"/>
            <w:r>
              <w:rPr>
                <w:rFonts w:hint="default" w:ascii="Times New Roman" w:hAnsi="Times New Roman" w:cs="Times New Roman"/>
                <w:color w:val="auto"/>
                <w:sz w:val="21"/>
                <w:szCs w:val="21"/>
                <w:highlight w:val="none"/>
                <w:lang w:val="en-US" w:eastAsia="zh-CN"/>
              </w:rPr>
              <w:t>23.48</w:t>
            </w:r>
            <w:bookmarkEnd w:id="4637"/>
            <w:bookmarkEnd w:id="4638"/>
            <w:bookmarkEnd w:id="4639"/>
          </w:p>
        </w:tc>
        <w:tc>
          <w:tcPr>
            <w:tcW w:w="1500" w:type="dxa"/>
            <w:tcBorders>
              <w:tl2br w:val="nil"/>
              <w:tr2bl w:val="nil"/>
            </w:tcBorders>
            <w:noWrap/>
            <w:vAlign w:val="center"/>
          </w:tcPr>
          <w:p w14:paraId="0140D8B4">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40" w:name="_Toc29621"/>
            <w:bookmarkStart w:id="4641" w:name="_Toc9107"/>
            <w:bookmarkStart w:id="4642" w:name="_Toc23880"/>
            <w:r>
              <w:rPr>
                <w:rFonts w:hint="default" w:ascii="Times New Roman" w:hAnsi="Times New Roman" w:cs="Times New Roman"/>
                <w:color w:val="auto"/>
                <w:sz w:val="21"/>
                <w:szCs w:val="21"/>
                <w:highlight w:val="none"/>
                <w:lang w:val="en-US" w:eastAsia="zh-CN"/>
              </w:rPr>
              <w:t>13946.44</w:t>
            </w:r>
            <w:bookmarkEnd w:id="4640"/>
            <w:bookmarkEnd w:id="4641"/>
            <w:bookmarkEnd w:id="4642"/>
            <w:r>
              <w:rPr>
                <w:rFonts w:hint="default" w:ascii="Times New Roman" w:hAnsi="Times New Roman" w:cs="Times New Roman"/>
                <w:color w:val="auto"/>
                <w:sz w:val="21"/>
                <w:szCs w:val="21"/>
                <w:highlight w:val="none"/>
                <w:lang w:val="en-US" w:eastAsia="zh-CN"/>
              </w:rPr>
              <w:t xml:space="preserve"> </w:t>
            </w:r>
          </w:p>
        </w:tc>
        <w:tc>
          <w:tcPr>
            <w:tcW w:w="1541" w:type="dxa"/>
            <w:tcBorders>
              <w:tl2br w:val="nil"/>
              <w:tr2bl w:val="nil"/>
            </w:tcBorders>
            <w:noWrap/>
            <w:vAlign w:val="center"/>
          </w:tcPr>
          <w:p w14:paraId="1CE4C12F">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43" w:name="_Toc9009"/>
            <w:bookmarkStart w:id="4644" w:name="_Toc11182"/>
            <w:bookmarkStart w:id="4645" w:name="_Toc32446"/>
            <w:r>
              <w:rPr>
                <w:rFonts w:hint="default" w:ascii="Times New Roman" w:hAnsi="Times New Roman" w:cs="Times New Roman"/>
                <w:color w:val="auto"/>
                <w:sz w:val="21"/>
                <w:szCs w:val="21"/>
                <w:highlight w:val="none"/>
                <w:lang w:val="en-US" w:eastAsia="zh-CN"/>
              </w:rPr>
              <w:t>71.88%</w:t>
            </w:r>
            <w:bookmarkEnd w:id="4643"/>
            <w:bookmarkEnd w:id="4644"/>
            <w:bookmarkEnd w:id="4645"/>
          </w:p>
        </w:tc>
      </w:tr>
      <w:tr w14:paraId="2E60C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74" w:type="dxa"/>
            <w:tcBorders>
              <w:tl2br w:val="nil"/>
              <w:tr2bl w:val="nil"/>
            </w:tcBorders>
            <w:noWrap/>
            <w:vAlign w:val="center"/>
          </w:tcPr>
          <w:p w14:paraId="2DCA097A">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46" w:name="_Toc30071"/>
            <w:bookmarkStart w:id="4647" w:name="_Toc7294"/>
            <w:bookmarkStart w:id="4648" w:name="_Toc12772"/>
            <w:bookmarkStart w:id="4649" w:name="_Toc26580"/>
            <w:bookmarkStart w:id="4650" w:name="_Toc20540"/>
            <w:r>
              <w:rPr>
                <w:rFonts w:hint="default" w:ascii="Times New Roman" w:hAnsi="Times New Roman" w:cs="Times New Roman"/>
                <w:color w:val="auto"/>
                <w:sz w:val="21"/>
                <w:szCs w:val="21"/>
                <w:highlight w:val="none"/>
                <w:lang w:val="en-US" w:eastAsia="zh-CN"/>
              </w:rPr>
              <w:t>3</w:t>
            </w:r>
            <w:bookmarkEnd w:id="4646"/>
            <w:bookmarkEnd w:id="4647"/>
            <w:bookmarkEnd w:id="4648"/>
            <w:bookmarkEnd w:id="4649"/>
            <w:bookmarkEnd w:id="4650"/>
          </w:p>
        </w:tc>
        <w:tc>
          <w:tcPr>
            <w:tcW w:w="1144" w:type="dxa"/>
            <w:tcBorders>
              <w:tl2br w:val="nil"/>
              <w:tr2bl w:val="nil"/>
            </w:tcBorders>
            <w:noWrap/>
            <w:vAlign w:val="center"/>
          </w:tcPr>
          <w:p w14:paraId="6D49D29E">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51" w:name="_Toc21497"/>
            <w:bookmarkStart w:id="4652" w:name="_Toc31380"/>
            <w:bookmarkStart w:id="4653" w:name="_Toc16528"/>
            <w:bookmarkStart w:id="4654" w:name="_Toc28998"/>
            <w:bookmarkStart w:id="4655" w:name="_Toc18786"/>
            <w:r>
              <w:rPr>
                <w:rFonts w:hint="default" w:ascii="Times New Roman" w:hAnsi="Times New Roman" w:cs="Times New Roman"/>
                <w:color w:val="auto"/>
                <w:sz w:val="21"/>
                <w:szCs w:val="21"/>
                <w:highlight w:val="none"/>
                <w:lang w:val="en-US" w:eastAsia="zh-CN"/>
              </w:rPr>
              <w:t>农作物</w:t>
            </w:r>
            <w:bookmarkEnd w:id="4651"/>
            <w:bookmarkEnd w:id="4652"/>
            <w:bookmarkEnd w:id="4653"/>
            <w:bookmarkEnd w:id="4654"/>
            <w:bookmarkEnd w:id="4655"/>
            <w:r>
              <w:rPr>
                <w:rFonts w:hint="default" w:ascii="Times New Roman" w:hAnsi="Times New Roman" w:cs="Times New Roman"/>
                <w:color w:val="auto"/>
                <w:sz w:val="21"/>
                <w:szCs w:val="21"/>
                <w:highlight w:val="none"/>
                <w:lang w:val="en-US" w:eastAsia="zh-CN"/>
              </w:rPr>
              <w:t xml:space="preserve"> </w:t>
            </w:r>
          </w:p>
        </w:tc>
        <w:tc>
          <w:tcPr>
            <w:tcW w:w="1638" w:type="dxa"/>
            <w:tcBorders>
              <w:tl2br w:val="nil"/>
              <w:tr2bl w:val="nil"/>
            </w:tcBorders>
            <w:noWrap/>
            <w:vAlign w:val="center"/>
          </w:tcPr>
          <w:p w14:paraId="0302633E">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56" w:name="_Toc7498"/>
            <w:bookmarkStart w:id="4657" w:name="_Toc13179"/>
            <w:bookmarkStart w:id="4658" w:name="_Toc2947"/>
            <w:r>
              <w:rPr>
                <w:rFonts w:hint="default" w:ascii="Times New Roman" w:hAnsi="Times New Roman" w:cs="Times New Roman"/>
                <w:color w:val="auto"/>
                <w:sz w:val="21"/>
                <w:szCs w:val="21"/>
                <w:highlight w:val="none"/>
                <w:lang w:val="en-US" w:eastAsia="zh-CN"/>
              </w:rPr>
              <w:t>407.23</w:t>
            </w:r>
            <w:bookmarkEnd w:id="4656"/>
            <w:bookmarkEnd w:id="4657"/>
            <w:bookmarkEnd w:id="4658"/>
          </w:p>
        </w:tc>
        <w:tc>
          <w:tcPr>
            <w:tcW w:w="2025" w:type="dxa"/>
            <w:tcBorders>
              <w:tl2br w:val="nil"/>
              <w:tr2bl w:val="nil"/>
            </w:tcBorders>
            <w:noWrap/>
            <w:vAlign w:val="center"/>
          </w:tcPr>
          <w:p w14:paraId="7143247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59" w:name="_Toc6699"/>
            <w:bookmarkStart w:id="4660" w:name="_Toc5799"/>
            <w:bookmarkStart w:id="4661" w:name="_Toc8709"/>
            <w:r>
              <w:rPr>
                <w:rFonts w:hint="default" w:ascii="Times New Roman" w:hAnsi="Times New Roman" w:cs="Times New Roman"/>
                <w:color w:val="auto"/>
                <w:sz w:val="21"/>
                <w:szCs w:val="21"/>
                <w:highlight w:val="none"/>
                <w:lang w:val="en-US" w:eastAsia="zh-CN"/>
              </w:rPr>
              <w:t>9.52</w:t>
            </w:r>
            <w:bookmarkEnd w:id="4659"/>
            <w:bookmarkEnd w:id="4660"/>
            <w:bookmarkEnd w:id="4661"/>
          </w:p>
        </w:tc>
        <w:tc>
          <w:tcPr>
            <w:tcW w:w="1500" w:type="dxa"/>
            <w:tcBorders>
              <w:tl2br w:val="nil"/>
              <w:tr2bl w:val="nil"/>
            </w:tcBorders>
            <w:noWrap/>
            <w:vAlign w:val="center"/>
          </w:tcPr>
          <w:p w14:paraId="2904E7AF">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62" w:name="_Toc7617"/>
            <w:bookmarkStart w:id="4663" w:name="_Toc12077"/>
            <w:bookmarkStart w:id="4664" w:name="_Toc6966"/>
            <w:r>
              <w:rPr>
                <w:rFonts w:hint="default" w:ascii="Times New Roman" w:hAnsi="Times New Roman" w:cs="Times New Roman"/>
                <w:color w:val="auto"/>
                <w:sz w:val="21"/>
                <w:szCs w:val="21"/>
                <w:highlight w:val="none"/>
                <w:lang w:val="en-US" w:eastAsia="zh-CN"/>
              </w:rPr>
              <w:t>3876.85</w:t>
            </w:r>
            <w:bookmarkEnd w:id="4662"/>
            <w:bookmarkEnd w:id="4663"/>
            <w:bookmarkEnd w:id="4664"/>
            <w:r>
              <w:rPr>
                <w:rFonts w:hint="default" w:ascii="Times New Roman" w:hAnsi="Times New Roman" w:cs="Times New Roman"/>
                <w:color w:val="auto"/>
                <w:sz w:val="21"/>
                <w:szCs w:val="21"/>
                <w:highlight w:val="none"/>
                <w:lang w:val="en-US" w:eastAsia="zh-CN"/>
              </w:rPr>
              <w:t xml:space="preserve"> </w:t>
            </w:r>
          </w:p>
        </w:tc>
        <w:tc>
          <w:tcPr>
            <w:tcW w:w="1541" w:type="dxa"/>
            <w:tcBorders>
              <w:tl2br w:val="nil"/>
              <w:tr2bl w:val="nil"/>
            </w:tcBorders>
            <w:noWrap/>
            <w:vAlign w:val="center"/>
          </w:tcPr>
          <w:p w14:paraId="530D7062">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65" w:name="_Toc17934"/>
            <w:bookmarkStart w:id="4666" w:name="_Toc27688"/>
            <w:bookmarkStart w:id="4667" w:name="_Toc1138"/>
            <w:r>
              <w:rPr>
                <w:rFonts w:hint="default" w:ascii="Times New Roman" w:hAnsi="Times New Roman" w:cs="Times New Roman"/>
                <w:color w:val="auto"/>
                <w:sz w:val="21"/>
                <w:szCs w:val="21"/>
                <w:highlight w:val="none"/>
                <w:lang w:val="en-US" w:eastAsia="zh-CN"/>
              </w:rPr>
              <w:t>19.98%</w:t>
            </w:r>
            <w:bookmarkEnd w:id="4665"/>
            <w:bookmarkEnd w:id="4666"/>
            <w:bookmarkEnd w:id="4667"/>
          </w:p>
        </w:tc>
      </w:tr>
      <w:tr w14:paraId="6EF1E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74" w:type="dxa"/>
            <w:tcBorders>
              <w:tl2br w:val="nil"/>
              <w:tr2bl w:val="nil"/>
            </w:tcBorders>
            <w:noWrap/>
            <w:vAlign w:val="center"/>
          </w:tcPr>
          <w:p w14:paraId="0CCE8CB5">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68" w:name="_Toc31615"/>
            <w:bookmarkStart w:id="4669" w:name="_Toc25468"/>
            <w:bookmarkStart w:id="4670" w:name="_Toc3727"/>
            <w:bookmarkStart w:id="4671" w:name="_Toc1558"/>
            <w:bookmarkStart w:id="4672" w:name="_Toc106"/>
            <w:r>
              <w:rPr>
                <w:rFonts w:hint="eastAsia" w:cs="Times New Roman"/>
                <w:color w:val="auto"/>
                <w:sz w:val="21"/>
                <w:szCs w:val="21"/>
                <w:highlight w:val="none"/>
                <w:lang w:val="en-US" w:eastAsia="zh-CN"/>
              </w:rPr>
              <w:t>4</w:t>
            </w:r>
            <w:bookmarkEnd w:id="4668"/>
            <w:bookmarkEnd w:id="4669"/>
            <w:bookmarkEnd w:id="4670"/>
          </w:p>
        </w:tc>
        <w:tc>
          <w:tcPr>
            <w:tcW w:w="1144" w:type="dxa"/>
            <w:tcBorders>
              <w:tl2br w:val="nil"/>
              <w:tr2bl w:val="nil"/>
            </w:tcBorders>
            <w:noWrap/>
            <w:vAlign w:val="center"/>
          </w:tcPr>
          <w:p w14:paraId="3A448E7B">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73" w:name="_Toc11476"/>
            <w:bookmarkStart w:id="4674" w:name="_Toc30878"/>
            <w:bookmarkStart w:id="4675" w:name="_Toc8483"/>
            <w:r>
              <w:rPr>
                <w:rFonts w:hint="eastAsia" w:cs="Times New Roman"/>
                <w:color w:val="auto"/>
                <w:sz w:val="21"/>
                <w:szCs w:val="21"/>
                <w:highlight w:val="none"/>
                <w:lang w:val="en-US" w:eastAsia="zh-CN"/>
              </w:rPr>
              <w:t>湿地植被</w:t>
            </w:r>
            <w:bookmarkEnd w:id="4673"/>
            <w:bookmarkEnd w:id="4674"/>
            <w:bookmarkEnd w:id="4675"/>
          </w:p>
        </w:tc>
        <w:tc>
          <w:tcPr>
            <w:tcW w:w="1638" w:type="dxa"/>
            <w:tcBorders>
              <w:tl2br w:val="nil"/>
              <w:tr2bl w:val="nil"/>
            </w:tcBorders>
            <w:noWrap/>
            <w:vAlign w:val="center"/>
          </w:tcPr>
          <w:p w14:paraId="3DF4BA7B">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76" w:name="_Toc6289"/>
            <w:bookmarkStart w:id="4677" w:name="_Toc3982"/>
            <w:bookmarkStart w:id="4678" w:name="_Toc9267"/>
            <w:r>
              <w:rPr>
                <w:rFonts w:hint="default" w:ascii="Times New Roman" w:hAnsi="Times New Roman" w:cs="Times New Roman"/>
                <w:color w:val="auto"/>
                <w:sz w:val="21"/>
                <w:szCs w:val="21"/>
                <w:highlight w:val="none"/>
                <w:lang w:val="en-US" w:eastAsia="zh-CN"/>
              </w:rPr>
              <w:t>244.39</w:t>
            </w:r>
            <w:bookmarkEnd w:id="4676"/>
            <w:bookmarkEnd w:id="4677"/>
            <w:bookmarkEnd w:id="4678"/>
          </w:p>
        </w:tc>
        <w:tc>
          <w:tcPr>
            <w:tcW w:w="2025" w:type="dxa"/>
            <w:tcBorders>
              <w:tl2br w:val="nil"/>
              <w:tr2bl w:val="nil"/>
            </w:tcBorders>
            <w:noWrap/>
            <w:vAlign w:val="center"/>
          </w:tcPr>
          <w:p w14:paraId="11243861">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79" w:name="_Toc24875"/>
            <w:bookmarkStart w:id="4680" w:name="_Toc21126"/>
            <w:bookmarkStart w:id="4681" w:name="_Toc24496"/>
            <w:r>
              <w:rPr>
                <w:rFonts w:hint="default" w:ascii="Times New Roman" w:hAnsi="Times New Roman" w:cs="Times New Roman"/>
                <w:color w:val="auto"/>
                <w:sz w:val="21"/>
                <w:szCs w:val="21"/>
                <w:highlight w:val="none"/>
                <w:lang w:val="en-US" w:eastAsia="zh-CN"/>
              </w:rPr>
              <w:t>5.5</w:t>
            </w:r>
            <w:bookmarkEnd w:id="4679"/>
            <w:bookmarkEnd w:id="4680"/>
            <w:bookmarkEnd w:id="4681"/>
          </w:p>
        </w:tc>
        <w:tc>
          <w:tcPr>
            <w:tcW w:w="1500" w:type="dxa"/>
            <w:tcBorders>
              <w:tl2br w:val="nil"/>
              <w:tr2bl w:val="nil"/>
            </w:tcBorders>
            <w:noWrap/>
            <w:vAlign w:val="center"/>
          </w:tcPr>
          <w:p w14:paraId="6FCE7D0E">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82" w:name="_Toc15709"/>
            <w:bookmarkStart w:id="4683" w:name="_Toc7402"/>
            <w:bookmarkStart w:id="4684" w:name="_Toc10685"/>
            <w:r>
              <w:rPr>
                <w:rFonts w:hint="default" w:ascii="Times New Roman" w:hAnsi="Times New Roman" w:cs="Times New Roman"/>
                <w:color w:val="auto"/>
                <w:sz w:val="21"/>
                <w:szCs w:val="21"/>
                <w:highlight w:val="none"/>
                <w:lang w:val="en-US" w:eastAsia="zh-CN"/>
              </w:rPr>
              <w:t>1344.15</w:t>
            </w:r>
            <w:bookmarkEnd w:id="4682"/>
            <w:bookmarkEnd w:id="4683"/>
            <w:bookmarkEnd w:id="4684"/>
            <w:r>
              <w:rPr>
                <w:rFonts w:hint="default" w:ascii="Times New Roman" w:hAnsi="Times New Roman" w:cs="Times New Roman"/>
                <w:color w:val="auto"/>
                <w:sz w:val="21"/>
                <w:szCs w:val="21"/>
                <w:highlight w:val="none"/>
                <w:lang w:val="en-US" w:eastAsia="zh-CN"/>
              </w:rPr>
              <w:t xml:space="preserve"> </w:t>
            </w:r>
          </w:p>
        </w:tc>
        <w:tc>
          <w:tcPr>
            <w:tcW w:w="1541" w:type="dxa"/>
            <w:tcBorders>
              <w:tl2br w:val="nil"/>
              <w:tr2bl w:val="nil"/>
            </w:tcBorders>
            <w:noWrap/>
            <w:vAlign w:val="center"/>
          </w:tcPr>
          <w:p w14:paraId="252E69E6">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85" w:name="_Toc10320"/>
            <w:bookmarkStart w:id="4686" w:name="_Toc2867"/>
            <w:bookmarkStart w:id="4687" w:name="_Toc21779"/>
            <w:r>
              <w:rPr>
                <w:rFonts w:hint="default" w:ascii="Times New Roman" w:hAnsi="Times New Roman" w:cs="Times New Roman"/>
                <w:color w:val="auto"/>
                <w:sz w:val="21"/>
                <w:szCs w:val="21"/>
                <w:highlight w:val="none"/>
                <w:lang w:val="en-US" w:eastAsia="zh-CN"/>
              </w:rPr>
              <w:t>6.93%</w:t>
            </w:r>
            <w:bookmarkEnd w:id="4685"/>
            <w:bookmarkEnd w:id="4686"/>
            <w:bookmarkEnd w:id="4687"/>
          </w:p>
        </w:tc>
      </w:tr>
      <w:tr w14:paraId="5B758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74" w:type="dxa"/>
            <w:tcBorders>
              <w:tl2br w:val="nil"/>
              <w:tr2bl w:val="nil"/>
            </w:tcBorders>
            <w:noWrap/>
            <w:vAlign w:val="center"/>
          </w:tcPr>
          <w:p w14:paraId="2CAD97C6">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88" w:name="_Toc26058"/>
            <w:bookmarkStart w:id="4689" w:name="_Toc6878"/>
            <w:bookmarkStart w:id="4690" w:name="_Toc3615"/>
            <w:r>
              <w:rPr>
                <w:rFonts w:hint="default" w:ascii="Times New Roman" w:hAnsi="Times New Roman" w:cs="Times New Roman"/>
                <w:color w:val="auto"/>
                <w:sz w:val="21"/>
                <w:szCs w:val="21"/>
                <w:highlight w:val="none"/>
                <w:lang w:val="en-US" w:eastAsia="zh-CN"/>
              </w:rPr>
              <w:t>合计</w:t>
            </w:r>
            <w:bookmarkEnd w:id="4671"/>
            <w:bookmarkEnd w:id="4672"/>
            <w:bookmarkEnd w:id="4688"/>
            <w:bookmarkEnd w:id="4689"/>
            <w:bookmarkEnd w:id="4690"/>
          </w:p>
        </w:tc>
        <w:tc>
          <w:tcPr>
            <w:tcW w:w="1144" w:type="dxa"/>
            <w:tcBorders>
              <w:tl2br w:val="nil"/>
              <w:tr2bl w:val="nil"/>
            </w:tcBorders>
            <w:noWrap/>
            <w:vAlign w:val="center"/>
          </w:tcPr>
          <w:p w14:paraId="59463CC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638" w:type="dxa"/>
            <w:tcBorders>
              <w:tl2br w:val="nil"/>
              <w:tr2bl w:val="nil"/>
            </w:tcBorders>
            <w:noWrap/>
            <w:vAlign w:val="center"/>
          </w:tcPr>
          <w:p w14:paraId="2D2149A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91" w:name="_Toc21698"/>
            <w:bookmarkStart w:id="4692" w:name="_Toc17753"/>
            <w:bookmarkStart w:id="4693" w:name="_Toc11966"/>
            <w:r>
              <w:rPr>
                <w:rFonts w:hint="default" w:ascii="Times New Roman" w:hAnsi="Times New Roman" w:cs="Times New Roman"/>
                <w:color w:val="auto"/>
                <w:sz w:val="21"/>
                <w:szCs w:val="21"/>
                <w:highlight w:val="none"/>
                <w:lang w:val="en-US" w:eastAsia="zh-CN"/>
              </w:rPr>
              <w:t>1348</w:t>
            </w:r>
            <w:bookmarkEnd w:id="4691"/>
            <w:bookmarkEnd w:id="4692"/>
            <w:bookmarkEnd w:id="4693"/>
          </w:p>
        </w:tc>
        <w:tc>
          <w:tcPr>
            <w:tcW w:w="2025" w:type="dxa"/>
            <w:tcBorders>
              <w:tl2br w:val="nil"/>
              <w:tr2bl w:val="nil"/>
            </w:tcBorders>
            <w:noWrap/>
            <w:vAlign w:val="center"/>
          </w:tcPr>
          <w:p w14:paraId="09DA081C">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94" w:name="_Toc3899"/>
            <w:bookmarkStart w:id="4695" w:name="_Toc1966"/>
            <w:bookmarkStart w:id="4696" w:name="_Toc215"/>
            <w:r>
              <w:rPr>
                <w:rFonts w:hint="default" w:ascii="Times New Roman" w:hAnsi="Times New Roman" w:cs="Times New Roman"/>
                <w:color w:val="auto"/>
                <w:sz w:val="21"/>
                <w:szCs w:val="21"/>
                <w:highlight w:val="none"/>
                <w:lang w:val="en-US" w:eastAsia="zh-CN"/>
              </w:rPr>
              <w:t>40.8</w:t>
            </w:r>
            <w:bookmarkEnd w:id="4694"/>
            <w:bookmarkEnd w:id="4695"/>
            <w:bookmarkEnd w:id="4696"/>
          </w:p>
        </w:tc>
        <w:tc>
          <w:tcPr>
            <w:tcW w:w="1500" w:type="dxa"/>
            <w:tcBorders>
              <w:tl2br w:val="nil"/>
              <w:tr2bl w:val="nil"/>
            </w:tcBorders>
            <w:noWrap/>
            <w:vAlign w:val="center"/>
          </w:tcPr>
          <w:p w14:paraId="4246DE04">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697" w:name="_Toc25400"/>
            <w:bookmarkStart w:id="4698" w:name="_Toc29199"/>
            <w:bookmarkStart w:id="4699" w:name="_Toc15076"/>
            <w:r>
              <w:rPr>
                <w:rFonts w:hint="default" w:ascii="Times New Roman" w:hAnsi="Times New Roman" w:cs="Times New Roman"/>
                <w:color w:val="auto"/>
                <w:sz w:val="21"/>
                <w:szCs w:val="21"/>
                <w:highlight w:val="none"/>
                <w:lang w:val="en-US" w:eastAsia="zh-CN"/>
              </w:rPr>
              <w:t>19402.97</w:t>
            </w:r>
            <w:bookmarkEnd w:id="4697"/>
            <w:bookmarkEnd w:id="4698"/>
            <w:bookmarkEnd w:id="4699"/>
            <w:r>
              <w:rPr>
                <w:rFonts w:hint="default" w:ascii="Times New Roman" w:hAnsi="Times New Roman" w:cs="Times New Roman"/>
                <w:color w:val="auto"/>
                <w:sz w:val="21"/>
                <w:szCs w:val="21"/>
                <w:highlight w:val="none"/>
                <w:lang w:val="en-US" w:eastAsia="zh-CN"/>
              </w:rPr>
              <w:t xml:space="preserve"> </w:t>
            </w:r>
          </w:p>
        </w:tc>
        <w:tc>
          <w:tcPr>
            <w:tcW w:w="1541" w:type="dxa"/>
            <w:tcBorders>
              <w:tl2br w:val="nil"/>
              <w:tr2bl w:val="nil"/>
            </w:tcBorders>
            <w:noWrap/>
            <w:vAlign w:val="center"/>
          </w:tcPr>
          <w:p w14:paraId="2A8F50E1">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700" w:name="_Toc5090"/>
            <w:bookmarkStart w:id="4701" w:name="_Toc15814"/>
            <w:bookmarkStart w:id="4702" w:name="_Toc23727"/>
            <w:r>
              <w:rPr>
                <w:rFonts w:hint="default" w:ascii="Times New Roman" w:hAnsi="Times New Roman" w:cs="Times New Roman"/>
                <w:color w:val="auto"/>
                <w:sz w:val="21"/>
                <w:szCs w:val="21"/>
                <w:highlight w:val="none"/>
                <w:lang w:val="en-US" w:eastAsia="zh-CN"/>
              </w:rPr>
              <w:t>100.00%</w:t>
            </w:r>
            <w:bookmarkEnd w:id="4700"/>
            <w:bookmarkEnd w:id="4701"/>
            <w:bookmarkEnd w:id="4702"/>
          </w:p>
        </w:tc>
      </w:tr>
    </w:tbl>
    <w:p w14:paraId="6F925AB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由表5.6-11可知，评价区总生物量</w:t>
      </w:r>
      <w:r>
        <w:rPr>
          <w:rFonts w:hint="eastAsia" w:cs="Times New Roman"/>
          <w:color w:val="auto"/>
          <w:sz w:val="24"/>
          <w:szCs w:val="24"/>
          <w:highlight w:val="none"/>
          <w:lang w:val="en-US" w:eastAsia="zh-CN"/>
        </w:rPr>
        <w:t>19402.97</w:t>
      </w:r>
      <w:r>
        <w:rPr>
          <w:rFonts w:hint="default" w:ascii="Times New Roman" w:hAnsi="Times New Roman" w:cs="Times New Roman"/>
          <w:color w:val="auto"/>
          <w:sz w:val="24"/>
          <w:szCs w:val="24"/>
          <w:highlight w:val="none"/>
          <w:lang w:val="en-US" w:eastAsia="zh-CN"/>
        </w:rPr>
        <w:t>吨。从植被类型看，森林植被是区域生物量的核心贡献者：其面积593.97公顷，单位面积生物量23.48吨/公顷，总生物量13946.44吨，占总生物量的</w:t>
      </w:r>
      <w:r>
        <w:rPr>
          <w:rFonts w:hint="eastAsia" w:cs="Times New Roman"/>
          <w:color w:val="auto"/>
          <w:sz w:val="24"/>
          <w:szCs w:val="24"/>
          <w:highlight w:val="none"/>
          <w:lang w:val="en-US" w:eastAsia="zh-CN"/>
        </w:rPr>
        <w:t>71.88</w:t>
      </w:r>
      <w:r>
        <w:rPr>
          <w:rFonts w:hint="default" w:ascii="Times New Roman" w:hAnsi="Times New Roman" w:cs="Times New Roman"/>
          <w:color w:val="auto"/>
          <w:sz w:val="24"/>
          <w:szCs w:val="24"/>
          <w:highlight w:val="none"/>
          <w:lang w:val="en-US" w:eastAsia="zh-CN"/>
        </w:rPr>
        <w:t>%；农作物次之，面积407.23公顷，单位面积生物量9.52吨/公顷，总生物量3876.85吨，占比</w:t>
      </w:r>
      <w:r>
        <w:rPr>
          <w:rFonts w:hint="eastAsia" w:cs="Times New Roman"/>
          <w:color w:val="auto"/>
          <w:sz w:val="24"/>
          <w:szCs w:val="24"/>
          <w:highlight w:val="none"/>
          <w:lang w:val="en-US" w:eastAsia="zh-CN"/>
        </w:rPr>
        <w:t>19.98</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湿地植被生物量为1344.15吨，占比6.93%；</w:t>
      </w:r>
      <w:r>
        <w:rPr>
          <w:rFonts w:hint="default" w:ascii="Times New Roman" w:hAnsi="Times New Roman" w:cs="Times New Roman"/>
          <w:color w:val="auto"/>
          <w:sz w:val="24"/>
          <w:szCs w:val="24"/>
          <w:highlight w:val="none"/>
          <w:lang w:val="en-US" w:eastAsia="zh-CN"/>
        </w:rPr>
        <w:t>草原植被占比最低，面积102.41公顷，单位面积生物量2.3吨/公顷，总生物量235.53吨，仅占0.60%。整体而言，森林植被以</w:t>
      </w:r>
      <w:r>
        <w:rPr>
          <w:rFonts w:hint="eastAsia" w:cs="Times New Roman"/>
          <w:color w:val="auto"/>
          <w:sz w:val="24"/>
          <w:szCs w:val="24"/>
          <w:highlight w:val="none"/>
          <w:lang w:val="en-US" w:eastAsia="zh-CN"/>
        </w:rPr>
        <w:t>白杨树</w:t>
      </w:r>
      <w:r>
        <w:rPr>
          <w:rFonts w:hint="default" w:ascii="Times New Roman" w:hAnsi="Times New Roman" w:cs="Times New Roman"/>
          <w:color w:val="auto"/>
          <w:sz w:val="24"/>
          <w:szCs w:val="24"/>
          <w:highlight w:val="none"/>
          <w:lang w:val="en-US" w:eastAsia="zh-CN"/>
        </w:rPr>
        <w:t>、山杏等</w:t>
      </w:r>
      <w:r>
        <w:rPr>
          <w:rFonts w:hint="eastAsia" w:cs="Times New Roman"/>
          <w:color w:val="auto"/>
          <w:sz w:val="24"/>
          <w:szCs w:val="24"/>
          <w:highlight w:val="none"/>
          <w:lang w:val="en-US" w:eastAsia="zh-CN"/>
        </w:rPr>
        <w:t>乔灌木</w:t>
      </w:r>
      <w:r>
        <w:rPr>
          <w:rFonts w:hint="default" w:ascii="Times New Roman" w:hAnsi="Times New Roman" w:cs="Times New Roman"/>
          <w:color w:val="auto"/>
          <w:sz w:val="24"/>
          <w:szCs w:val="24"/>
          <w:highlight w:val="none"/>
          <w:lang w:val="en-US" w:eastAsia="zh-CN"/>
        </w:rPr>
        <w:t>为主，种植面积较大，单位生物生产能力较高；农作物主要为玉米，凭借较高的种植密度，在区域生物量构成中占比近</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湿地植被占地面积较大，但由于受水面和季节影响，生物量仅高于草地植被。</w:t>
      </w:r>
      <w:r>
        <w:rPr>
          <w:rFonts w:hint="default" w:ascii="Times New Roman" w:hAnsi="Times New Roman" w:cs="Times New Roman"/>
          <w:color w:val="auto"/>
          <w:sz w:val="24"/>
          <w:szCs w:val="24"/>
          <w:highlight w:val="none"/>
          <w:lang w:val="en-US" w:eastAsia="zh-CN"/>
        </w:rPr>
        <w:t>草原植被覆盖度较低、分布分散，以针茅、猪毛蒿等本地耐旱物种为主，单位生物量偏低，生产力受环境条件限制较明显。整体而言，评价区生物量处于中等水平，森林植被是生物量的主要承载类型。</w:t>
      </w:r>
    </w:p>
    <w:p w14:paraId="582A869F">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因此，施工过程中需重点保护森林植被等优势物种，这对维持评价区生物量稳定具有重要作用。</w:t>
      </w:r>
    </w:p>
    <w:p w14:paraId="05D2499E">
      <w:pPr>
        <w:pStyle w:val="8"/>
        <w:bidi w:val="0"/>
        <w:outlineLvl w:val="4"/>
        <w:rPr>
          <w:rFonts w:hint="default" w:ascii="Times New Roman" w:hAnsi="Times New Roman" w:cs="Times New Roman"/>
          <w:color w:val="auto"/>
          <w:sz w:val="28"/>
          <w:szCs w:val="28"/>
          <w:highlight w:val="none"/>
          <w:lang w:val="en-US" w:eastAsia="zh-CN"/>
        </w:rPr>
      </w:pPr>
      <w:bookmarkStart w:id="4703" w:name="_Toc21759"/>
      <w:r>
        <w:rPr>
          <w:rFonts w:hint="default" w:ascii="Times New Roman" w:hAnsi="Times New Roman" w:cs="Times New Roman"/>
          <w:color w:val="auto"/>
          <w:sz w:val="28"/>
          <w:szCs w:val="28"/>
          <w:highlight w:val="none"/>
          <w:lang w:val="en-US" w:eastAsia="zh-CN"/>
        </w:rPr>
        <w:t>5.6.1.7.3评价区土壤侵蚀</w:t>
      </w:r>
      <w:bookmarkEnd w:id="4563"/>
      <w:bookmarkEnd w:id="4564"/>
      <w:bookmarkEnd w:id="4565"/>
      <w:bookmarkEnd w:id="4566"/>
      <w:bookmarkEnd w:id="4567"/>
      <w:bookmarkEnd w:id="4568"/>
      <w:bookmarkEnd w:id="4569"/>
      <w:bookmarkEnd w:id="4570"/>
      <w:bookmarkEnd w:id="4571"/>
      <w:r>
        <w:rPr>
          <w:rFonts w:hint="default" w:ascii="Times New Roman" w:hAnsi="Times New Roman" w:cs="Times New Roman"/>
          <w:color w:val="auto"/>
          <w:sz w:val="28"/>
          <w:szCs w:val="28"/>
          <w:highlight w:val="none"/>
          <w:lang w:val="en-US" w:eastAsia="zh-CN"/>
        </w:rPr>
        <w:t>状况</w:t>
      </w:r>
      <w:bookmarkEnd w:id="4572"/>
      <w:bookmarkEnd w:id="4573"/>
      <w:bookmarkEnd w:id="4703"/>
    </w:p>
    <w:p w14:paraId="0C718D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利用遥感与GIS技术结合自治区水力侵蚀状况，对评价区地形、植被等因素进行分析后，提取坡度、植被覆盖等数据，参照《土壤侵蚀分类分级标准》（SL190-2007）的土壤侵蚀强度分级标准和面蚀分级指标（表</w:t>
      </w:r>
      <w:r>
        <w:rPr>
          <w:rFonts w:hint="default" w:ascii="Times New Roman" w:hAnsi="Times New Roman" w:cs="Times New Roman"/>
          <w:color w:val="auto"/>
          <w:sz w:val="24"/>
          <w:szCs w:val="24"/>
          <w:highlight w:val="none"/>
          <w:lang w:val="en-US" w:eastAsia="zh-CN"/>
        </w:rPr>
        <w:t>7.3-8</w:t>
      </w:r>
      <w:r>
        <w:rPr>
          <w:rFonts w:hint="default" w:ascii="Times New Roman" w:hAnsi="Times New Roman" w:cs="Times New Roman"/>
          <w:color w:val="auto"/>
          <w:sz w:val="24"/>
          <w:szCs w:val="24"/>
          <w:highlight w:val="none"/>
        </w:rPr>
        <w:t>和表</w:t>
      </w:r>
      <w:r>
        <w:rPr>
          <w:rFonts w:hint="default" w:ascii="Times New Roman" w:hAnsi="Times New Roman" w:cs="Times New Roman"/>
          <w:color w:val="auto"/>
          <w:sz w:val="24"/>
          <w:szCs w:val="24"/>
          <w:highlight w:val="none"/>
          <w:lang w:val="en-US" w:eastAsia="zh-CN"/>
        </w:rPr>
        <w:t>7.3-9</w:t>
      </w:r>
      <w:r>
        <w:rPr>
          <w:rFonts w:hint="default" w:ascii="Times New Roman" w:hAnsi="Times New Roman" w:cs="Times New Roman"/>
          <w:color w:val="auto"/>
          <w:sz w:val="24"/>
          <w:szCs w:val="24"/>
          <w:highlight w:val="none"/>
        </w:rPr>
        <w:t>），对研究区土壤侵蚀进行分类评价，绘制出评价区土壤侵蚀现状图。</w:t>
      </w:r>
    </w:p>
    <w:p w14:paraId="13523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5.6-12</w:t>
      </w:r>
      <w:r>
        <w:rPr>
          <w:rFonts w:hint="default" w:ascii="Times New Roman" w:hAnsi="Times New Roman" w:cs="Times New Roman"/>
          <w:b/>
          <w:bCs/>
          <w:color w:val="auto"/>
          <w:sz w:val="24"/>
          <w:szCs w:val="24"/>
          <w:highlight w:val="none"/>
        </w:rPr>
        <w:t>水力侵蚀分级指标</w:t>
      </w:r>
    </w:p>
    <w:tbl>
      <w:tblPr>
        <w:tblStyle w:val="31"/>
        <w:tblW w:w="864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1080"/>
        <w:gridCol w:w="1080"/>
        <w:gridCol w:w="1080"/>
        <w:gridCol w:w="1080"/>
        <w:gridCol w:w="1080"/>
        <w:gridCol w:w="1080"/>
        <w:gridCol w:w="1080"/>
      </w:tblGrid>
      <w:tr w14:paraId="65F20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160" w:type="dxa"/>
            <w:gridSpan w:val="2"/>
            <w:vMerge w:val="restart"/>
            <w:tcBorders>
              <w:tl2br w:val="nil"/>
              <w:tr2bl w:val="nil"/>
            </w:tcBorders>
            <w:noWrap w:val="0"/>
            <w:vAlign w:val="center"/>
          </w:tcPr>
          <w:p w14:paraId="64586CC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04" w:name="_Toc2640"/>
            <w:bookmarkStart w:id="4705" w:name="_Toc10305"/>
            <w:bookmarkStart w:id="4706" w:name="_Toc1736"/>
            <w:bookmarkStart w:id="4707" w:name="_Toc19045"/>
            <w:bookmarkStart w:id="4708" w:name="_Toc17895"/>
            <w:r>
              <w:rPr>
                <w:rFonts w:hint="default" w:ascii="Times New Roman" w:hAnsi="Times New Roman" w:cs="Times New Roman"/>
                <w:b/>
                <w:bCs/>
                <w:color w:val="auto"/>
                <w:sz w:val="21"/>
                <w:szCs w:val="21"/>
                <w:highlight w:val="none"/>
              </w:rPr>
              <w:t>地面坡度</w:t>
            </w:r>
            <w:bookmarkEnd w:id="4704"/>
            <w:bookmarkEnd w:id="4705"/>
            <w:bookmarkEnd w:id="4706"/>
            <w:bookmarkEnd w:id="4707"/>
            <w:bookmarkEnd w:id="4708"/>
          </w:p>
          <w:p w14:paraId="6CBE5CC4">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09" w:name="_Toc5760"/>
            <w:bookmarkStart w:id="4710" w:name="_Toc6755"/>
            <w:bookmarkStart w:id="4711" w:name="_Toc16720"/>
            <w:bookmarkStart w:id="4712" w:name="_Toc26345"/>
            <w:bookmarkStart w:id="4713" w:name="_Toc9002"/>
            <w:r>
              <w:rPr>
                <w:rFonts w:hint="default" w:ascii="Times New Roman" w:hAnsi="Times New Roman" w:cs="Times New Roman"/>
                <w:b/>
                <w:bCs/>
                <w:color w:val="auto"/>
                <w:sz w:val="21"/>
                <w:szCs w:val="21"/>
                <w:highlight w:val="none"/>
              </w:rPr>
              <w:t>地类</w:t>
            </w:r>
            <w:bookmarkEnd w:id="4709"/>
            <w:bookmarkEnd w:id="4710"/>
            <w:bookmarkEnd w:id="4711"/>
            <w:bookmarkEnd w:id="4712"/>
            <w:bookmarkEnd w:id="4713"/>
          </w:p>
        </w:tc>
        <w:tc>
          <w:tcPr>
            <w:tcW w:w="1080" w:type="dxa"/>
            <w:vMerge w:val="restart"/>
            <w:tcBorders>
              <w:tl2br w:val="nil"/>
              <w:tr2bl w:val="nil"/>
            </w:tcBorders>
            <w:noWrap w:val="0"/>
            <w:vAlign w:val="center"/>
          </w:tcPr>
          <w:p w14:paraId="0FEDB57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14" w:name="_Toc22479"/>
            <w:bookmarkStart w:id="4715" w:name="_Toc14100"/>
            <w:bookmarkStart w:id="4716" w:name="_Toc20087"/>
            <w:bookmarkStart w:id="4717" w:name="_Toc17426"/>
            <w:bookmarkStart w:id="4718" w:name="_Toc32628"/>
            <w:r>
              <w:rPr>
                <w:rFonts w:hint="default" w:ascii="Times New Roman" w:hAnsi="Times New Roman" w:cs="Times New Roman"/>
                <w:b/>
                <w:bCs/>
                <w:color w:val="auto"/>
                <w:sz w:val="21"/>
                <w:szCs w:val="21"/>
                <w:highlight w:val="none"/>
              </w:rPr>
              <w:t>0~5°</w:t>
            </w:r>
            <w:bookmarkEnd w:id="4714"/>
            <w:bookmarkEnd w:id="4715"/>
            <w:bookmarkEnd w:id="4716"/>
            <w:bookmarkEnd w:id="4717"/>
            <w:bookmarkEnd w:id="4718"/>
          </w:p>
        </w:tc>
        <w:tc>
          <w:tcPr>
            <w:tcW w:w="1080" w:type="dxa"/>
            <w:vMerge w:val="restart"/>
            <w:tcBorders>
              <w:tl2br w:val="nil"/>
              <w:tr2bl w:val="nil"/>
            </w:tcBorders>
            <w:noWrap w:val="0"/>
            <w:vAlign w:val="center"/>
          </w:tcPr>
          <w:p w14:paraId="18489D98">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19" w:name="_Toc28092"/>
            <w:bookmarkStart w:id="4720" w:name="_Toc30715"/>
            <w:bookmarkStart w:id="4721" w:name="_Toc24381"/>
            <w:bookmarkStart w:id="4722" w:name="_Toc27893"/>
            <w:bookmarkStart w:id="4723" w:name="_Toc11824"/>
            <w:r>
              <w:rPr>
                <w:rFonts w:hint="default" w:ascii="Times New Roman" w:hAnsi="Times New Roman" w:cs="Times New Roman"/>
                <w:b/>
                <w:bCs/>
                <w:color w:val="auto"/>
                <w:sz w:val="21"/>
                <w:szCs w:val="21"/>
                <w:highlight w:val="none"/>
              </w:rPr>
              <w:t>5~8°</w:t>
            </w:r>
            <w:bookmarkEnd w:id="4719"/>
            <w:bookmarkEnd w:id="4720"/>
            <w:bookmarkEnd w:id="4721"/>
            <w:bookmarkEnd w:id="4722"/>
            <w:bookmarkEnd w:id="4723"/>
          </w:p>
        </w:tc>
        <w:tc>
          <w:tcPr>
            <w:tcW w:w="1080" w:type="dxa"/>
            <w:vMerge w:val="restart"/>
            <w:tcBorders>
              <w:tl2br w:val="nil"/>
              <w:tr2bl w:val="nil"/>
            </w:tcBorders>
            <w:noWrap w:val="0"/>
            <w:vAlign w:val="center"/>
          </w:tcPr>
          <w:p w14:paraId="5ABF8DB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24" w:name="_Toc25249"/>
            <w:bookmarkStart w:id="4725" w:name="_Toc25703"/>
            <w:bookmarkStart w:id="4726" w:name="_Toc28266"/>
            <w:bookmarkStart w:id="4727" w:name="_Toc12065"/>
            <w:bookmarkStart w:id="4728" w:name="_Toc24726"/>
            <w:r>
              <w:rPr>
                <w:rFonts w:hint="default" w:ascii="Times New Roman" w:hAnsi="Times New Roman" w:cs="Times New Roman"/>
                <w:b/>
                <w:bCs/>
                <w:color w:val="auto"/>
                <w:sz w:val="21"/>
                <w:szCs w:val="21"/>
                <w:highlight w:val="none"/>
              </w:rPr>
              <w:t>8~15°</w:t>
            </w:r>
            <w:bookmarkEnd w:id="4724"/>
            <w:bookmarkEnd w:id="4725"/>
            <w:bookmarkEnd w:id="4726"/>
            <w:bookmarkEnd w:id="4727"/>
            <w:bookmarkEnd w:id="4728"/>
          </w:p>
        </w:tc>
        <w:tc>
          <w:tcPr>
            <w:tcW w:w="1080" w:type="dxa"/>
            <w:vMerge w:val="restart"/>
            <w:tcBorders>
              <w:tl2br w:val="nil"/>
              <w:tr2bl w:val="nil"/>
            </w:tcBorders>
            <w:noWrap w:val="0"/>
            <w:vAlign w:val="center"/>
          </w:tcPr>
          <w:p w14:paraId="7D6AC27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29" w:name="_Toc18684"/>
            <w:bookmarkStart w:id="4730" w:name="_Toc23392"/>
            <w:bookmarkStart w:id="4731" w:name="_Toc25484"/>
            <w:bookmarkStart w:id="4732" w:name="_Toc5613"/>
            <w:bookmarkStart w:id="4733" w:name="_Toc22751"/>
            <w:r>
              <w:rPr>
                <w:rFonts w:hint="default" w:ascii="Times New Roman" w:hAnsi="Times New Roman" w:cs="Times New Roman"/>
                <w:b/>
                <w:bCs/>
                <w:color w:val="auto"/>
                <w:sz w:val="21"/>
                <w:szCs w:val="21"/>
                <w:highlight w:val="none"/>
              </w:rPr>
              <w:t>15~25°</w:t>
            </w:r>
            <w:bookmarkEnd w:id="4729"/>
            <w:bookmarkEnd w:id="4730"/>
            <w:bookmarkEnd w:id="4731"/>
            <w:bookmarkEnd w:id="4732"/>
            <w:bookmarkEnd w:id="4733"/>
          </w:p>
        </w:tc>
        <w:tc>
          <w:tcPr>
            <w:tcW w:w="1080" w:type="dxa"/>
            <w:vMerge w:val="restart"/>
            <w:tcBorders>
              <w:tl2br w:val="nil"/>
              <w:tr2bl w:val="nil"/>
            </w:tcBorders>
            <w:noWrap w:val="0"/>
            <w:vAlign w:val="center"/>
          </w:tcPr>
          <w:p w14:paraId="0E7C342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34" w:name="_Toc11183"/>
            <w:bookmarkStart w:id="4735" w:name="_Toc18648"/>
            <w:bookmarkStart w:id="4736" w:name="_Toc25462"/>
            <w:bookmarkStart w:id="4737" w:name="_Toc8820"/>
            <w:bookmarkStart w:id="4738" w:name="_Toc24835"/>
            <w:r>
              <w:rPr>
                <w:rFonts w:hint="default" w:ascii="Times New Roman" w:hAnsi="Times New Roman" w:cs="Times New Roman"/>
                <w:b/>
                <w:bCs/>
                <w:color w:val="auto"/>
                <w:sz w:val="21"/>
                <w:szCs w:val="21"/>
                <w:highlight w:val="none"/>
              </w:rPr>
              <w:t>25~35°</w:t>
            </w:r>
            <w:bookmarkEnd w:id="4734"/>
            <w:bookmarkEnd w:id="4735"/>
            <w:bookmarkEnd w:id="4736"/>
            <w:bookmarkEnd w:id="4737"/>
            <w:bookmarkEnd w:id="4738"/>
          </w:p>
        </w:tc>
        <w:tc>
          <w:tcPr>
            <w:tcW w:w="1080" w:type="dxa"/>
            <w:vMerge w:val="restart"/>
            <w:tcBorders>
              <w:tl2br w:val="nil"/>
              <w:tr2bl w:val="nil"/>
            </w:tcBorders>
            <w:noWrap w:val="0"/>
            <w:vAlign w:val="center"/>
          </w:tcPr>
          <w:p w14:paraId="4D610AF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739" w:name="_Toc14318"/>
            <w:bookmarkStart w:id="4740" w:name="_Toc10822"/>
            <w:bookmarkStart w:id="4741" w:name="_Toc21425"/>
            <w:bookmarkStart w:id="4742" w:name="_Toc4939"/>
            <w:bookmarkStart w:id="4743" w:name="_Toc25210"/>
            <w:r>
              <w:rPr>
                <w:rFonts w:hint="default" w:ascii="Times New Roman" w:hAnsi="Times New Roman" w:cs="Times New Roman"/>
                <w:b/>
                <w:bCs/>
                <w:color w:val="auto"/>
                <w:sz w:val="21"/>
                <w:szCs w:val="21"/>
                <w:highlight w:val="none"/>
              </w:rPr>
              <w:t>&gt;35°</w:t>
            </w:r>
            <w:bookmarkEnd w:id="4739"/>
            <w:bookmarkEnd w:id="4740"/>
            <w:bookmarkEnd w:id="4741"/>
            <w:bookmarkEnd w:id="4742"/>
            <w:bookmarkEnd w:id="4743"/>
          </w:p>
        </w:tc>
      </w:tr>
      <w:tr w14:paraId="355D87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2160" w:type="dxa"/>
            <w:gridSpan w:val="2"/>
            <w:vMerge w:val="continue"/>
            <w:tcBorders>
              <w:tl2br w:val="nil"/>
              <w:tr2bl w:val="nil"/>
            </w:tcBorders>
            <w:noWrap w:val="0"/>
            <w:vAlign w:val="center"/>
          </w:tcPr>
          <w:p w14:paraId="3802E3D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vMerge w:val="continue"/>
            <w:tcBorders>
              <w:tl2br w:val="nil"/>
              <w:tr2bl w:val="nil"/>
            </w:tcBorders>
            <w:noWrap w:val="0"/>
            <w:vAlign w:val="center"/>
          </w:tcPr>
          <w:p w14:paraId="261CCCA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vMerge w:val="continue"/>
            <w:tcBorders>
              <w:tl2br w:val="nil"/>
              <w:tr2bl w:val="nil"/>
            </w:tcBorders>
            <w:noWrap w:val="0"/>
            <w:vAlign w:val="center"/>
          </w:tcPr>
          <w:p w14:paraId="033F264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vMerge w:val="continue"/>
            <w:tcBorders>
              <w:tl2br w:val="nil"/>
              <w:tr2bl w:val="nil"/>
            </w:tcBorders>
            <w:noWrap w:val="0"/>
            <w:vAlign w:val="center"/>
          </w:tcPr>
          <w:p w14:paraId="71CB7F3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vMerge w:val="continue"/>
            <w:tcBorders>
              <w:tl2br w:val="nil"/>
              <w:tr2bl w:val="nil"/>
            </w:tcBorders>
            <w:noWrap w:val="0"/>
            <w:vAlign w:val="center"/>
          </w:tcPr>
          <w:p w14:paraId="3604F39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vMerge w:val="continue"/>
            <w:tcBorders>
              <w:tl2br w:val="nil"/>
              <w:tr2bl w:val="nil"/>
            </w:tcBorders>
            <w:noWrap w:val="0"/>
            <w:vAlign w:val="center"/>
          </w:tcPr>
          <w:p w14:paraId="0268EB8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vMerge w:val="continue"/>
            <w:tcBorders>
              <w:tl2br w:val="nil"/>
              <w:tr2bl w:val="nil"/>
            </w:tcBorders>
            <w:noWrap w:val="0"/>
            <w:vAlign w:val="center"/>
          </w:tcPr>
          <w:p w14:paraId="20F993A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0ABDB3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080" w:type="dxa"/>
            <w:vMerge w:val="restart"/>
            <w:tcBorders>
              <w:tl2br w:val="nil"/>
              <w:tr2bl w:val="nil"/>
            </w:tcBorders>
            <w:noWrap w:val="0"/>
            <w:vAlign w:val="center"/>
          </w:tcPr>
          <w:p w14:paraId="42C9EFD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44" w:name="_Toc30087"/>
            <w:bookmarkStart w:id="4745" w:name="_Toc22120"/>
            <w:bookmarkStart w:id="4746" w:name="_Toc19305"/>
            <w:bookmarkStart w:id="4747" w:name="_Toc6883"/>
            <w:bookmarkStart w:id="4748" w:name="_Toc3290"/>
            <w:r>
              <w:rPr>
                <w:rFonts w:hint="default" w:ascii="Times New Roman" w:hAnsi="Times New Roman" w:cs="Times New Roman"/>
                <w:color w:val="auto"/>
                <w:sz w:val="21"/>
                <w:szCs w:val="21"/>
                <w:highlight w:val="none"/>
              </w:rPr>
              <w:t>非耕地的林草覆盖度（%）</w:t>
            </w:r>
            <w:bookmarkEnd w:id="4744"/>
            <w:bookmarkEnd w:id="4745"/>
            <w:bookmarkEnd w:id="4746"/>
            <w:bookmarkEnd w:id="4747"/>
            <w:bookmarkEnd w:id="4748"/>
          </w:p>
        </w:tc>
        <w:tc>
          <w:tcPr>
            <w:tcW w:w="1080" w:type="dxa"/>
            <w:tcBorders>
              <w:tl2br w:val="nil"/>
              <w:tr2bl w:val="nil"/>
            </w:tcBorders>
            <w:noWrap w:val="0"/>
            <w:vAlign w:val="center"/>
          </w:tcPr>
          <w:p w14:paraId="505A7DD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49" w:name="_Toc27196"/>
            <w:bookmarkStart w:id="4750" w:name="_Toc4168"/>
            <w:bookmarkStart w:id="4751" w:name="_Toc13438"/>
            <w:bookmarkStart w:id="4752" w:name="_Toc4877"/>
            <w:bookmarkStart w:id="4753" w:name="_Toc3822"/>
            <w:r>
              <w:rPr>
                <w:rFonts w:hint="default" w:ascii="Times New Roman" w:hAnsi="Times New Roman" w:cs="Times New Roman"/>
                <w:color w:val="auto"/>
                <w:sz w:val="21"/>
                <w:szCs w:val="21"/>
                <w:highlight w:val="none"/>
              </w:rPr>
              <w:t>60~75</w:t>
            </w:r>
            <w:bookmarkEnd w:id="4749"/>
            <w:bookmarkEnd w:id="4750"/>
            <w:bookmarkEnd w:id="4751"/>
            <w:bookmarkEnd w:id="4752"/>
            <w:bookmarkEnd w:id="4753"/>
          </w:p>
        </w:tc>
        <w:tc>
          <w:tcPr>
            <w:tcW w:w="1080" w:type="dxa"/>
            <w:tcBorders>
              <w:tl2br w:val="nil"/>
              <w:tr2bl w:val="nil"/>
            </w:tcBorders>
            <w:noWrap w:val="0"/>
            <w:vAlign w:val="center"/>
          </w:tcPr>
          <w:p w14:paraId="0D92A82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54" w:name="_Toc13959"/>
            <w:bookmarkStart w:id="4755" w:name="_Toc3394"/>
            <w:bookmarkStart w:id="4756" w:name="_Toc7006"/>
            <w:bookmarkStart w:id="4757" w:name="_Toc7238"/>
            <w:bookmarkStart w:id="4758" w:name="_Toc10520"/>
            <w:r>
              <w:rPr>
                <w:rFonts w:hint="default" w:ascii="Times New Roman" w:hAnsi="Times New Roman" w:cs="Times New Roman"/>
                <w:color w:val="auto"/>
                <w:sz w:val="21"/>
                <w:szCs w:val="21"/>
                <w:highlight w:val="none"/>
              </w:rPr>
              <w:t>微度</w:t>
            </w:r>
            <w:bookmarkEnd w:id="4754"/>
            <w:bookmarkEnd w:id="4755"/>
            <w:bookmarkEnd w:id="4756"/>
            <w:bookmarkEnd w:id="4757"/>
            <w:bookmarkEnd w:id="4758"/>
          </w:p>
        </w:tc>
        <w:tc>
          <w:tcPr>
            <w:tcW w:w="3240" w:type="dxa"/>
            <w:gridSpan w:val="3"/>
            <w:tcBorders>
              <w:tl2br w:val="nil"/>
              <w:tr2bl w:val="nil"/>
            </w:tcBorders>
            <w:noWrap w:val="0"/>
            <w:vAlign w:val="center"/>
          </w:tcPr>
          <w:p w14:paraId="329D456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59" w:name="_Toc14575"/>
            <w:bookmarkStart w:id="4760" w:name="_Toc16910"/>
            <w:bookmarkStart w:id="4761" w:name="_Toc16455"/>
            <w:bookmarkStart w:id="4762" w:name="_Toc15106"/>
            <w:bookmarkStart w:id="4763" w:name="_Toc25898"/>
            <w:r>
              <w:rPr>
                <w:rFonts w:hint="default" w:ascii="Times New Roman" w:hAnsi="Times New Roman" w:cs="Times New Roman"/>
                <w:color w:val="auto"/>
                <w:sz w:val="21"/>
                <w:szCs w:val="21"/>
                <w:highlight w:val="none"/>
              </w:rPr>
              <w:t>轻度</w:t>
            </w:r>
            <w:bookmarkEnd w:id="4759"/>
            <w:bookmarkEnd w:id="4760"/>
            <w:bookmarkEnd w:id="4761"/>
            <w:bookmarkEnd w:id="4762"/>
            <w:bookmarkEnd w:id="4763"/>
          </w:p>
        </w:tc>
        <w:tc>
          <w:tcPr>
            <w:tcW w:w="2160" w:type="dxa"/>
            <w:gridSpan w:val="2"/>
            <w:tcBorders>
              <w:tl2br w:val="nil"/>
              <w:tr2bl w:val="nil"/>
            </w:tcBorders>
            <w:noWrap w:val="0"/>
            <w:vAlign w:val="center"/>
          </w:tcPr>
          <w:p w14:paraId="6D3C38A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64" w:name="_Toc9356"/>
            <w:bookmarkStart w:id="4765" w:name="_Toc19214"/>
            <w:bookmarkStart w:id="4766" w:name="_Toc5095"/>
            <w:bookmarkStart w:id="4767" w:name="_Toc30108"/>
            <w:bookmarkStart w:id="4768" w:name="_Toc3572"/>
            <w:r>
              <w:rPr>
                <w:rFonts w:hint="default" w:ascii="Times New Roman" w:hAnsi="Times New Roman" w:cs="Times New Roman"/>
                <w:color w:val="auto"/>
                <w:sz w:val="21"/>
                <w:szCs w:val="21"/>
                <w:highlight w:val="none"/>
              </w:rPr>
              <w:t>中度</w:t>
            </w:r>
            <w:bookmarkEnd w:id="4764"/>
            <w:bookmarkEnd w:id="4765"/>
            <w:bookmarkEnd w:id="4766"/>
            <w:bookmarkEnd w:id="4767"/>
            <w:bookmarkEnd w:id="4768"/>
          </w:p>
        </w:tc>
      </w:tr>
      <w:tr w14:paraId="41E43B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080" w:type="dxa"/>
            <w:vMerge w:val="continue"/>
            <w:tcBorders>
              <w:tl2br w:val="nil"/>
              <w:tr2bl w:val="nil"/>
            </w:tcBorders>
            <w:noWrap w:val="0"/>
            <w:vAlign w:val="center"/>
          </w:tcPr>
          <w:p w14:paraId="15F2EEF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tcBorders>
              <w:tl2br w:val="nil"/>
              <w:tr2bl w:val="nil"/>
            </w:tcBorders>
            <w:noWrap w:val="0"/>
            <w:vAlign w:val="center"/>
          </w:tcPr>
          <w:p w14:paraId="543ADD0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69" w:name="_Toc8703"/>
            <w:bookmarkStart w:id="4770" w:name="_Toc2450"/>
            <w:bookmarkStart w:id="4771" w:name="_Toc26563"/>
            <w:bookmarkStart w:id="4772" w:name="_Toc32731"/>
            <w:bookmarkStart w:id="4773" w:name="_Toc422"/>
            <w:r>
              <w:rPr>
                <w:rFonts w:hint="default" w:ascii="Times New Roman" w:hAnsi="Times New Roman" w:cs="Times New Roman"/>
                <w:color w:val="auto"/>
                <w:sz w:val="21"/>
                <w:szCs w:val="21"/>
                <w:highlight w:val="none"/>
              </w:rPr>
              <w:t>45~60</w:t>
            </w:r>
            <w:bookmarkEnd w:id="4769"/>
            <w:bookmarkEnd w:id="4770"/>
            <w:bookmarkEnd w:id="4771"/>
            <w:bookmarkEnd w:id="4772"/>
            <w:bookmarkEnd w:id="4773"/>
          </w:p>
        </w:tc>
        <w:tc>
          <w:tcPr>
            <w:tcW w:w="1080" w:type="dxa"/>
            <w:tcBorders>
              <w:tl2br w:val="nil"/>
              <w:tr2bl w:val="nil"/>
            </w:tcBorders>
            <w:noWrap w:val="0"/>
            <w:vAlign w:val="center"/>
          </w:tcPr>
          <w:p w14:paraId="587BD18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74" w:name="_Toc23616"/>
            <w:bookmarkStart w:id="4775" w:name="_Toc8512"/>
            <w:bookmarkStart w:id="4776" w:name="_Toc4077"/>
            <w:bookmarkStart w:id="4777" w:name="_Toc13270"/>
            <w:bookmarkStart w:id="4778" w:name="_Toc19197"/>
            <w:r>
              <w:rPr>
                <w:rFonts w:hint="default" w:ascii="Times New Roman" w:hAnsi="Times New Roman" w:cs="Times New Roman"/>
                <w:color w:val="auto"/>
                <w:sz w:val="21"/>
                <w:szCs w:val="21"/>
                <w:highlight w:val="none"/>
              </w:rPr>
              <w:t>微度</w:t>
            </w:r>
            <w:bookmarkEnd w:id="4774"/>
            <w:bookmarkEnd w:id="4775"/>
            <w:bookmarkEnd w:id="4776"/>
            <w:bookmarkEnd w:id="4777"/>
            <w:bookmarkEnd w:id="4778"/>
          </w:p>
        </w:tc>
        <w:tc>
          <w:tcPr>
            <w:tcW w:w="2160" w:type="dxa"/>
            <w:gridSpan w:val="2"/>
            <w:tcBorders>
              <w:tl2br w:val="nil"/>
              <w:tr2bl w:val="nil"/>
            </w:tcBorders>
            <w:noWrap w:val="0"/>
            <w:vAlign w:val="center"/>
          </w:tcPr>
          <w:p w14:paraId="0C21853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79" w:name="_Toc20790"/>
            <w:bookmarkStart w:id="4780" w:name="_Toc15804"/>
            <w:bookmarkStart w:id="4781" w:name="_Toc7957"/>
            <w:bookmarkStart w:id="4782" w:name="_Toc21535"/>
            <w:bookmarkStart w:id="4783" w:name="_Toc7277"/>
            <w:r>
              <w:rPr>
                <w:rFonts w:hint="default" w:ascii="Times New Roman" w:hAnsi="Times New Roman" w:cs="Times New Roman"/>
                <w:color w:val="auto"/>
                <w:sz w:val="21"/>
                <w:szCs w:val="21"/>
                <w:highlight w:val="none"/>
              </w:rPr>
              <w:t>轻度</w:t>
            </w:r>
            <w:bookmarkEnd w:id="4779"/>
            <w:bookmarkEnd w:id="4780"/>
            <w:bookmarkEnd w:id="4781"/>
            <w:bookmarkEnd w:id="4782"/>
            <w:bookmarkEnd w:id="4783"/>
          </w:p>
        </w:tc>
        <w:tc>
          <w:tcPr>
            <w:tcW w:w="2160" w:type="dxa"/>
            <w:gridSpan w:val="2"/>
            <w:tcBorders>
              <w:tl2br w:val="nil"/>
              <w:tr2bl w:val="nil"/>
            </w:tcBorders>
            <w:noWrap w:val="0"/>
            <w:vAlign w:val="center"/>
          </w:tcPr>
          <w:p w14:paraId="41D1882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84" w:name="_Toc18250"/>
            <w:bookmarkStart w:id="4785" w:name="_Toc11696"/>
            <w:bookmarkStart w:id="4786" w:name="_Toc26475"/>
            <w:bookmarkStart w:id="4787" w:name="_Toc29333"/>
            <w:bookmarkStart w:id="4788" w:name="_Toc14851"/>
            <w:r>
              <w:rPr>
                <w:rFonts w:hint="default" w:ascii="Times New Roman" w:hAnsi="Times New Roman" w:cs="Times New Roman"/>
                <w:color w:val="auto"/>
                <w:sz w:val="21"/>
                <w:szCs w:val="21"/>
                <w:highlight w:val="none"/>
              </w:rPr>
              <w:t>中度</w:t>
            </w:r>
            <w:bookmarkEnd w:id="4784"/>
            <w:bookmarkEnd w:id="4785"/>
            <w:bookmarkEnd w:id="4786"/>
            <w:bookmarkEnd w:id="4787"/>
            <w:bookmarkEnd w:id="4788"/>
          </w:p>
        </w:tc>
        <w:tc>
          <w:tcPr>
            <w:tcW w:w="1080" w:type="dxa"/>
            <w:tcBorders>
              <w:tl2br w:val="nil"/>
              <w:tr2bl w:val="nil"/>
            </w:tcBorders>
            <w:noWrap w:val="0"/>
            <w:vAlign w:val="center"/>
          </w:tcPr>
          <w:p w14:paraId="7838902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89" w:name="_Toc22286"/>
            <w:bookmarkStart w:id="4790" w:name="_Toc15582"/>
            <w:bookmarkStart w:id="4791" w:name="_Toc11952"/>
            <w:bookmarkStart w:id="4792" w:name="_Toc21084"/>
            <w:bookmarkStart w:id="4793" w:name="_Toc6810"/>
            <w:r>
              <w:rPr>
                <w:rFonts w:hint="default" w:ascii="Times New Roman" w:hAnsi="Times New Roman" w:cs="Times New Roman"/>
                <w:color w:val="auto"/>
                <w:sz w:val="21"/>
                <w:szCs w:val="21"/>
                <w:highlight w:val="none"/>
              </w:rPr>
              <w:t>强度</w:t>
            </w:r>
            <w:bookmarkEnd w:id="4789"/>
            <w:bookmarkEnd w:id="4790"/>
            <w:bookmarkEnd w:id="4791"/>
            <w:bookmarkEnd w:id="4792"/>
            <w:bookmarkEnd w:id="4793"/>
          </w:p>
        </w:tc>
      </w:tr>
      <w:tr w14:paraId="61207E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080" w:type="dxa"/>
            <w:vMerge w:val="continue"/>
            <w:tcBorders>
              <w:tl2br w:val="nil"/>
              <w:tr2bl w:val="nil"/>
            </w:tcBorders>
            <w:noWrap w:val="0"/>
            <w:vAlign w:val="center"/>
          </w:tcPr>
          <w:p w14:paraId="3101911E">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tcBorders>
              <w:tl2br w:val="nil"/>
              <w:tr2bl w:val="nil"/>
            </w:tcBorders>
            <w:noWrap w:val="0"/>
            <w:vAlign w:val="center"/>
          </w:tcPr>
          <w:p w14:paraId="50543AC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94" w:name="_Toc25678"/>
            <w:bookmarkStart w:id="4795" w:name="_Toc11179"/>
            <w:bookmarkStart w:id="4796" w:name="_Toc5730"/>
            <w:bookmarkStart w:id="4797" w:name="_Toc25030"/>
            <w:bookmarkStart w:id="4798" w:name="_Toc7709"/>
            <w:r>
              <w:rPr>
                <w:rFonts w:hint="default" w:ascii="Times New Roman" w:hAnsi="Times New Roman" w:cs="Times New Roman"/>
                <w:color w:val="auto"/>
                <w:sz w:val="21"/>
                <w:szCs w:val="21"/>
                <w:highlight w:val="none"/>
              </w:rPr>
              <w:t>30~45</w:t>
            </w:r>
            <w:bookmarkEnd w:id="4794"/>
            <w:bookmarkEnd w:id="4795"/>
            <w:bookmarkEnd w:id="4796"/>
            <w:bookmarkEnd w:id="4797"/>
            <w:bookmarkEnd w:id="4798"/>
          </w:p>
        </w:tc>
        <w:tc>
          <w:tcPr>
            <w:tcW w:w="2160" w:type="dxa"/>
            <w:gridSpan w:val="2"/>
            <w:tcBorders>
              <w:tl2br w:val="nil"/>
              <w:tr2bl w:val="nil"/>
            </w:tcBorders>
            <w:noWrap w:val="0"/>
            <w:vAlign w:val="center"/>
          </w:tcPr>
          <w:p w14:paraId="079E54B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799" w:name="_Toc11056"/>
            <w:bookmarkStart w:id="4800" w:name="_Toc2347"/>
            <w:bookmarkStart w:id="4801" w:name="_Toc14209"/>
            <w:bookmarkStart w:id="4802" w:name="_Toc29224"/>
            <w:bookmarkStart w:id="4803" w:name="_Toc10457"/>
            <w:r>
              <w:rPr>
                <w:rFonts w:hint="default" w:ascii="Times New Roman" w:hAnsi="Times New Roman" w:cs="Times New Roman"/>
                <w:color w:val="auto"/>
                <w:sz w:val="21"/>
                <w:szCs w:val="21"/>
                <w:highlight w:val="none"/>
              </w:rPr>
              <w:t>轻度</w:t>
            </w:r>
            <w:bookmarkEnd w:id="4799"/>
            <w:bookmarkEnd w:id="4800"/>
            <w:bookmarkEnd w:id="4801"/>
            <w:bookmarkEnd w:id="4802"/>
            <w:bookmarkEnd w:id="4803"/>
          </w:p>
        </w:tc>
        <w:tc>
          <w:tcPr>
            <w:tcW w:w="2160" w:type="dxa"/>
            <w:gridSpan w:val="2"/>
            <w:tcBorders>
              <w:tl2br w:val="nil"/>
              <w:tr2bl w:val="nil"/>
            </w:tcBorders>
            <w:noWrap w:val="0"/>
            <w:vAlign w:val="center"/>
          </w:tcPr>
          <w:p w14:paraId="0EBD4EE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04" w:name="_Toc22492"/>
            <w:bookmarkStart w:id="4805" w:name="_Toc19458"/>
            <w:bookmarkStart w:id="4806" w:name="_Toc14206"/>
            <w:bookmarkStart w:id="4807" w:name="_Toc27627"/>
            <w:bookmarkStart w:id="4808" w:name="_Toc25745"/>
            <w:r>
              <w:rPr>
                <w:rFonts w:hint="default" w:ascii="Times New Roman" w:hAnsi="Times New Roman" w:cs="Times New Roman"/>
                <w:color w:val="auto"/>
                <w:sz w:val="21"/>
                <w:szCs w:val="21"/>
                <w:highlight w:val="none"/>
              </w:rPr>
              <w:t>中度</w:t>
            </w:r>
            <w:bookmarkEnd w:id="4804"/>
            <w:bookmarkEnd w:id="4805"/>
            <w:bookmarkEnd w:id="4806"/>
            <w:bookmarkEnd w:id="4807"/>
            <w:bookmarkEnd w:id="4808"/>
          </w:p>
        </w:tc>
        <w:tc>
          <w:tcPr>
            <w:tcW w:w="1080" w:type="dxa"/>
            <w:tcBorders>
              <w:tl2br w:val="nil"/>
              <w:tr2bl w:val="nil"/>
            </w:tcBorders>
            <w:noWrap w:val="0"/>
            <w:vAlign w:val="center"/>
          </w:tcPr>
          <w:p w14:paraId="35F2DBA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09" w:name="_Toc9814"/>
            <w:bookmarkStart w:id="4810" w:name="_Toc17181"/>
            <w:bookmarkStart w:id="4811" w:name="_Toc19825"/>
            <w:bookmarkStart w:id="4812" w:name="_Toc15319"/>
            <w:bookmarkStart w:id="4813" w:name="_Toc11342"/>
            <w:r>
              <w:rPr>
                <w:rFonts w:hint="default" w:ascii="Times New Roman" w:hAnsi="Times New Roman" w:cs="Times New Roman"/>
                <w:color w:val="auto"/>
                <w:sz w:val="21"/>
                <w:szCs w:val="21"/>
                <w:highlight w:val="none"/>
              </w:rPr>
              <w:t>强度</w:t>
            </w:r>
            <w:bookmarkEnd w:id="4809"/>
            <w:bookmarkEnd w:id="4810"/>
            <w:bookmarkEnd w:id="4811"/>
            <w:bookmarkEnd w:id="4812"/>
            <w:bookmarkEnd w:id="4813"/>
          </w:p>
        </w:tc>
        <w:tc>
          <w:tcPr>
            <w:tcW w:w="1080" w:type="dxa"/>
            <w:tcBorders>
              <w:tl2br w:val="nil"/>
              <w:tr2bl w:val="nil"/>
            </w:tcBorders>
            <w:noWrap w:val="0"/>
            <w:vAlign w:val="center"/>
          </w:tcPr>
          <w:p w14:paraId="466D30F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14" w:name="_Toc25808"/>
            <w:bookmarkStart w:id="4815" w:name="_Toc15474"/>
            <w:bookmarkStart w:id="4816" w:name="_Toc4481"/>
            <w:bookmarkStart w:id="4817" w:name="_Toc11751"/>
            <w:bookmarkStart w:id="4818" w:name="_Toc13574"/>
            <w:r>
              <w:rPr>
                <w:rFonts w:hint="default" w:ascii="Times New Roman" w:hAnsi="Times New Roman" w:cs="Times New Roman"/>
                <w:color w:val="auto"/>
                <w:sz w:val="21"/>
                <w:szCs w:val="21"/>
                <w:highlight w:val="none"/>
              </w:rPr>
              <w:t>极强度</w:t>
            </w:r>
            <w:bookmarkEnd w:id="4814"/>
            <w:bookmarkEnd w:id="4815"/>
            <w:bookmarkEnd w:id="4816"/>
            <w:bookmarkEnd w:id="4817"/>
            <w:bookmarkEnd w:id="4818"/>
          </w:p>
        </w:tc>
      </w:tr>
      <w:tr w14:paraId="143AD2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080" w:type="dxa"/>
            <w:vMerge w:val="continue"/>
            <w:tcBorders>
              <w:tl2br w:val="nil"/>
              <w:tr2bl w:val="nil"/>
            </w:tcBorders>
            <w:noWrap w:val="0"/>
            <w:vAlign w:val="center"/>
          </w:tcPr>
          <w:p w14:paraId="45BD784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1080" w:type="dxa"/>
            <w:tcBorders>
              <w:tl2br w:val="nil"/>
              <w:tr2bl w:val="nil"/>
            </w:tcBorders>
            <w:noWrap w:val="0"/>
            <w:vAlign w:val="center"/>
          </w:tcPr>
          <w:p w14:paraId="0686E46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19" w:name="_Toc31104"/>
            <w:bookmarkStart w:id="4820" w:name="_Toc27552"/>
            <w:bookmarkStart w:id="4821" w:name="_Toc2316"/>
            <w:bookmarkStart w:id="4822" w:name="_Toc3486"/>
            <w:bookmarkStart w:id="4823" w:name="_Toc31240"/>
            <w:r>
              <w:rPr>
                <w:rFonts w:hint="default" w:ascii="Times New Roman" w:hAnsi="Times New Roman" w:cs="Times New Roman"/>
                <w:color w:val="auto"/>
                <w:sz w:val="21"/>
                <w:szCs w:val="21"/>
                <w:highlight w:val="none"/>
              </w:rPr>
              <w:t>&lt;30</w:t>
            </w:r>
            <w:bookmarkEnd w:id="4819"/>
            <w:bookmarkEnd w:id="4820"/>
            <w:bookmarkEnd w:id="4821"/>
            <w:bookmarkEnd w:id="4822"/>
            <w:bookmarkEnd w:id="4823"/>
          </w:p>
        </w:tc>
        <w:tc>
          <w:tcPr>
            <w:tcW w:w="3240" w:type="dxa"/>
            <w:gridSpan w:val="3"/>
            <w:tcBorders>
              <w:tl2br w:val="nil"/>
              <w:tr2bl w:val="nil"/>
            </w:tcBorders>
            <w:noWrap w:val="0"/>
            <w:vAlign w:val="center"/>
          </w:tcPr>
          <w:p w14:paraId="7D6363B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24" w:name="_Toc15665"/>
            <w:bookmarkStart w:id="4825" w:name="_Toc13804"/>
            <w:bookmarkStart w:id="4826" w:name="_Toc25906"/>
            <w:bookmarkStart w:id="4827" w:name="_Toc2076"/>
            <w:bookmarkStart w:id="4828" w:name="_Toc1423"/>
            <w:r>
              <w:rPr>
                <w:rFonts w:hint="default" w:ascii="Times New Roman" w:hAnsi="Times New Roman" w:cs="Times New Roman"/>
                <w:color w:val="auto"/>
                <w:sz w:val="21"/>
                <w:szCs w:val="21"/>
                <w:highlight w:val="none"/>
              </w:rPr>
              <w:t>中度</w:t>
            </w:r>
            <w:bookmarkEnd w:id="4824"/>
            <w:bookmarkEnd w:id="4825"/>
            <w:bookmarkEnd w:id="4826"/>
            <w:bookmarkEnd w:id="4827"/>
            <w:bookmarkEnd w:id="4828"/>
          </w:p>
        </w:tc>
        <w:tc>
          <w:tcPr>
            <w:tcW w:w="1080" w:type="dxa"/>
            <w:tcBorders>
              <w:tl2br w:val="nil"/>
              <w:tr2bl w:val="nil"/>
            </w:tcBorders>
            <w:noWrap w:val="0"/>
            <w:vAlign w:val="center"/>
          </w:tcPr>
          <w:p w14:paraId="60B348E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29" w:name="_Toc5420"/>
            <w:bookmarkStart w:id="4830" w:name="_Toc14149"/>
            <w:bookmarkStart w:id="4831" w:name="_Toc27529"/>
            <w:bookmarkStart w:id="4832" w:name="_Toc22146"/>
            <w:bookmarkStart w:id="4833" w:name="_Toc17238"/>
            <w:r>
              <w:rPr>
                <w:rFonts w:hint="default" w:ascii="Times New Roman" w:hAnsi="Times New Roman" w:cs="Times New Roman"/>
                <w:color w:val="auto"/>
                <w:sz w:val="21"/>
                <w:szCs w:val="21"/>
                <w:highlight w:val="none"/>
              </w:rPr>
              <w:t>强度</w:t>
            </w:r>
            <w:bookmarkEnd w:id="4829"/>
            <w:bookmarkEnd w:id="4830"/>
            <w:bookmarkEnd w:id="4831"/>
            <w:bookmarkEnd w:id="4832"/>
            <w:bookmarkEnd w:id="4833"/>
          </w:p>
        </w:tc>
        <w:tc>
          <w:tcPr>
            <w:tcW w:w="1080" w:type="dxa"/>
            <w:tcBorders>
              <w:tl2br w:val="nil"/>
              <w:tr2bl w:val="nil"/>
            </w:tcBorders>
            <w:noWrap w:val="0"/>
            <w:vAlign w:val="center"/>
          </w:tcPr>
          <w:p w14:paraId="7B528E4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34" w:name="_Toc5910"/>
            <w:bookmarkStart w:id="4835" w:name="_Toc15281"/>
            <w:bookmarkStart w:id="4836" w:name="_Toc21163"/>
            <w:bookmarkStart w:id="4837" w:name="_Toc26584"/>
            <w:bookmarkStart w:id="4838" w:name="_Toc22922"/>
            <w:r>
              <w:rPr>
                <w:rFonts w:hint="default" w:ascii="Times New Roman" w:hAnsi="Times New Roman" w:cs="Times New Roman"/>
                <w:color w:val="auto"/>
                <w:sz w:val="21"/>
                <w:szCs w:val="21"/>
                <w:highlight w:val="none"/>
              </w:rPr>
              <w:t>极强度</w:t>
            </w:r>
            <w:bookmarkEnd w:id="4834"/>
            <w:bookmarkEnd w:id="4835"/>
            <w:bookmarkEnd w:id="4836"/>
            <w:bookmarkEnd w:id="4837"/>
            <w:bookmarkEnd w:id="4838"/>
          </w:p>
        </w:tc>
        <w:tc>
          <w:tcPr>
            <w:tcW w:w="1080" w:type="dxa"/>
            <w:tcBorders>
              <w:tl2br w:val="nil"/>
              <w:tr2bl w:val="nil"/>
            </w:tcBorders>
            <w:noWrap w:val="0"/>
            <w:vAlign w:val="center"/>
          </w:tcPr>
          <w:p w14:paraId="0B31D40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39" w:name="_Toc24968"/>
            <w:bookmarkStart w:id="4840" w:name="_Toc14711"/>
            <w:bookmarkStart w:id="4841" w:name="_Toc21177"/>
            <w:bookmarkStart w:id="4842" w:name="_Toc29454"/>
            <w:bookmarkStart w:id="4843" w:name="_Toc17073"/>
            <w:r>
              <w:rPr>
                <w:rFonts w:hint="default" w:ascii="Times New Roman" w:hAnsi="Times New Roman" w:cs="Times New Roman"/>
                <w:color w:val="auto"/>
                <w:sz w:val="21"/>
                <w:szCs w:val="21"/>
                <w:highlight w:val="none"/>
              </w:rPr>
              <w:t>剧烈</w:t>
            </w:r>
            <w:bookmarkEnd w:id="4839"/>
            <w:bookmarkEnd w:id="4840"/>
            <w:bookmarkEnd w:id="4841"/>
            <w:bookmarkEnd w:id="4842"/>
            <w:bookmarkEnd w:id="4843"/>
          </w:p>
        </w:tc>
      </w:tr>
      <w:tr w14:paraId="3584E1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160" w:type="dxa"/>
            <w:gridSpan w:val="2"/>
            <w:tcBorders>
              <w:tl2br w:val="nil"/>
              <w:tr2bl w:val="nil"/>
            </w:tcBorders>
            <w:noWrap w:val="0"/>
            <w:vAlign w:val="center"/>
          </w:tcPr>
          <w:p w14:paraId="05ED450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44" w:name="_Toc21338"/>
            <w:bookmarkStart w:id="4845" w:name="_Toc28677"/>
            <w:bookmarkStart w:id="4846" w:name="_Toc32521"/>
            <w:bookmarkStart w:id="4847" w:name="_Toc12612"/>
            <w:bookmarkStart w:id="4848" w:name="_Toc10880"/>
            <w:r>
              <w:rPr>
                <w:rFonts w:hint="default" w:ascii="Times New Roman" w:hAnsi="Times New Roman" w:cs="Times New Roman"/>
                <w:color w:val="auto"/>
                <w:sz w:val="21"/>
                <w:szCs w:val="21"/>
                <w:highlight w:val="none"/>
              </w:rPr>
              <w:t>坡耕地</w:t>
            </w:r>
            <w:bookmarkEnd w:id="4844"/>
            <w:bookmarkEnd w:id="4845"/>
            <w:bookmarkEnd w:id="4846"/>
            <w:bookmarkEnd w:id="4847"/>
            <w:bookmarkEnd w:id="4848"/>
          </w:p>
        </w:tc>
        <w:tc>
          <w:tcPr>
            <w:tcW w:w="2160" w:type="dxa"/>
            <w:gridSpan w:val="2"/>
            <w:tcBorders>
              <w:tl2br w:val="nil"/>
              <w:tr2bl w:val="nil"/>
            </w:tcBorders>
            <w:noWrap w:val="0"/>
            <w:vAlign w:val="center"/>
          </w:tcPr>
          <w:p w14:paraId="4DD2145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49" w:name="_Toc32254"/>
            <w:bookmarkStart w:id="4850" w:name="_Toc14073"/>
            <w:bookmarkStart w:id="4851" w:name="_Toc18059"/>
            <w:bookmarkStart w:id="4852" w:name="_Toc5624"/>
            <w:bookmarkStart w:id="4853" w:name="_Toc13537"/>
            <w:r>
              <w:rPr>
                <w:rFonts w:hint="default" w:ascii="Times New Roman" w:hAnsi="Times New Roman" w:cs="Times New Roman"/>
                <w:color w:val="auto"/>
                <w:sz w:val="21"/>
                <w:szCs w:val="21"/>
                <w:highlight w:val="none"/>
              </w:rPr>
              <w:t>轻度</w:t>
            </w:r>
            <w:bookmarkEnd w:id="4849"/>
            <w:bookmarkEnd w:id="4850"/>
            <w:bookmarkEnd w:id="4851"/>
            <w:bookmarkEnd w:id="4852"/>
            <w:bookmarkEnd w:id="4853"/>
          </w:p>
        </w:tc>
        <w:tc>
          <w:tcPr>
            <w:tcW w:w="1080" w:type="dxa"/>
            <w:tcBorders>
              <w:tl2br w:val="nil"/>
              <w:tr2bl w:val="nil"/>
            </w:tcBorders>
            <w:noWrap w:val="0"/>
            <w:vAlign w:val="center"/>
          </w:tcPr>
          <w:p w14:paraId="7F8E954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54" w:name="_Toc19827"/>
            <w:bookmarkStart w:id="4855" w:name="_Toc2288"/>
            <w:bookmarkStart w:id="4856" w:name="_Toc19675"/>
            <w:bookmarkStart w:id="4857" w:name="_Toc12396"/>
            <w:bookmarkStart w:id="4858" w:name="_Toc25872"/>
            <w:r>
              <w:rPr>
                <w:rFonts w:hint="default" w:ascii="Times New Roman" w:hAnsi="Times New Roman" w:cs="Times New Roman"/>
                <w:color w:val="auto"/>
                <w:sz w:val="21"/>
                <w:szCs w:val="21"/>
                <w:highlight w:val="none"/>
              </w:rPr>
              <w:t>中度</w:t>
            </w:r>
            <w:bookmarkEnd w:id="4854"/>
            <w:bookmarkEnd w:id="4855"/>
            <w:bookmarkEnd w:id="4856"/>
            <w:bookmarkEnd w:id="4857"/>
            <w:bookmarkEnd w:id="4858"/>
          </w:p>
        </w:tc>
        <w:tc>
          <w:tcPr>
            <w:tcW w:w="1080" w:type="dxa"/>
            <w:tcBorders>
              <w:tl2br w:val="nil"/>
              <w:tr2bl w:val="nil"/>
            </w:tcBorders>
            <w:noWrap w:val="0"/>
            <w:vAlign w:val="center"/>
          </w:tcPr>
          <w:p w14:paraId="0892EA4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59" w:name="_Toc5207"/>
            <w:bookmarkStart w:id="4860" w:name="_Toc276"/>
            <w:bookmarkStart w:id="4861" w:name="_Toc19911"/>
            <w:bookmarkStart w:id="4862" w:name="_Toc21853"/>
            <w:bookmarkStart w:id="4863" w:name="_Toc9127"/>
            <w:r>
              <w:rPr>
                <w:rFonts w:hint="default" w:ascii="Times New Roman" w:hAnsi="Times New Roman" w:cs="Times New Roman"/>
                <w:color w:val="auto"/>
                <w:sz w:val="21"/>
                <w:szCs w:val="21"/>
                <w:highlight w:val="none"/>
              </w:rPr>
              <w:t>强度</w:t>
            </w:r>
            <w:bookmarkEnd w:id="4859"/>
            <w:bookmarkEnd w:id="4860"/>
            <w:bookmarkEnd w:id="4861"/>
            <w:bookmarkEnd w:id="4862"/>
            <w:bookmarkEnd w:id="4863"/>
          </w:p>
        </w:tc>
        <w:tc>
          <w:tcPr>
            <w:tcW w:w="1080" w:type="dxa"/>
            <w:tcBorders>
              <w:tl2br w:val="nil"/>
              <w:tr2bl w:val="nil"/>
            </w:tcBorders>
            <w:noWrap w:val="0"/>
            <w:vAlign w:val="center"/>
          </w:tcPr>
          <w:p w14:paraId="4FC4D45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64" w:name="_Toc26591"/>
            <w:bookmarkStart w:id="4865" w:name="_Toc1383"/>
            <w:bookmarkStart w:id="4866" w:name="_Toc31"/>
            <w:bookmarkStart w:id="4867" w:name="_Toc11303"/>
            <w:bookmarkStart w:id="4868" w:name="_Toc5780"/>
            <w:r>
              <w:rPr>
                <w:rFonts w:hint="default" w:ascii="Times New Roman" w:hAnsi="Times New Roman" w:cs="Times New Roman"/>
                <w:color w:val="auto"/>
                <w:sz w:val="21"/>
                <w:szCs w:val="21"/>
                <w:highlight w:val="none"/>
              </w:rPr>
              <w:t>极强度</w:t>
            </w:r>
            <w:bookmarkEnd w:id="4864"/>
            <w:bookmarkEnd w:id="4865"/>
            <w:bookmarkEnd w:id="4866"/>
            <w:bookmarkEnd w:id="4867"/>
            <w:bookmarkEnd w:id="4868"/>
          </w:p>
        </w:tc>
        <w:tc>
          <w:tcPr>
            <w:tcW w:w="1080" w:type="dxa"/>
            <w:tcBorders>
              <w:tl2br w:val="nil"/>
              <w:tr2bl w:val="nil"/>
            </w:tcBorders>
            <w:noWrap w:val="0"/>
            <w:vAlign w:val="center"/>
          </w:tcPr>
          <w:p w14:paraId="2AB2E63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69" w:name="_Toc17790"/>
            <w:bookmarkStart w:id="4870" w:name="_Toc19345"/>
            <w:bookmarkStart w:id="4871" w:name="_Toc25758"/>
            <w:bookmarkStart w:id="4872" w:name="_Toc12136"/>
            <w:bookmarkStart w:id="4873" w:name="_Toc2736"/>
            <w:r>
              <w:rPr>
                <w:rFonts w:hint="default" w:ascii="Times New Roman" w:hAnsi="Times New Roman" w:cs="Times New Roman"/>
                <w:color w:val="auto"/>
                <w:sz w:val="21"/>
                <w:szCs w:val="21"/>
                <w:highlight w:val="none"/>
              </w:rPr>
              <w:t>剧烈</w:t>
            </w:r>
            <w:bookmarkEnd w:id="4869"/>
            <w:bookmarkEnd w:id="4870"/>
            <w:bookmarkEnd w:id="4871"/>
            <w:bookmarkEnd w:id="4872"/>
            <w:bookmarkEnd w:id="4873"/>
          </w:p>
        </w:tc>
      </w:tr>
    </w:tbl>
    <w:p w14:paraId="13917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5.6-13</w:t>
      </w:r>
      <w:r>
        <w:rPr>
          <w:rFonts w:hint="default" w:ascii="Times New Roman" w:hAnsi="Times New Roman" w:cs="Times New Roman"/>
          <w:b/>
          <w:bCs/>
          <w:color w:val="auto"/>
          <w:sz w:val="24"/>
          <w:szCs w:val="24"/>
          <w:highlight w:val="none"/>
        </w:rPr>
        <w:t>评价区土壤侵蚀强度分级标准</w:t>
      </w:r>
    </w:p>
    <w:tbl>
      <w:tblPr>
        <w:tblStyle w:val="31"/>
        <w:tblW w:w="865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57" w:type="dxa"/>
          <w:bottom w:w="28" w:type="dxa"/>
          <w:right w:w="57" w:type="dxa"/>
        </w:tblCellMar>
      </w:tblPr>
      <w:tblGrid>
        <w:gridCol w:w="4440"/>
        <w:gridCol w:w="4211"/>
      </w:tblGrid>
      <w:tr w14:paraId="4B1F91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trHeight w:val="334" w:hRule="atLeast"/>
          <w:jc w:val="center"/>
        </w:trPr>
        <w:tc>
          <w:tcPr>
            <w:tcW w:w="4440" w:type="dxa"/>
            <w:tcBorders>
              <w:tl2br w:val="nil"/>
              <w:tr2bl w:val="nil"/>
            </w:tcBorders>
            <w:noWrap w:val="0"/>
            <w:vAlign w:val="center"/>
          </w:tcPr>
          <w:p w14:paraId="562E6526">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874" w:name="_Toc1821"/>
            <w:bookmarkStart w:id="4875" w:name="_Toc4655"/>
            <w:bookmarkStart w:id="4876" w:name="_Toc31215"/>
            <w:bookmarkStart w:id="4877" w:name="_Toc21174"/>
            <w:bookmarkStart w:id="4878" w:name="_Toc13391"/>
            <w:r>
              <w:rPr>
                <w:rFonts w:hint="default" w:ascii="Times New Roman" w:hAnsi="Times New Roman" w:cs="Times New Roman"/>
                <w:b/>
                <w:bCs/>
                <w:color w:val="auto"/>
                <w:sz w:val="21"/>
                <w:szCs w:val="21"/>
                <w:highlight w:val="none"/>
              </w:rPr>
              <w:t>级 别</w:t>
            </w:r>
            <w:bookmarkEnd w:id="4874"/>
            <w:bookmarkEnd w:id="4875"/>
            <w:bookmarkEnd w:id="4876"/>
            <w:bookmarkEnd w:id="4877"/>
            <w:bookmarkEnd w:id="4878"/>
          </w:p>
        </w:tc>
        <w:tc>
          <w:tcPr>
            <w:tcW w:w="4211" w:type="dxa"/>
            <w:tcBorders>
              <w:tl2br w:val="nil"/>
              <w:tr2bl w:val="nil"/>
            </w:tcBorders>
            <w:noWrap w:val="0"/>
            <w:vAlign w:val="center"/>
          </w:tcPr>
          <w:p w14:paraId="24589C5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4879" w:name="_Toc23940"/>
            <w:bookmarkStart w:id="4880" w:name="_Toc4545"/>
            <w:bookmarkStart w:id="4881" w:name="_Toc31109"/>
            <w:bookmarkStart w:id="4882" w:name="_Toc12190"/>
            <w:bookmarkStart w:id="4883" w:name="_Toc21966"/>
            <w:r>
              <w:rPr>
                <w:rFonts w:hint="default" w:ascii="Times New Roman" w:hAnsi="Times New Roman" w:cs="Times New Roman"/>
                <w:b/>
                <w:bCs/>
                <w:color w:val="auto"/>
                <w:sz w:val="21"/>
                <w:szCs w:val="21"/>
                <w:highlight w:val="none"/>
              </w:rPr>
              <w:t>侵蚀模数[t/(km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•a)]</w:t>
            </w:r>
            <w:bookmarkEnd w:id="4879"/>
            <w:bookmarkEnd w:id="4880"/>
            <w:bookmarkEnd w:id="4881"/>
            <w:bookmarkEnd w:id="4882"/>
            <w:bookmarkEnd w:id="4883"/>
          </w:p>
        </w:tc>
      </w:tr>
      <w:tr w14:paraId="4717FD5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jc w:val="center"/>
        </w:trPr>
        <w:tc>
          <w:tcPr>
            <w:tcW w:w="4440" w:type="dxa"/>
            <w:tcBorders>
              <w:tl2br w:val="nil"/>
              <w:tr2bl w:val="nil"/>
            </w:tcBorders>
            <w:noWrap w:val="0"/>
            <w:vAlign w:val="center"/>
          </w:tcPr>
          <w:p w14:paraId="7E90DCF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84" w:name="_Toc18895"/>
            <w:bookmarkStart w:id="4885" w:name="_Toc26714"/>
            <w:bookmarkStart w:id="4886" w:name="_Toc23932"/>
            <w:bookmarkStart w:id="4887" w:name="_Toc6335"/>
            <w:bookmarkStart w:id="4888" w:name="_Toc26862"/>
            <w:r>
              <w:rPr>
                <w:rFonts w:hint="default" w:ascii="Times New Roman" w:hAnsi="Times New Roman" w:cs="Times New Roman"/>
                <w:color w:val="auto"/>
                <w:sz w:val="21"/>
                <w:szCs w:val="21"/>
                <w:highlight w:val="none"/>
              </w:rPr>
              <w:t>微度侵蚀</w:t>
            </w:r>
            <w:bookmarkEnd w:id="4884"/>
            <w:bookmarkEnd w:id="4885"/>
            <w:bookmarkEnd w:id="4886"/>
            <w:bookmarkEnd w:id="4887"/>
            <w:bookmarkEnd w:id="4888"/>
          </w:p>
        </w:tc>
        <w:tc>
          <w:tcPr>
            <w:tcW w:w="4211" w:type="dxa"/>
            <w:tcBorders>
              <w:tl2br w:val="nil"/>
              <w:tr2bl w:val="nil"/>
            </w:tcBorders>
            <w:noWrap w:val="0"/>
            <w:vAlign w:val="center"/>
          </w:tcPr>
          <w:p w14:paraId="7946985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89" w:name="_Toc22690"/>
            <w:bookmarkStart w:id="4890" w:name="_Toc5761"/>
            <w:bookmarkStart w:id="4891" w:name="_Toc28509"/>
            <w:bookmarkStart w:id="4892" w:name="_Toc28675"/>
            <w:bookmarkStart w:id="4893" w:name="_Toc15779"/>
            <w:r>
              <w:rPr>
                <w:rFonts w:hint="default" w:ascii="Times New Roman" w:hAnsi="Times New Roman" w:cs="Times New Roman"/>
                <w:color w:val="auto"/>
                <w:sz w:val="21"/>
                <w:szCs w:val="21"/>
                <w:highlight w:val="none"/>
              </w:rPr>
              <w:t>＜200，＜500，＜1000</w:t>
            </w:r>
            <w:bookmarkEnd w:id="4889"/>
            <w:bookmarkEnd w:id="4890"/>
            <w:bookmarkEnd w:id="4891"/>
            <w:bookmarkEnd w:id="4892"/>
            <w:bookmarkEnd w:id="4893"/>
          </w:p>
        </w:tc>
      </w:tr>
      <w:tr w14:paraId="759D8A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jc w:val="center"/>
        </w:trPr>
        <w:tc>
          <w:tcPr>
            <w:tcW w:w="4440" w:type="dxa"/>
            <w:tcBorders>
              <w:tl2br w:val="nil"/>
              <w:tr2bl w:val="nil"/>
            </w:tcBorders>
            <w:noWrap w:val="0"/>
            <w:vAlign w:val="center"/>
          </w:tcPr>
          <w:p w14:paraId="5E95BE5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94" w:name="_Toc6234"/>
            <w:bookmarkStart w:id="4895" w:name="_Toc6610"/>
            <w:bookmarkStart w:id="4896" w:name="_Toc26137"/>
            <w:bookmarkStart w:id="4897" w:name="_Toc21898"/>
            <w:bookmarkStart w:id="4898" w:name="_Toc5670"/>
            <w:r>
              <w:rPr>
                <w:rFonts w:hint="default" w:ascii="Times New Roman" w:hAnsi="Times New Roman" w:cs="Times New Roman"/>
                <w:color w:val="auto"/>
                <w:sz w:val="21"/>
                <w:szCs w:val="21"/>
                <w:highlight w:val="none"/>
              </w:rPr>
              <w:t>轻度侵蚀</w:t>
            </w:r>
            <w:bookmarkEnd w:id="4894"/>
            <w:bookmarkEnd w:id="4895"/>
            <w:bookmarkEnd w:id="4896"/>
            <w:bookmarkEnd w:id="4897"/>
            <w:bookmarkEnd w:id="4898"/>
          </w:p>
        </w:tc>
        <w:tc>
          <w:tcPr>
            <w:tcW w:w="4211" w:type="dxa"/>
            <w:tcBorders>
              <w:tl2br w:val="nil"/>
              <w:tr2bl w:val="nil"/>
            </w:tcBorders>
            <w:noWrap w:val="0"/>
            <w:vAlign w:val="center"/>
          </w:tcPr>
          <w:p w14:paraId="1CDCD4F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899" w:name="_Toc30558"/>
            <w:bookmarkStart w:id="4900" w:name="_Toc10689"/>
            <w:bookmarkStart w:id="4901" w:name="_Toc22986"/>
            <w:bookmarkStart w:id="4902" w:name="_Toc6510"/>
            <w:bookmarkStart w:id="4903" w:name="_Toc8612"/>
            <w:r>
              <w:rPr>
                <w:rFonts w:hint="default" w:ascii="Times New Roman" w:hAnsi="Times New Roman" w:cs="Times New Roman"/>
                <w:color w:val="auto"/>
                <w:sz w:val="21"/>
                <w:szCs w:val="21"/>
                <w:highlight w:val="none"/>
              </w:rPr>
              <w:t>200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500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1000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2500</w:t>
            </w:r>
            <w:bookmarkEnd w:id="4899"/>
            <w:bookmarkEnd w:id="4900"/>
            <w:bookmarkEnd w:id="4901"/>
            <w:bookmarkEnd w:id="4902"/>
            <w:bookmarkEnd w:id="4903"/>
          </w:p>
        </w:tc>
      </w:tr>
      <w:tr w14:paraId="2D2C75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jc w:val="center"/>
        </w:trPr>
        <w:tc>
          <w:tcPr>
            <w:tcW w:w="4440" w:type="dxa"/>
            <w:tcBorders>
              <w:tl2br w:val="nil"/>
              <w:tr2bl w:val="nil"/>
            </w:tcBorders>
            <w:noWrap w:val="0"/>
            <w:vAlign w:val="center"/>
          </w:tcPr>
          <w:p w14:paraId="5B143E5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04" w:name="_Toc8077"/>
            <w:bookmarkStart w:id="4905" w:name="_Toc32317"/>
            <w:bookmarkStart w:id="4906" w:name="_Toc9388"/>
            <w:bookmarkStart w:id="4907" w:name="_Toc15088"/>
            <w:bookmarkStart w:id="4908" w:name="_Toc14072"/>
            <w:r>
              <w:rPr>
                <w:rFonts w:hint="default" w:ascii="Times New Roman" w:hAnsi="Times New Roman" w:cs="Times New Roman"/>
                <w:color w:val="auto"/>
                <w:sz w:val="21"/>
                <w:szCs w:val="21"/>
                <w:highlight w:val="none"/>
              </w:rPr>
              <w:t>中度侵蚀</w:t>
            </w:r>
            <w:bookmarkEnd w:id="4904"/>
            <w:bookmarkEnd w:id="4905"/>
            <w:bookmarkEnd w:id="4906"/>
            <w:bookmarkEnd w:id="4907"/>
            <w:bookmarkEnd w:id="4908"/>
          </w:p>
        </w:tc>
        <w:tc>
          <w:tcPr>
            <w:tcW w:w="4211" w:type="dxa"/>
            <w:tcBorders>
              <w:tl2br w:val="nil"/>
              <w:tr2bl w:val="nil"/>
            </w:tcBorders>
            <w:noWrap w:val="0"/>
            <w:vAlign w:val="center"/>
          </w:tcPr>
          <w:p w14:paraId="2CEB0E90">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09" w:name="_Toc7197"/>
            <w:bookmarkStart w:id="4910" w:name="_Toc5339"/>
            <w:bookmarkStart w:id="4911" w:name="_Toc28854"/>
            <w:bookmarkStart w:id="4912" w:name="_Toc22437"/>
            <w:bookmarkStart w:id="4913" w:name="_Toc19567"/>
            <w:r>
              <w:rPr>
                <w:rFonts w:hint="default" w:ascii="Times New Roman" w:hAnsi="Times New Roman" w:cs="Times New Roman"/>
                <w:color w:val="auto"/>
                <w:sz w:val="21"/>
                <w:szCs w:val="21"/>
                <w:highlight w:val="none"/>
              </w:rPr>
              <w:t>2500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5000</w:t>
            </w:r>
            <w:bookmarkEnd w:id="4909"/>
            <w:bookmarkEnd w:id="4910"/>
            <w:bookmarkEnd w:id="4911"/>
            <w:bookmarkEnd w:id="4912"/>
            <w:bookmarkEnd w:id="4913"/>
          </w:p>
        </w:tc>
      </w:tr>
      <w:tr w14:paraId="0632B7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jc w:val="center"/>
        </w:trPr>
        <w:tc>
          <w:tcPr>
            <w:tcW w:w="4440" w:type="dxa"/>
            <w:tcBorders>
              <w:tl2br w:val="nil"/>
              <w:tr2bl w:val="nil"/>
            </w:tcBorders>
            <w:noWrap w:val="0"/>
            <w:vAlign w:val="center"/>
          </w:tcPr>
          <w:p w14:paraId="411D7DB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14" w:name="_Toc23465"/>
            <w:bookmarkStart w:id="4915" w:name="_Toc17616"/>
            <w:bookmarkStart w:id="4916" w:name="_Toc10810"/>
            <w:bookmarkStart w:id="4917" w:name="_Toc10932"/>
            <w:bookmarkStart w:id="4918" w:name="_Toc4910"/>
            <w:r>
              <w:rPr>
                <w:rFonts w:hint="default" w:ascii="Times New Roman" w:hAnsi="Times New Roman" w:cs="Times New Roman"/>
                <w:color w:val="auto"/>
                <w:sz w:val="21"/>
                <w:szCs w:val="21"/>
                <w:highlight w:val="none"/>
              </w:rPr>
              <w:t>强度侵蚀</w:t>
            </w:r>
            <w:bookmarkEnd w:id="4914"/>
            <w:bookmarkEnd w:id="4915"/>
            <w:bookmarkEnd w:id="4916"/>
            <w:bookmarkEnd w:id="4917"/>
            <w:bookmarkEnd w:id="4918"/>
          </w:p>
        </w:tc>
        <w:tc>
          <w:tcPr>
            <w:tcW w:w="4211" w:type="dxa"/>
            <w:tcBorders>
              <w:tl2br w:val="nil"/>
              <w:tr2bl w:val="nil"/>
            </w:tcBorders>
            <w:noWrap w:val="0"/>
            <w:vAlign w:val="center"/>
          </w:tcPr>
          <w:p w14:paraId="3864682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19" w:name="_Toc28006"/>
            <w:bookmarkStart w:id="4920" w:name="_Toc17936"/>
            <w:bookmarkStart w:id="4921" w:name="_Toc7804"/>
            <w:bookmarkStart w:id="4922" w:name="_Toc17825"/>
            <w:bookmarkStart w:id="4923" w:name="_Toc1723"/>
            <w:r>
              <w:rPr>
                <w:rFonts w:hint="default" w:ascii="Times New Roman" w:hAnsi="Times New Roman" w:cs="Times New Roman"/>
                <w:color w:val="auto"/>
                <w:sz w:val="21"/>
                <w:szCs w:val="21"/>
                <w:highlight w:val="none"/>
              </w:rPr>
              <w:t>5000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8000</w:t>
            </w:r>
            <w:bookmarkEnd w:id="4919"/>
            <w:bookmarkEnd w:id="4920"/>
            <w:bookmarkEnd w:id="4921"/>
            <w:bookmarkEnd w:id="4922"/>
            <w:bookmarkEnd w:id="4923"/>
          </w:p>
        </w:tc>
      </w:tr>
      <w:tr w14:paraId="6AD330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jc w:val="center"/>
        </w:trPr>
        <w:tc>
          <w:tcPr>
            <w:tcW w:w="4440" w:type="dxa"/>
            <w:tcBorders>
              <w:tl2br w:val="nil"/>
              <w:tr2bl w:val="nil"/>
            </w:tcBorders>
            <w:noWrap w:val="0"/>
            <w:vAlign w:val="center"/>
          </w:tcPr>
          <w:p w14:paraId="50E837C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24" w:name="_Toc26109"/>
            <w:bookmarkStart w:id="4925" w:name="_Toc2397"/>
            <w:bookmarkStart w:id="4926" w:name="_Toc21407"/>
            <w:bookmarkStart w:id="4927" w:name="_Toc1717"/>
            <w:bookmarkStart w:id="4928" w:name="_Toc20961"/>
            <w:r>
              <w:rPr>
                <w:rFonts w:hint="default" w:ascii="Times New Roman" w:hAnsi="Times New Roman" w:cs="Times New Roman"/>
                <w:color w:val="auto"/>
                <w:sz w:val="21"/>
                <w:szCs w:val="21"/>
                <w:highlight w:val="none"/>
              </w:rPr>
              <w:t>极强侵蚀</w:t>
            </w:r>
            <w:bookmarkEnd w:id="4924"/>
            <w:bookmarkEnd w:id="4925"/>
            <w:bookmarkEnd w:id="4926"/>
            <w:bookmarkEnd w:id="4927"/>
            <w:bookmarkEnd w:id="4928"/>
          </w:p>
        </w:tc>
        <w:tc>
          <w:tcPr>
            <w:tcW w:w="4211" w:type="dxa"/>
            <w:tcBorders>
              <w:tl2br w:val="nil"/>
              <w:tr2bl w:val="nil"/>
            </w:tcBorders>
            <w:noWrap w:val="0"/>
            <w:vAlign w:val="center"/>
          </w:tcPr>
          <w:p w14:paraId="291B875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29" w:name="_Toc19062"/>
            <w:bookmarkStart w:id="4930" w:name="_Toc30991"/>
            <w:bookmarkStart w:id="4931" w:name="_Toc10910"/>
            <w:bookmarkStart w:id="4932" w:name="_Toc15537"/>
            <w:bookmarkStart w:id="4933" w:name="_Toc9873"/>
            <w:r>
              <w:rPr>
                <w:rFonts w:hint="default" w:ascii="Times New Roman" w:hAnsi="Times New Roman" w:cs="Times New Roman"/>
                <w:color w:val="auto"/>
                <w:sz w:val="21"/>
                <w:szCs w:val="21"/>
                <w:highlight w:val="none"/>
              </w:rPr>
              <w:t>8000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15000</w:t>
            </w:r>
            <w:bookmarkEnd w:id="4929"/>
            <w:bookmarkEnd w:id="4930"/>
            <w:bookmarkEnd w:id="4931"/>
            <w:bookmarkEnd w:id="4932"/>
            <w:bookmarkEnd w:id="4933"/>
          </w:p>
        </w:tc>
      </w:tr>
      <w:tr w14:paraId="688895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57" w:type="dxa"/>
            <w:bottom w:w="28" w:type="dxa"/>
            <w:right w:w="57" w:type="dxa"/>
          </w:tblCellMar>
        </w:tblPrEx>
        <w:trPr>
          <w:jc w:val="center"/>
        </w:trPr>
        <w:tc>
          <w:tcPr>
            <w:tcW w:w="4440" w:type="dxa"/>
            <w:tcBorders>
              <w:tl2br w:val="nil"/>
              <w:tr2bl w:val="nil"/>
            </w:tcBorders>
            <w:noWrap w:val="0"/>
            <w:vAlign w:val="center"/>
          </w:tcPr>
          <w:p w14:paraId="4886C02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34" w:name="_Toc20470"/>
            <w:bookmarkStart w:id="4935" w:name="_Toc18940"/>
            <w:bookmarkStart w:id="4936" w:name="_Toc21432"/>
            <w:bookmarkStart w:id="4937" w:name="_Toc15161"/>
            <w:bookmarkStart w:id="4938" w:name="_Toc31302"/>
            <w:r>
              <w:rPr>
                <w:rFonts w:hint="default" w:ascii="Times New Roman" w:hAnsi="Times New Roman" w:cs="Times New Roman"/>
                <w:color w:val="auto"/>
                <w:sz w:val="21"/>
                <w:szCs w:val="21"/>
                <w:highlight w:val="none"/>
              </w:rPr>
              <w:t>剧烈侵蚀</w:t>
            </w:r>
            <w:bookmarkEnd w:id="4934"/>
            <w:bookmarkEnd w:id="4935"/>
            <w:bookmarkEnd w:id="4936"/>
            <w:bookmarkEnd w:id="4937"/>
            <w:bookmarkEnd w:id="4938"/>
          </w:p>
        </w:tc>
        <w:tc>
          <w:tcPr>
            <w:tcW w:w="4211" w:type="dxa"/>
            <w:tcBorders>
              <w:tl2br w:val="nil"/>
              <w:tr2bl w:val="nil"/>
            </w:tcBorders>
            <w:noWrap w:val="0"/>
            <w:vAlign w:val="center"/>
          </w:tcPr>
          <w:p w14:paraId="570D05B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4939" w:name="_Toc26861"/>
            <w:bookmarkStart w:id="4940" w:name="_Toc5432"/>
            <w:bookmarkStart w:id="4941" w:name="_Toc8651"/>
            <w:bookmarkStart w:id="4942" w:name="_Toc22741"/>
            <w:bookmarkStart w:id="4943" w:name="_Toc30819"/>
            <w:r>
              <w:rPr>
                <w:rFonts w:hint="eastAsia" w:cs="Times New Roman"/>
                <w:color w:val="auto"/>
                <w:sz w:val="21"/>
                <w:szCs w:val="21"/>
                <w:highlight w:val="none"/>
                <w:lang w:eastAsia="zh-CN"/>
              </w:rPr>
              <w:t>&gt;</w:t>
            </w:r>
            <w:r>
              <w:rPr>
                <w:rFonts w:hint="default" w:ascii="Times New Roman" w:hAnsi="Times New Roman" w:cs="Times New Roman"/>
                <w:color w:val="auto"/>
                <w:sz w:val="21"/>
                <w:szCs w:val="21"/>
                <w:highlight w:val="none"/>
              </w:rPr>
              <w:t>15000</w:t>
            </w:r>
            <w:bookmarkEnd w:id="4939"/>
            <w:bookmarkEnd w:id="4940"/>
            <w:bookmarkEnd w:id="4941"/>
            <w:bookmarkEnd w:id="4942"/>
            <w:bookmarkEnd w:id="4943"/>
          </w:p>
        </w:tc>
      </w:tr>
    </w:tbl>
    <w:p w14:paraId="33838C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5.6-14</w:t>
      </w:r>
      <w:r>
        <w:rPr>
          <w:rFonts w:hint="default" w:ascii="Times New Roman" w:hAnsi="Times New Roman" w:cs="Times New Roman"/>
          <w:b/>
          <w:bCs/>
          <w:color w:val="auto"/>
          <w:sz w:val="24"/>
          <w:szCs w:val="24"/>
          <w:highlight w:val="none"/>
        </w:rPr>
        <w:t xml:space="preserve"> 评价区各土壤侵蚀等级面积</w:t>
      </w:r>
    </w:p>
    <w:tbl>
      <w:tblPr>
        <w:tblStyle w:val="3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5"/>
        <w:gridCol w:w="1534"/>
        <w:gridCol w:w="2156"/>
        <w:gridCol w:w="2093"/>
        <w:gridCol w:w="1681"/>
      </w:tblGrid>
      <w:tr w14:paraId="3FCF54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19" w:type="pct"/>
            <w:tcBorders>
              <w:tl2br w:val="nil"/>
              <w:tr2bl w:val="nil"/>
            </w:tcBorders>
            <w:noWrap/>
            <w:vAlign w:val="center"/>
          </w:tcPr>
          <w:p w14:paraId="66B6BF3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944" w:name="_Toc1730"/>
            <w:bookmarkStart w:id="4945" w:name="_Toc4205"/>
            <w:bookmarkStart w:id="4946" w:name="_Toc24317"/>
            <w:bookmarkStart w:id="4947" w:name="_Toc29635"/>
            <w:bookmarkStart w:id="4948" w:name="_Toc19968"/>
            <w:r>
              <w:rPr>
                <w:rFonts w:hint="default" w:ascii="Times New Roman" w:hAnsi="Times New Roman" w:cs="Times New Roman"/>
                <w:b/>
                <w:bCs/>
                <w:color w:val="auto"/>
                <w:sz w:val="21"/>
                <w:szCs w:val="21"/>
                <w:highlight w:val="none"/>
                <w:lang w:val="en-US" w:eastAsia="zh-CN"/>
              </w:rPr>
              <w:t>序号</w:t>
            </w:r>
            <w:bookmarkEnd w:id="4944"/>
            <w:bookmarkEnd w:id="4945"/>
            <w:bookmarkEnd w:id="4946"/>
            <w:bookmarkEnd w:id="4947"/>
            <w:bookmarkEnd w:id="4948"/>
          </w:p>
        </w:tc>
        <w:tc>
          <w:tcPr>
            <w:tcW w:w="900" w:type="pct"/>
            <w:tcBorders>
              <w:tl2br w:val="nil"/>
              <w:tr2bl w:val="nil"/>
            </w:tcBorders>
            <w:noWrap/>
            <w:vAlign w:val="center"/>
          </w:tcPr>
          <w:p w14:paraId="6B33B34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949" w:name="_Toc18889"/>
            <w:bookmarkStart w:id="4950" w:name="_Toc26786"/>
            <w:bookmarkStart w:id="4951" w:name="_Toc28074"/>
            <w:bookmarkStart w:id="4952" w:name="_Toc4531"/>
            <w:bookmarkStart w:id="4953" w:name="_Toc13170"/>
            <w:r>
              <w:rPr>
                <w:rFonts w:hint="default" w:ascii="Times New Roman" w:hAnsi="Times New Roman" w:cs="Times New Roman"/>
                <w:b/>
                <w:bCs/>
                <w:color w:val="auto"/>
                <w:sz w:val="21"/>
                <w:szCs w:val="21"/>
                <w:highlight w:val="none"/>
                <w:lang w:val="en-US" w:eastAsia="zh-CN"/>
              </w:rPr>
              <w:t>土壤侵蚀类型</w:t>
            </w:r>
            <w:bookmarkEnd w:id="4949"/>
            <w:bookmarkEnd w:id="4950"/>
            <w:bookmarkEnd w:id="4951"/>
            <w:bookmarkEnd w:id="4952"/>
            <w:bookmarkEnd w:id="4953"/>
          </w:p>
        </w:tc>
        <w:tc>
          <w:tcPr>
            <w:tcW w:w="1265" w:type="pct"/>
            <w:tcBorders>
              <w:tl2br w:val="nil"/>
              <w:tr2bl w:val="nil"/>
            </w:tcBorders>
            <w:noWrap/>
            <w:vAlign w:val="center"/>
          </w:tcPr>
          <w:p w14:paraId="7D1C51C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954" w:name="_Toc30411"/>
            <w:bookmarkStart w:id="4955" w:name="_Toc7719"/>
            <w:bookmarkStart w:id="4956" w:name="_Toc32631"/>
            <w:bookmarkStart w:id="4957" w:name="_Toc17236"/>
            <w:bookmarkStart w:id="4958" w:name="_Toc17974"/>
            <w:r>
              <w:rPr>
                <w:rFonts w:hint="default" w:ascii="Times New Roman" w:hAnsi="Times New Roman" w:cs="Times New Roman"/>
                <w:b/>
                <w:bCs/>
                <w:color w:val="auto"/>
                <w:sz w:val="21"/>
                <w:szCs w:val="21"/>
                <w:highlight w:val="none"/>
                <w:lang w:val="en-US" w:eastAsia="zh-CN"/>
              </w:rPr>
              <w:t>土壤侵蚀强度</w:t>
            </w:r>
            <w:bookmarkEnd w:id="4954"/>
            <w:bookmarkEnd w:id="4955"/>
            <w:bookmarkEnd w:id="4956"/>
            <w:bookmarkEnd w:id="4957"/>
            <w:bookmarkEnd w:id="4958"/>
          </w:p>
        </w:tc>
        <w:tc>
          <w:tcPr>
            <w:tcW w:w="1228" w:type="pct"/>
            <w:tcBorders>
              <w:tl2br w:val="nil"/>
              <w:tr2bl w:val="nil"/>
            </w:tcBorders>
            <w:noWrap/>
            <w:vAlign w:val="center"/>
          </w:tcPr>
          <w:p w14:paraId="51A9A28A">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959" w:name="_Toc4795"/>
            <w:bookmarkStart w:id="4960" w:name="_Toc17057"/>
            <w:bookmarkStart w:id="4961" w:name="_Toc7864"/>
            <w:bookmarkStart w:id="4962" w:name="_Toc28631"/>
            <w:bookmarkStart w:id="4963" w:name="_Toc1580"/>
            <w:r>
              <w:rPr>
                <w:rFonts w:hint="default" w:ascii="Times New Roman" w:hAnsi="Times New Roman" w:cs="Times New Roman"/>
                <w:b/>
                <w:bCs/>
                <w:color w:val="auto"/>
                <w:sz w:val="21"/>
                <w:szCs w:val="21"/>
                <w:highlight w:val="none"/>
                <w:lang w:val="en-US" w:eastAsia="zh-CN"/>
              </w:rPr>
              <w:t>面积（hm</w:t>
            </w:r>
            <w:r>
              <w:rPr>
                <w:rFonts w:hint="default" w:ascii="Times New Roman" w:hAnsi="Times New Roman" w:cs="Times New Roman"/>
                <w:b/>
                <w:bCs/>
                <w:color w:val="auto"/>
                <w:sz w:val="21"/>
                <w:szCs w:val="21"/>
                <w:highlight w:val="none"/>
                <w:vertAlign w:val="superscript"/>
                <w:lang w:val="en-US" w:eastAsia="zh-CN"/>
              </w:rPr>
              <w:t>2</w:t>
            </w:r>
            <w:r>
              <w:rPr>
                <w:rFonts w:hint="default" w:ascii="Times New Roman" w:hAnsi="Times New Roman" w:cs="Times New Roman"/>
                <w:b/>
                <w:bCs/>
                <w:color w:val="auto"/>
                <w:sz w:val="21"/>
                <w:szCs w:val="21"/>
                <w:highlight w:val="none"/>
                <w:lang w:val="en-US" w:eastAsia="zh-CN"/>
              </w:rPr>
              <w:t>）</w:t>
            </w:r>
            <w:bookmarkEnd w:id="4959"/>
            <w:bookmarkEnd w:id="4960"/>
            <w:bookmarkEnd w:id="4961"/>
            <w:bookmarkEnd w:id="4962"/>
            <w:bookmarkEnd w:id="4963"/>
          </w:p>
        </w:tc>
        <w:tc>
          <w:tcPr>
            <w:tcW w:w="986" w:type="pct"/>
            <w:tcBorders>
              <w:tl2br w:val="nil"/>
              <w:tr2bl w:val="nil"/>
            </w:tcBorders>
            <w:noWrap/>
            <w:vAlign w:val="center"/>
          </w:tcPr>
          <w:p w14:paraId="7ECC78FF">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4964" w:name="_Toc17058"/>
            <w:bookmarkStart w:id="4965" w:name="_Toc15600"/>
            <w:bookmarkStart w:id="4966" w:name="_Toc3947"/>
            <w:bookmarkStart w:id="4967" w:name="_Toc1804"/>
            <w:bookmarkStart w:id="4968" w:name="_Toc3243"/>
            <w:r>
              <w:rPr>
                <w:rFonts w:hint="default" w:ascii="Times New Roman" w:hAnsi="Times New Roman" w:cs="Times New Roman"/>
                <w:b/>
                <w:bCs/>
                <w:color w:val="auto"/>
                <w:sz w:val="21"/>
                <w:szCs w:val="21"/>
                <w:highlight w:val="none"/>
                <w:lang w:val="en-US" w:eastAsia="zh-CN"/>
              </w:rPr>
              <w:t>占比</w:t>
            </w:r>
            <w:bookmarkEnd w:id="4964"/>
            <w:bookmarkEnd w:id="4965"/>
            <w:bookmarkEnd w:id="4966"/>
            <w:bookmarkEnd w:id="4967"/>
            <w:bookmarkEnd w:id="4968"/>
          </w:p>
        </w:tc>
      </w:tr>
      <w:tr w14:paraId="3E7478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19" w:type="pct"/>
            <w:tcBorders>
              <w:tl2br w:val="nil"/>
              <w:tr2bl w:val="nil"/>
            </w:tcBorders>
            <w:noWrap/>
            <w:vAlign w:val="center"/>
          </w:tcPr>
          <w:p w14:paraId="5BD10529">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69" w:name="_Toc13201"/>
            <w:bookmarkStart w:id="4970" w:name="_Toc22916"/>
            <w:bookmarkStart w:id="4971" w:name="_Toc179"/>
            <w:bookmarkStart w:id="4972" w:name="_Toc13260"/>
            <w:bookmarkStart w:id="4973" w:name="_Toc11422"/>
            <w:r>
              <w:rPr>
                <w:rFonts w:hint="default" w:ascii="Times New Roman" w:hAnsi="Times New Roman" w:cs="Times New Roman"/>
                <w:color w:val="auto"/>
                <w:sz w:val="21"/>
                <w:szCs w:val="21"/>
                <w:highlight w:val="none"/>
                <w:lang w:val="en-US" w:eastAsia="zh-CN"/>
              </w:rPr>
              <w:t>1</w:t>
            </w:r>
            <w:bookmarkEnd w:id="4969"/>
            <w:bookmarkEnd w:id="4970"/>
            <w:bookmarkEnd w:id="4971"/>
            <w:bookmarkEnd w:id="4972"/>
            <w:bookmarkEnd w:id="4973"/>
          </w:p>
        </w:tc>
        <w:tc>
          <w:tcPr>
            <w:tcW w:w="900" w:type="pct"/>
            <w:vMerge w:val="restart"/>
            <w:tcBorders>
              <w:tl2br w:val="nil"/>
              <w:tr2bl w:val="nil"/>
            </w:tcBorders>
            <w:noWrap/>
            <w:vAlign w:val="center"/>
          </w:tcPr>
          <w:p w14:paraId="585F689C">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74" w:name="_Toc14097"/>
            <w:bookmarkStart w:id="4975" w:name="_Toc22184"/>
            <w:bookmarkStart w:id="4976" w:name="_Toc30963"/>
            <w:bookmarkStart w:id="4977" w:name="_Toc22399"/>
            <w:bookmarkStart w:id="4978" w:name="_Toc29341"/>
            <w:r>
              <w:rPr>
                <w:rFonts w:hint="default" w:ascii="Times New Roman" w:hAnsi="Times New Roman" w:cs="Times New Roman"/>
                <w:color w:val="auto"/>
                <w:sz w:val="21"/>
                <w:szCs w:val="21"/>
                <w:highlight w:val="none"/>
                <w:lang w:val="en-US" w:eastAsia="zh-CN"/>
              </w:rPr>
              <w:t>水力侵蚀</w:t>
            </w:r>
            <w:bookmarkEnd w:id="4974"/>
            <w:bookmarkEnd w:id="4975"/>
            <w:bookmarkEnd w:id="4976"/>
            <w:bookmarkEnd w:id="4977"/>
            <w:bookmarkEnd w:id="4978"/>
          </w:p>
        </w:tc>
        <w:tc>
          <w:tcPr>
            <w:tcW w:w="1265" w:type="pct"/>
            <w:tcBorders>
              <w:tl2br w:val="nil"/>
              <w:tr2bl w:val="nil"/>
            </w:tcBorders>
            <w:noWrap/>
            <w:vAlign w:val="center"/>
          </w:tcPr>
          <w:p w14:paraId="4D6BDC10">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79" w:name="_Toc1615"/>
            <w:bookmarkStart w:id="4980" w:name="_Toc8637"/>
            <w:bookmarkStart w:id="4981" w:name="_Toc21090"/>
            <w:r>
              <w:rPr>
                <w:rFonts w:hint="eastAsia" w:ascii="Times New Roman" w:hAnsi="Times New Roman" w:cs="Times New Roman"/>
                <w:color w:val="auto"/>
                <w:sz w:val="21"/>
                <w:szCs w:val="21"/>
                <w:highlight w:val="none"/>
                <w:lang w:val="en-US" w:eastAsia="zh-CN"/>
              </w:rPr>
              <w:t>轻度侵蚀</w:t>
            </w:r>
            <w:bookmarkEnd w:id="4979"/>
            <w:bookmarkEnd w:id="4980"/>
            <w:bookmarkEnd w:id="4981"/>
          </w:p>
        </w:tc>
        <w:tc>
          <w:tcPr>
            <w:tcW w:w="1228" w:type="pct"/>
            <w:tcBorders>
              <w:tl2br w:val="nil"/>
              <w:tr2bl w:val="nil"/>
            </w:tcBorders>
            <w:noWrap/>
            <w:vAlign w:val="center"/>
          </w:tcPr>
          <w:p w14:paraId="58A2E93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82" w:name="_Toc24607"/>
            <w:bookmarkStart w:id="4983" w:name="_Toc4727"/>
            <w:bookmarkStart w:id="4984" w:name="_Toc15509"/>
            <w:r>
              <w:rPr>
                <w:rFonts w:hint="eastAsia" w:ascii="Times New Roman" w:hAnsi="Times New Roman" w:cs="Times New Roman"/>
                <w:color w:val="auto"/>
                <w:sz w:val="21"/>
                <w:szCs w:val="21"/>
                <w:highlight w:val="none"/>
                <w:lang w:val="en-US" w:eastAsia="zh-CN"/>
              </w:rPr>
              <w:t>512.24</w:t>
            </w:r>
            <w:bookmarkEnd w:id="4982"/>
            <w:bookmarkEnd w:id="4983"/>
            <w:bookmarkEnd w:id="4984"/>
            <w:r>
              <w:rPr>
                <w:rFonts w:hint="eastAsia" w:ascii="Times New Roman" w:hAnsi="Times New Roman" w:cs="Times New Roman"/>
                <w:color w:val="auto"/>
                <w:sz w:val="21"/>
                <w:szCs w:val="21"/>
                <w:highlight w:val="none"/>
                <w:lang w:val="en-US" w:eastAsia="zh-CN"/>
              </w:rPr>
              <w:t xml:space="preserve"> </w:t>
            </w:r>
          </w:p>
        </w:tc>
        <w:tc>
          <w:tcPr>
            <w:tcW w:w="986" w:type="pct"/>
            <w:tcBorders>
              <w:tl2br w:val="nil"/>
              <w:tr2bl w:val="nil"/>
            </w:tcBorders>
            <w:noWrap/>
            <w:vAlign w:val="center"/>
          </w:tcPr>
          <w:p w14:paraId="5CEEB455">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85" w:name="_Toc28953"/>
            <w:bookmarkStart w:id="4986" w:name="_Toc31007"/>
            <w:bookmarkStart w:id="4987" w:name="_Toc24663"/>
            <w:r>
              <w:rPr>
                <w:rFonts w:hint="default" w:ascii="Times New Roman" w:hAnsi="Times New Roman" w:cs="Times New Roman"/>
                <w:color w:val="auto"/>
                <w:sz w:val="21"/>
                <w:szCs w:val="21"/>
                <w:highlight w:val="none"/>
                <w:lang w:val="en-US" w:eastAsia="zh-CN"/>
              </w:rPr>
              <w:t>34.71%</w:t>
            </w:r>
            <w:bookmarkEnd w:id="4985"/>
            <w:bookmarkEnd w:id="4986"/>
            <w:bookmarkEnd w:id="4987"/>
          </w:p>
        </w:tc>
      </w:tr>
      <w:tr w14:paraId="526E99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19" w:type="pct"/>
            <w:tcBorders>
              <w:tl2br w:val="nil"/>
              <w:tr2bl w:val="nil"/>
            </w:tcBorders>
            <w:noWrap/>
            <w:vAlign w:val="center"/>
          </w:tcPr>
          <w:p w14:paraId="74F35C03">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88" w:name="_Toc6345"/>
            <w:bookmarkStart w:id="4989" w:name="_Toc31257"/>
            <w:bookmarkStart w:id="4990" w:name="_Toc479"/>
            <w:bookmarkStart w:id="4991" w:name="_Toc21835"/>
            <w:bookmarkStart w:id="4992" w:name="_Toc1091"/>
            <w:r>
              <w:rPr>
                <w:rFonts w:hint="default" w:ascii="Times New Roman" w:hAnsi="Times New Roman" w:cs="Times New Roman"/>
                <w:color w:val="auto"/>
                <w:sz w:val="21"/>
                <w:szCs w:val="21"/>
                <w:highlight w:val="none"/>
                <w:lang w:val="en-US" w:eastAsia="zh-CN"/>
              </w:rPr>
              <w:t>2</w:t>
            </w:r>
            <w:bookmarkEnd w:id="4988"/>
            <w:bookmarkEnd w:id="4989"/>
            <w:bookmarkEnd w:id="4990"/>
            <w:bookmarkEnd w:id="4991"/>
            <w:bookmarkEnd w:id="4992"/>
          </w:p>
        </w:tc>
        <w:tc>
          <w:tcPr>
            <w:tcW w:w="900" w:type="pct"/>
            <w:vMerge w:val="continue"/>
            <w:tcBorders>
              <w:tl2br w:val="nil"/>
              <w:tr2bl w:val="nil"/>
            </w:tcBorders>
            <w:noWrap/>
            <w:vAlign w:val="center"/>
          </w:tcPr>
          <w:p w14:paraId="2A5AE45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65" w:type="pct"/>
            <w:tcBorders>
              <w:tl2br w:val="nil"/>
              <w:tr2bl w:val="nil"/>
            </w:tcBorders>
            <w:noWrap/>
            <w:vAlign w:val="center"/>
          </w:tcPr>
          <w:p w14:paraId="2CE10E7D">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93" w:name="_Toc29363"/>
            <w:bookmarkStart w:id="4994" w:name="_Toc5185"/>
            <w:bookmarkStart w:id="4995" w:name="_Toc21763"/>
            <w:r>
              <w:rPr>
                <w:rFonts w:hint="eastAsia" w:ascii="Times New Roman" w:hAnsi="Times New Roman" w:cs="Times New Roman"/>
                <w:color w:val="auto"/>
                <w:sz w:val="21"/>
                <w:szCs w:val="21"/>
                <w:highlight w:val="none"/>
                <w:lang w:val="en-US" w:eastAsia="zh-CN"/>
              </w:rPr>
              <w:t>微度侵蚀</w:t>
            </w:r>
            <w:bookmarkEnd w:id="4993"/>
            <w:bookmarkEnd w:id="4994"/>
            <w:bookmarkEnd w:id="4995"/>
          </w:p>
        </w:tc>
        <w:tc>
          <w:tcPr>
            <w:tcW w:w="1228" w:type="pct"/>
            <w:tcBorders>
              <w:tl2br w:val="nil"/>
              <w:tr2bl w:val="nil"/>
            </w:tcBorders>
            <w:noWrap/>
            <w:vAlign w:val="center"/>
          </w:tcPr>
          <w:p w14:paraId="7C6560D0">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96" w:name="_Toc24564"/>
            <w:bookmarkStart w:id="4997" w:name="_Toc18077"/>
            <w:bookmarkStart w:id="4998" w:name="_Toc12655"/>
            <w:r>
              <w:rPr>
                <w:rFonts w:hint="eastAsia" w:ascii="Times New Roman" w:hAnsi="Times New Roman" w:cs="Times New Roman"/>
                <w:color w:val="auto"/>
                <w:sz w:val="21"/>
                <w:szCs w:val="21"/>
                <w:highlight w:val="none"/>
                <w:lang w:val="en-US" w:eastAsia="zh-CN"/>
              </w:rPr>
              <w:t>963.40</w:t>
            </w:r>
            <w:bookmarkEnd w:id="4996"/>
            <w:bookmarkEnd w:id="4997"/>
            <w:bookmarkEnd w:id="4998"/>
            <w:r>
              <w:rPr>
                <w:rFonts w:hint="eastAsia" w:ascii="Times New Roman" w:hAnsi="Times New Roman" w:cs="Times New Roman"/>
                <w:color w:val="auto"/>
                <w:sz w:val="21"/>
                <w:szCs w:val="21"/>
                <w:highlight w:val="none"/>
                <w:lang w:val="en-US" w:eastAsia="zh-CN"/>
              </w:rPr>
              <w:t xml:space="preserve"> </w:t>
            </w:r>
          </w:p>
        </w:tc>
        <w:tc>
          <w:tcPr>
            <w:tcW w:w="986" w:type="pct"/>
            <w:tcBorders>
              <w:tl2br w:val="nil"/>
              <w:tr2bl w:val="nil"/>
            </w:tcBorders>
            <w:noWrap/>
            <w:vAlign w:val="center"/>
          </w:tcPr>
          <w:p w14:paraId="71A4FE39">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4999" w:name="_Toc26081"/>
            <w:bookmarkStart w:id="5000" w:name="_Toc6075"/>
            <w:bookmarkStart w:id="5001" w:name="_Toc4230"/>
            <w:r>
              <w:rPr>
                <w:rFonts w:hint="default" w:ascii="Times New Roman" w:hAnsi="Times New Roman" w:cs="Times New Roman"/>
                <w:color w:val="auto"/>
                <w:sz w:val="21"/>
                <w:szCs w:val="21"/>
                <w:highlight w:val="none"/>
                <w:lang w:val="en-US" w:eastAsia="zh-CN"/>
              </w:rPr>
              <w:t>65.28%</w:t>
            </w:r>
            <w:bookmarkEnd w:id="4999"/>
            <w:bookmarkEnd w:id="5000"/>
            <w:bookmarkEnd w:id="5001"/>
          </w:p>
        </w:tc>
      </w:tr>
      <w:tr w14:paraId="1A2928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19" w:type="pct"/>
            <w:tcBorders>
              <w:tl2br w:val="nil"/>
              <w:tr2bl w:val="nil"/>
            </w:tcBorders>
            <w:noWrap/>
            <w:vAlign w:val="center"/>
          </w:tcPr>
          <w:p w14:paraId="470875BF">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02" w:name="_Toc29824"/>
            <w:bookmarkStart w:id="5003" w:name="_Toc17729"/>
            <w:bookmarkStart w:id="5004" w:name="_Toc18464"/>
            <w:bookmarkStart w:id="5005" w:name="_Toc30667"/>
            <w:bookmarkStart w:id="5006" w:name="_Toc31626"/>
            <w:r>
              <w:rPr>
                <w:rFonts w:hint="default" w:ascii="Times New Roman" w:hAnsi="Times New Roman" w:cs="Times New Roman"/>
                <w:color w:val="auto"/>
                <w:sz w:val="21"/>
                <w:szCs w:val="21"/>
                <w:highlight w:val="none"/>
                <w:lang w:val="en-US" w:eastAsia="zh-CN"/>
              </w:rPr>
              <w:t>3</w:t>
            </w:r>
            <w:bookmarkEnd w:id="5002"/>
            <w:bookmarkEnd w:id="5003"/>
            <w:bookmarkEnd w:id="5004"/>
            <w:bookmarkEnd w:id="5005"/>
            <w:bookmarkEnd w:id="5006"/>
          </w:p>
        </w:tc>
        <w:tc>
          <w:tcPr>
            <w:tcW w:w="900" w:type="pct"/>
            <w:vMerge w:val="continue"/>
            <w:tcBorders>
              <w:tl2br w:val="nil"/>
              <w:tr2bl w:val="nil"/>
            </w:tcBorders>
            <w:noWrap/>
            <w:vAlign w:val="center"/>
          </w:tcPr>
          <w:p w14:paraId="49EF988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65" w:type="pct"/>
            <w:tcBorders>
              <w:tl2br w:val="nil"/>
              <w:tr2bl w:val="nil"/>
            </w:tcBorders>
            <w:noWrap/>
            <w:vAlign w:val="center"/>
          </w:tcPr>
          <w:p w14:paraId="730FF6F6">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07" w:name="_Toc962"/>
            <w:bookmarkStart w:id="5008" w:name="_Toc31424"/>
            <w:bookmarkStart w:id="5009" w:name="_Toc12674"/>
            <w:r>
              <w:rPr>
                <w:rFonts w:hint="eastAsia" w:ascii="Times New Roman" w:hAnsi="Times New Roman" w:cs="Times New Roman"/>
                <w:color w:val="auto"/>
                <w:sz w:val="21"/>
                <w:szCs w:val="21"/>
                <w:highlight w:val="none"/>
                <w:lang w:val="en-US" w:eastAsia="zh-CN"/>
              </w:rPr>
              <w:t>中度侵蚀</w:t>
            </w:r>
            <w:bookmarkEnd w:id="5007"/>
            <w:bookmarkEnd w:id="5008"/>
            <w:bookmarkEnd w:id="5009"/>
          </w:p>
        </w:tc>
        <w:tc>
          <w:tcPr>
            <w:tcW w:w="1228" w:type="pct"/>
            <w:tcBorders>
              <w:tl2br w:val="nil"/>
              <w:tr2bl w:val="nil"/>
            </w:tcBorders>
            <w:noWrap/>
            <w:vAlign w:val="center"/>
          </w:tcPr>
          <w:p w14:paraId="1C47D7D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10" w:name="_Toc13811"/>
            <w:bookmarkStart w:id="5011" w:name="_Toc13429"/>
            <w:bookmarkStart w:id="5012" w:name="_Toc8960"/>
            <w:r>
              <w:rPr>
                <w:rFonts w:hint="eastAsia" w:ascii="Times New Roman" w:hAnsi="Times New Roman" w:cs="Times New Roman"/>
                <w:color w:val="auto"/>
                <w:sz w:val="21"/>
                <w:szCs w:val="21"/>
                <w:highlight w:val="none"/>
                <w:lang w:val="en-US" w:eastAsia="zh-CN"/>
              </w:rPr>
              <w:t>0.09</w:t>
            </w:r>
            <w:bookmarkEnd w:id="5010"/>
            <w:bookmarkEnd w:id="5011"/>
            <w:bookmarkEnd w:id="5012"/>
            <w:r>
              <w:rPr>
                <w:rFonts w:hint="eastAsia" w:ascii="Times New Roman" w:hAnsi="Times New Roman" w:cs="Times New Roman"/>
                <w:color w:val="auto"/>
                <w:sz w:val="21"/>
                <w:szCs w:val="21"/>
                <w:highlight w:val="none"/>
                <w:lang w:val="en-US" w:eastAsia="zh-CN"/>
              </w:rPr>
              <w:t xml:space="preserve"> </w:t>
            </w:r>
          </w:p>
        </w:tc>
        <w:tc>
          <w:tcPr>
            <w:tcW w:w="986" w:type="pct"/>
            <w:tcBorders>
              <w:tl2br w:val="nil"/>
              <w:tr2bl w:val="nil"/>
            </w:tcBorders>
            <w:noWrap/>
            <w:vAlign w:val="center"/>
          </w:tcPr>
          <w:p w14:paraId="15A3D924">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13" w:name="_Toc27396"/>
            <w:bookmarkStart w:id="5014" w:name="_Toc14727"/>
            <w:bookmarkStart w:id="5015" w:name="_Toc22312"/>
            <w:r>
              <w:rPr>
                <w:rFonts w:hint="default" w:ascii="Times New Roman" w:hAnsi="Times New Roman" w:cs="Times New Roman"/>
                <w:color w:val="auto"/>
                <w:sz w:val="21"/>
                <w:szCs w:val="21"/>
                <w:highlight w:val="none"/>
                <w:lang w:val="en-US" w:eastAsia="zh-CN"/>
              </w:rPr>
              <w:t>0.01%</w:t>
            </w:r>
            <w:bookmarkEnd w:id="5013"/>
            <w:bookmarkEnd w:id="5014"/>
            <w:bookmarkEnd w:id="5015"/>
          </w:p>
        </w:tc>
      </w:tr>
      <w:tr w14:paraId="04E010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619" w:type="pct"/>
            <w:tcBorders>
              <w:tl2br w:val="nil"/>
              <w:tr2bl w:val="nil"/>
            </w:tcBorders>
            <w:noWrap/>
            <w:vAlign w:val="center"/>
          </w:tcPr>
          <w:p w14:paraId="0DB58C5F">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16" w:name="_Toc31260"/>
            <w:bookmarkStart w:id="5017" w:name="_Toc26100"/>
            <w:bookmarkStart w:id="5018" w:name="_Toc7136"/>
            <w:bookmarkStart w:id="5019" w:name="_Toc32643"/>
            <w:bookmarkStart w:id="5020" w:name="_Toc9983"/>
            <w:r>
              <w:rPr>
                <w:rFonts w:hint="default" w:ascii="Times New Roman" w:hAnsi="Times New Roman" w:cs="Times New Roman"/>
                <w:color w:val="auto"/>
                <w:sz w:val="21"/>
                <w:szCs w:val="21"/>
                <w:highlight w:val="none"/>
                <w:lang w:val="en-US" w:eastAsia="zh-CN"/>
              </w:rPr>
              <w:t>合计</w:t>
            </w:r>
            <w:bookmarkEnd w:id="5016"/>
            <w:bookmarkEnd w:id="5017"/>
            <w:bookmarkEnd w:id="5018"/>
            <w:bookmarkEnd w:id="5019"/>
            <w:bookmarkEnd w:id="5020"/>
          </w:p>
        </w:tc>
        <w:tc>
          <w:tcPr>
            <w:tcW w:w="900" w:type="pct"/>
            <w:vMerge w:val="continue"/>
            <w:tcBorders>
              <w:tl2br w:val="nil"/>
              <w:tr2bl w:val="nil"/>
            </w:tcBorders>
            <w:noWrap/>
            <w:vAlign w:val="center"/>
          </w:tcPr>
          <w:p w14:paraId="1F0DCA2B">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65" w:type="pct"/>
            <w:tcBorders>
              <w:tl2br w:val="nil"/>
              <w:tr2bl w:val="nil"/>
            </w:tcBorders>
            <w:noWrap/>
            <w:vAlign w:val="center"/>
          </w:tcPr>
          <w:p w14:paraId="2BD64C2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21" w:name="_Toc30513"/>
            <w:bookmarkStart w:id="5022" w:name="_Toc32505"/>
            <w:bookmarkStart w:id="5023" w:name="_Toc12108"/>
            <w:r>
              <w:rPr>
                <w:rFonts w:hint="eastAsia" w:ascii="Times New Roman" w:hAnsi="Times New Roman" w:cs="Times New Roman"/>
                <w:color w:val="auto"/>
                <w:sz w:val="21"/>
                <w:szCs w:val="21"/>
                <w:highlight w:val="none"/>
                <w:lang w:val="en-US" w:eastAsia="zh-CN"/>
              </w:rPr>
              <w:t>总计</w:t>
            </w:r>
            <w:bookmarkEnd w:id="5021"/>
            <w:bookmarkEnd w:id="5022"/>
            <w:bookmarkEnd w:id="5023"/>
          </w:p>
        </w:tc>
        <w:tc>
          <w:tcPr>
            <w:tcW w:w="1228" w:type="pct"/>
            <w:tcBorders>
              <w:tl2br w:val="nil"/>
              <w:tr2bl w:val="nil"/>
            </w:tcBorders>
            <w:noWrap/>
            <w:vAlign w:val="center"/>
          </w:tcPr>
          <w:p w14:paraId="050E9B1A">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24" w:name="_Toc20759"/>
            <w:bookmarkStart w:id="5025" w:name="_Toc23914"/>
            <w:bookmarkStart w:id="5026" w:name="_Toc25500"/>
            <w:r>
              <w:rPr>
                <w:rFonts w:hint="eastAsia" w:ascii="Times New Roman" w:hAnsi="Times New Roman" w:cs="Times New Roman"/>
                <w:color w:val="auto"/>
                <w:sz w:val="21"/>
                <w:szCs w:val="21"/>
                <w:highlight w:val="none"/>
                <w:lang w:val="en-US" w:eastAsia="zh-CN"/>
              </w:rPr>
              <w:t>1475.74</w:t>
            </w:r>
            <w:bookmarkEnd w:id="5024"/>
            <w:bookmarkEnd w:id="5025"/>
            <w:bookmarkEnd w:id="5026"/>
            <w:r>
              <w:rPr>
                <w:rFonts w:hint="eastAsia" w:ascii="Times New Roman" w:hAnsi="Times New Roman" w:cs="Times New Roman"/>
                <w:color w:val="auto"/>
                <w:sz w:val="21"/>
                <w:szCs w:val="21"/>
                <w:highlight w:val="none"/>
                <w:lang w:val="en-US" w:eastAsia="zh-CN"/>
              </w:rPr>
              <w:t xml:space="preserve"> </w:t>
            </w:r>
          </w:p>
        </w:tc>
        <w:tc>
          <w:tcPr>
            <w:tcW w:w="986" w:type="pct"/>
            <w:tcBorders>
              <w:tl2br w:val="nil"/>
              <w:tr2bl w:val="nil"/>
            </w:tcBorders>
            <w:noWrap/>
            <w:vAlign w:val="center"/>
          </w:tcPr>
          <w:p w14:paraId="6A28527D">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5027" w:name="_Toc6252"/>
            <w:bookmarkStart w:id="5028" w:name="_Toc21223"/>
            <w:bookmarkStart w:id="5029" w:name="_Toc12947"/>
            <w:r>
              <w:rPr>
                <w:rFonts w:hint="eastAsia" w:ascii="Times New Roman" w:hAnsi="Times New Roman" w:cs="Times New Roman"/>
                <w:color w:val="auto"/>
                <w:sz w:val="21"/>
                <w:szCs w:val="21"/>
                <w:highlight w:val="none"/>
                <w:lang w:val="en-US" w:eastAsia="zh-CN"/>
              </w:rPr>
              <w:t>100.00%</w:t>
            </w:r>
            <w:bookmarkEnd w:id="5027"/>
            <w:bookmarkEnd w:id="5028"/>
            <w:bookmarkEnd w:id="5029"/>
          </w:p>
        </w:tc>
      </w:tr>
    </w:tbl>
    <w:p w14:paraId="5A547D5C">
      <w:pPr>
        <w:spacing w:line="360" w:lineRule="auto"/>
        <w:ind w:firstLine="240" w:firstLineChars="1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全区土壤侵蚀现状见图</w:t>
      </w:r>
      <w:r>
        <w:rPr>
          <w:rFonts w:hint="default" w:ascii="Times New Roman" w:hAnsi="Times New Roman" w:cs="Times New Roman"/>
          <w:color w:val="auto"/>
          <w:sz w:val="24"/>
          <w:szCs w:val="24"/>
          <w:highlight w:val="none"/>
          <w:lang w:val="en-US" w:eastAsia="zh-CN"/>
        </w:rPr>
        <w:t>5.6-4</w:t>
      </w:r>
      <w:r>
        <w:rPr>
          <w:rFonts w:hint="default" w:ascii="Times New Roman" w:hAnsi="Times New Roman" w:eastAsia="宋体" w:cs="Times New Roman"/>
          <w:color w:val="auto"/>
          <w:sz w:val="24"/>
          <w:szCs w:val="24"/>
          <w:highlight w:val="none"/>
        </w:rPr>
        <w:t>。</w:t>
      </w:r>
    </w:p>
    <w:p w14:paraId="700AAA1F">
      <w:pPr>
        <w:spacing w:line="360" w:lineRule="auto"/>
        <w:ind w:left="0" w:leftChars="0" w:firstLine="0" w:firstLineChars="0"/>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drawing>
          <wp:inline distT="0" distB="0" distL="114300" distR="114300">
            <wp:extent cx="5445125" cy="4018280"/>
            <wp:effectExtent l="0" t="0" r="3175" b="1270"/>
            <wp:docPr id="8" name="图片 5" descr="5bd5bda81d4e107f4c6bc0d9e132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bd5bda81d4e107f4c6bc0d9e132ecd"/>
                    <pic:cNvPicPr>
                      <a:picLocks noChangeAspect="1"/>
                    </pic:cNvPicPr>
                  </pic:nvPicPr>
                  <pic:blipFill>
                    <a:blip r:embed="rId69"/>
                    <a:stretch>
                      <a:fillRect/>
                    </a:stretch>
                  </pic:blipFill>
                  <pic:spPr>
                    <a:xfrm>
                      <a:off x="0" y="0"/>
                      <a:ext cx="5445125" cy="4018280"/>
                    </a:xfrm>
                    <a:prstGeom prst="rect">
                      <a:avLst/>
                    </a:prstGeom>
                    <a:noFill/>
                    <a:ln>
                      <a:noFill/>
                    </a:ln>
                  </pic:spPr>
                </pic:pic>
              </a:graphicData>
            </a:graphic>
          </wp:inline>
        </w:drawing>
      </w:r>
    </w:p>
    <w:p w14:paraId="3B6C8F8B">
      <w:pPr>
        <w:adjustRightInd w:val="0"/>
        <w:snapToGrid w:val="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图</w:t>
      </w:r>
      <w:r>
        <w:rPr>
          <w:rFonts w:hint="default" w:ascii="Times New Roman" w:hAnsi="Times New Roman" w:cs="Times New Roman"/>
          <w:b/>
          <w:color w:val="auto"/>
          <w:sz w:val="24"/>
          <w:szCs w:val="24"/>
          <w:highlight w:val="none"/>
          <w:lang w:val="en-US" w:eastAsia="zh-CN"/>
        </w:rPr>
        <w:t>5.6</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cs="Times New Roman"/>
          <w:b/>
          <w:color w:val="auto"/>
          <w:sz w:val="24"/>
          <w:szCs w:val="24"/>
          <w:highlight w:val="none"/>
          <w:lang w:val="en-US" w:eastAsia="zh-CN"/>
        </w:rPr>
        <w:t xml:space="preserve">4 </w:t>
      </w:r>
      <w:r>
        <w:rPr>
          <w:rFonts w:hint="default" w:ascii="Times New Roman" w:hAnsi="Times New Roman" w:eastAsia="宋体" w:cs="Times New Roman"/>
          <w:b/>
          <w:color w:val="auto"/>
          <w:sz w:val="24"/>
          <w:szCs w:val="24"/>
          <w:highlight w:val="none"/>
        </w:rPr>
        <w:t>全区土壤侵蚀现状图</w:t>
      </w:r>
    </w:p>
    <w:p w14:paraId="19E73FD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区域土壤侵蚀类型以水力侵蚀为主，总面积为1475.74公顷。其中，微度侵蚀占比最高，达65.28%，面积963.40公顷；轻度侵蚀次之，占比34.71%，面积512.24公顷；中度侵蚀占比极低，仅0.01%，面积仅0.09公顷。整体来看，区域土壤侵蚀强度以微度、轻度为主，侵蚀程度相对较轻，生态状况较为稳定。</w:t>
      </w:r>
    </w:p>
    <w:p w14:paraId="52861BEF">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建成后，施工临时占地区通过植被恢复措施和工程防护措施，土壤侵蚀</w:t>
      </w:r>
      <w:r>
        <w:rPr>
          <w:rFonts w:hint="default" w:ascii="Times New Roman" w:hAnsi="Times New Roman" w:cs="Times New Roman"/>
          <w:color w:val="auto"/>
          <w:sz w:val="24"/>
          <w:szCs w:val="24"/>
          <w:highlight w:val="none"/>
          <w:lang w:val="en-US" w:eastAsia="zh-CN"/>
        </w:rPr>
        <w:t>将逐步得到改善</w:t>
      </w:r>
      <w:r>
        <w:rPr>
          <w:rFonts w:hint="default" w:ascii="Times New Roman" w:hAnsi="Times New Roman" w:cs="Times New Roman"/>
          <w:color w:val="auto"/>
          <w:sz w:val="24"/>
          <w:szCs w:val="24"/>
          <w:highlight w:val="none"/>
        </w:rPr>
        <w:t>；工程施工期不可避免</w:t>
      </w:r>
      <w:r>
        <w:rPr>
          <w:rFonts w:hint="eastAsia" w:cs="Times New Roman"/>
          <w:color w:val="auto"/>
          <w:sz w:val="24"/>
          <w:szCs w:val="24"/>
          <w:highlight w:val="none"/>
          <w:lang w:eastAsia="zh-CN"/>
        </w:rPr>
        <w:t>地</w:t>
      </w:r>
      <w:r>
        <w:rPr>
          <w:rFonts w:hint="default" w:ascii="Times New Roman" w:hAnsi="Times New Roman" w:cs="Times New Roman"/>
          <w:color w:val="auto"/>
          <w:sz w:val="24"/>
          <w:szCs w:val="24"/>
          <w:highlight w:val="none"/>
          <w:lang w:val="en-US" w:eastAsia="zh-CN"/>
        </w:rPr>
        <w:t>在</w:t>
      </w:r>
      <w:r>
        <w:rPr>
          <w:rFonts w:hint="eastAsia" w:cs="Times New Roman"/>
          <w:color w:val="auto"/>
          <w:sz w:val="24"/>
          <w:szCs w:val="24"/>
          <w:highlight w:val="none"/>
          <w:lang w:val="en-US" w:eastAsia="zh-CN"/>
        </w:rPr>
        <w:t>土方开挖</w:t>
      </w:r>
      <w:r>
        <w:rPr>
          <w:rFonts w:hint="default" w:ascii="Times New Roman" w:hAnsi="Times New Roman" w:cs="Times New Roman"/>
          <w:color w:val="auto"/>
          <w:sz w:val="24"/>
          <w:szCs w:val="24"/>
          <w:highlight w:val="none"/>
          <w:lang w:val="en-US" w:eastAsia="zh-CN"/>
        </w:rPr>
        <w:t>过程中</w:t>
      </w:r>
      <w:r>
        <w:rPr>
          <w:rFonts w:hint="default" w:ascii="Times New Roman" w:hAnsi="Times New Roman" w:cs="Times New Roman"/>
          <w:color w:val="auto"/>
          <w:sz w:val="24"/>
          <w:szCs w:val="24"/>
          <w:highlight w:val="none"/>
        </w:rPr>
        <w:t>会加剧土壤扰动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一定程度上增加土壤</w:t>
      </w:r>
      <w:r>
        <w:rPr>
          <w:rFonts w:hint="default" w:ascii="Times New Roman" w:hAnsi="Times New Roman" w:cs="Times New Roman"/>
          <w:color w:val="auto"/>
          <w:sz w:val="24"/>
          <w:szCs w:val="24"/>
          <w:highlight w:val="none"/>
        </w:rPr>
        <w:t>侵蚀强度。由于</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影响范围仅限于</w:t>
      </w:r>
      <w:r>
        <w:rPr>
          <w:rFonts w:hint="eastAsia" w:cs="Times New Roman"/>
          <w:color w:val="auto"/>
          <w:sz w:val="24"/>
          <w:szCs w:val="24"/>
          <w:highlight w:val="none"/>
          <w:lang w:eastAsia="zh-CN"/>
        </w:rPr>
        <w:t>河道</w:t>
      </w:r>
      <w:r>
        <w:rPr>
          <w:rFonts w:hint="default" w:ascii="Times New Roman" w:hAnsi="Times New Roman" w:cs="Times New Roman"/>
          <w:color w:val="auto"/>
          <w:sz w:val="24"/>
          <w:szCs w:val="24"/>
          <w:highlight w:val="none"/>
          <w:lang w:val="en-US" w:eastAsia="zh-CN"/>
        </w:rPr>
        <w:t>沿线土方开挖</w:t>
      </w:r>
      <w:r>
        <w:rPr>
          <w:rFonts w:hint="default" w:ascii="Times New Roman" w:hAnsi="Times New Roman" w:cs="Times New Roman"/>
          <w:color w:val="auto"/>
          <w:sz w:val="24"/>
          <w:szCs w:val="24"/>
          <w:highlight w:val="none"/>
        </w:rPr>
        <w:t>，影响面积较小，施工期注意不要在大风和降雨天气下施工，并注意施工机械行车路线，对开挖堆放的土方采取苫盖、挡墙防护措施，及时分层回填土方，</w:t>
      </w:r>
      <w:r>
        <w:rPr>
          <w:rFonts w:hint="eastAsia" w:cs="Times New Roman"/>
          <w:color w:val="auto"/>
          <w:sz w:val="24"/>
          <w:szCs w:val="24"/>
          <w:highlight w:val="none"/>
          <w:lang w:eastAsia="zh-CN"/>
        </w:rPr>
        <w:t>减少</w:t>
      </w:r>
      <w:r>
        <w:rPr>
          <w:rFonts w:hint="default" w:ascii="Times New Roman" w:hAnsi="Times New Roman" w:cs="Times New Roman"/>
          <w:color w:val="auto"/>
          <w:sz w:val="24"/>
          <w:szCs w:val="24"/>
          <w:highlight w:val="none"/>
        </w:rPr>
        <w:t>堆土时间，可有效减免施工带来的土壤侵蚀影响。</w:t>
      </w:r>
    </w:p>
    <w:p w14:paraId="165099D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工程施工结束后，工程永久占地面积较小，且已硬化，使土壤侵蚀强度降低，对于临时占地区，注意及时进行植被恢复和定期洒水，待植被恢复后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塔基周边的土壤侵蚀</w:t>
      </w:r>
      <w:r>
        <w:rPr>
          <w:rFonts w:hint="default" w:ascii="Times New Roman" w:hAnsi="Times New Roman" w:cs="Times New Roman"/>
          <w:color w:val="auto"/>
          <w:sz w:val="24"/>
          <w:szCs w:val="24"/>
          <w:highlight w:val="none"/>
          <w:lang w:val="en-US" w:eastAsia="zh-CN"/>
        </w:rPr>
        <w:t>强度将恢复至原地貌土壤侵蚀强度</w:t>
      </w:r>
      <w:r>
        <w:rPr>
          <w:rFonts w:hint="default" w:ascii="Times New Roman" w:hAnsi="Times New Roman" w:cs="Times New Roman"/>
          <w:color w:val="auto"/>
          <w:sz w:val="24"/>
          <w:szCs w:val="24"/>
          <w:highlight w:val="none"/>
        </w:rPr>
        <w:t>。</w:t>
      </w:r>
    </w:p>
    <w:p w14:paraId="0253839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土壤侵蚀为</w:t>
      </w:r>
      <w:r>
        <w:rPr>
          <w:rFonts w:hint="default" w:ascii="Times New Roman" w:hAnsi="Times New Roman" w:cs="Times New Roman"/>
          <w:color w:val="auto"/>
          <w:sz w:val="24"/>
          <w:szCs w:val="24"/>
          <w:highlight w:val="none"/>
          <w:lang w:val="en-US" w:eastAsia="zh-CN"/>
        </w:rPr>
        <w:t>水力侵蚀，侵蚀强度为微</w:t>
      </w:r>
      <w:r>
        <w:rPr>
          <w:rFonts w:hint="default" w:ascii="Times New Roman" w:hAnsi="Times New Roman" w:cs="Times New Roman"/>
          <w:color w:val="auto"/>
          <w:sz w:val="24"/>
          <w:szCs w:val="24"/>
          <w:highlight w:val="none"/>
        </w:rPr>
        <w:t>度，工程施工时</w:t>
      </w:r>
      <w:r>
        <w:rPr>
          <w:rFonts w:hint="default" w:ascii="Times New Roman" w:hAnsi="Times New Roman" w:cs="Times New Roman"/>
          <w:color w:val="auto"/>
          <w:sz w:val="24"/>
          <w:szCs w:val="24"/>
          <w:highlight w:val="none"/>
          <w:lang w:val="en-US" w:eastAsia="zh-CN"/>
        </w:rPr>
        <w:t>严格</w:t>
      </w:r>
      <w:r>
        <w:rPr>
          <w:rFonts w:hint="eastAsia" w:cs="Times New Roman"/>
          <w:color w:val="auto"/>
          <w:sz w:val="24"/>
          <w:szCs w:val="24"/>
          <w:highlight w:val="none"/>
          <w:lang w:val="en-US" w:eastAsia="zh-CN"/>
        </w:rPr>
        <w:t>采取</w:t>
      </w:r>
      <w:r>
        <w:rPr>
          <w:rFonts w:hint="default" w:ascii="Times New Roman" w:hAnsi="Times New Roman" w:cs="Times New Roman"/>
          <w:color w:val="auto"/>
          <w:sz w:val="24"/>
          <w:szCs w:val="24"/>
          <w:highlight w:val="none"/>
        </w:rPr>
        <w:t>上述措施</w:t>
      </w:r>
      <w:r>
        <w:rPr>
          <w:rFonts w:hint="default" w:ascii="Times New Roman" w:hAnsi="Times New Roman" w:cs="Times New Roman"/>
          <w:color w:val="auto"/>
          <w:sz w:val="24"/>
          <w:szCs w:val="24"/>
          <w:highlight w:val="none"/>
          <w:lang w:val="en-US" w:eastAsia="zh-CN"/>
        </w:rPr>
        <w:t>后</w:t>
      </w:r>
      <w:r>
        <w:rPr>
          <w:rFonts w:hint="default" w:ascii="Times New Roman" w:hAnsi="Times New Roman" w:cs="Times New Roman"/>
          <w:color w:val="auto"/>
          <w:sz w:val="24"/>
          <w:szCs w:val="24"/>
          <w:highlight w:val="none"/>
        </w:rPr>
        <w:t>，施工对土壤侵蚀的影响属可接受水平。</w:t>
      </w:r>
    </w:p>
    <w:p w14:paraId="715A735A">
      <w:pPr>
        <w:pStyle w:val="8"/>
        <w:bidi w:val="0"/>
        <w:ind w:left="0" w:leftChars="0" w:firstLine="0" w:firstLineChars="0"/>
        <w:outlineLvl w:val="4"/>
        <w:rPr>
          <w:rFonts w:hint="default" w:ascii="Times New Roman" w:hAnsi="Times New Roman" w:cs="Times New Roman"/>
          <w:b/>
          <w:bCs w:val="0"/>
          <w:color w:val="auto"/>
          <w:sz w:val="24"/>
          <w:szCs w:val="24"/>
          <w:highlight w:val="none"/>
          <w:lang w:val="en-US" w:eastAsia="zh-CN"/>
        </w:rPr>
      </w:pPr>
      <w:bookmarkStart w:id="5030" w:name="_Toc393099928"/>
      <w:bookmarkStart w:id="5031" w:name="_Toc477336648"/>
      <w:bookmarkStart w:id="5032" w:name="_Toc2580"/>
      <w:bookmarkStart w:id="5033" w:name="_Toc395184662"/>
      <w:bookmarkStart w:id="5034" w:name="_Toc19930"/>
      <w:bookmarkStart w:id="5035" w:name="_Toc392049526"/>
      <w:bookmarkStart w:id="5036" w:name="_Toc23680"/>
      <w:bookmarkStart w:id="5037" w:name="_Toc478487203"/>
      <w:bookmarkStart w:id="5038" w:name="_Toc109767249"/>
      <w:bookmarkStart w:id="5039" w:name="_Toc15595"/>
      <w:bookmarkStart w:id="5040" w:name="_Toc466908997"/>
      <w:bookmarkStart w:id="5041" w:name="_Toc392050755"/>
      <w:r>
        <w:rPr>
          <w:rFonts w:hint="default" w:ascii="Times New Roman" w:hAnsi="Times New Roman" w:cs="Times New Roman"/>
          <w:b/>
          <w:bCs w:val="0"/>
          <w:color w:val="auto"/>
          <w:sz w:val="24"/>
          <w:szCs w:val="24"/>
          <w:highlight w:val="none"/>
          <w:lang w:val="en-US" w:eastAsia="zh-CN"/>
        </w:rPr>
        <w:t>5.6.1.7.4生态环境状况指数</w:t>
      </w:r>
      <w:bookmarkEnd w:id="5030"/>
      <w:bookmarkEnd w:id="5031"/>
      <w:bookmarkEnd w:id="5032"/>
      <w:bookmarkEnd w:id="5033"/>
      <w:bookmarkEnd w:id="5034"/>
      <w:bookmarkEnd w:id="5035"/>
      <w:bookmarkEnd w:id="5036"/>
      <w:bookmarkEnd w:id="5037"/>
      <w:bookmarkEnd w:id="5038"/>
      <w:bookmarkEnd w:id="5039"/>
      <w:bookmarkEnd w:id="5040"/>
      <w:bookmarkEnd w:id="5041"/>
    </w:p>
    <w:p w14:paraId="351D7304">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由于评价区面积较小，地理位置在</w:t>
      </w:r>
      <w:r>
        <w:rPr>
          <w:rFonts w:hint="eastAsia" w:cs="Times New Roman"/>
          <w:color w:val="auto"/>
          <w:sz w:val="24"/>
          <w:highlight w:val="none"/>
          <w:lang w:eastAsia="zh-CN"/>
        </w:rPr>
        <w:t>固原</w:t>
      </w:r>
      <w:r>
        <w:rPr>
          <w:rFonts w:hint="eastAsia" w:cs="Times New Roman"/>
          <w:color w:val="auto"/>
          <w:sz w:val="24"/>
          <w:highlight w:val="none"/>
          <w:lang w:val="en-US" w:eastAsia="zh-CN"/>
        </w:rPr>
        <w:t>市彭阳县</w:t>
      </w:r>
      <w:r>
        <w:rPr>
          <w:rFonts w:hint="default" w:ascii="Times New Roman" w:hAnsi="Times New Roman" w:cs="Times New Roman"/>
          <w:color w:val="auto"/>
          <w:sz w:val="24"/>
          <w:highlight w:val="none"/>
        </w:rPr>
        <w:t>，因此评价区的生态环境</w:t>
      </w:r>
      <w:r>
        <w:rPr>
          <w:rFonts w:hint="eastAsia" w:ascii="Times New Roman" w:hAnsi="Times New Roman" w:cs="Times New Roman"/>
          <w:color w:val="auto"/>
          <w:sz w:val="24"/>
          <w:highlight w:val="none"/>
          <w:lang w:eastAsia="zh-CN"/>
        </w:rPr>
        <w:t>质量</w:t>
      </w:r>
      <w:r>
        <w:rPr>
          <w:rFonts w:hint="default" w:ascii="Times New Roman" w:hAnsi="Times New Roman" w:cs="Times New Roman"/>
          <w:color w:val="auto"/>
          <w:sz w:val="24"/>
          <w:highlight w:val="none"/>
        </w:rPr>
        <w:t>参考</w:t>
      </w:r>
      <w:r>
        <w:rPr>
          <w:rFonts w:hint="eastAsia" w:cs="Times New Roman"/>
          <w:color w:val="auto"/>
          <w:sz w:val="24"/>
          <w:highlight w:val="none"/>
          <w:lang w:eastAsia="zh-CN"/>
        </w:rPr>
        <w:t>固原</w:t>
      </w:r>
      <w:r>
        <w:rPr>
          <w:rFonts w:hint="eastAsia" w:cs="Times New Roman"/>
          <w:color w:val="auto"/>
          <w:sz w:val="24"/>
          <w:highlight w:val="none"/>
          <w:lang w:val="en-US" w:eastAsia="zh-CN"/>
        </w:rPr>
        <w:t>市</w:t>
      </w:r>
      <w:r>
        <w:rPr>
          <w:rFonts w:hint="default" w:ascii="Times New Roman" w:hAnsi="Times New Roman" w:cs="Times New Roman"/>
          <w:color w:val="auto"/>
          <w:sz w:val="24"/>
          <w:highlight w:val="none"/>
        </w:rPr>
        <w:t>生态环境</w:t>
      </w:r>
      <w:r>
        <w:rPr>
          <w:rFonts w:hint="eastAsia" w:ascii="Times New Roman" w:hAnsi="Times New Roman" w:cs="Times New Roman"/>
          <w:color w:val="auto"/>
          <w:sz w:val="24"/>
          <w:highlight w:val="none"/>
          <w:lang w:eastAsia="zh-CN"/>
        </w:rPr>
        <w:t>质量，</w:t>
      </w:r>
      <w:r>
        <w:rPr>
          <w:rFonts w:hint="eastAsia" w:cs="Times New Roman"/>
          <w:color w:val="auto"/>
          <w:sz w:val="24"/>
          <w:highlight w:val="none"/>
          <w:lang w:eastAsia="zh-CN"/>
        </w:rPr>
        <w:t>依据</w:t>
      </w:r>
      <w:r>
        <w:rPr>
          <w:rFonts w:hint="default" w:ascii="Times New Roman" w:hAnsi="Times New Roman" w:cs="Times New Roman"/>
          <w:color w:val="auto"/>
          <w:sz w:val="24"/>
          <w:highlight w:val="none"/>
        </w:rPr>
        <w:t>《区域生态质量评价办法</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试行</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》（环监测〔2021〕99号）</w:t>
      </w:r>
      <w:r>
        <w:rPr>
          <w:rFonts w:hint="eastAsia" w:cs="Times New Roman"/>
          <w:color w:val="auto"/>
          <w:sz w:val="24"/>
          <w:highlight w:val="none"/>
          <w:lang w:eastAsia="zh-CN"/>
        </w:rPr>
        <w:t>对评级区的生态环境质量进行评价</w:t>
      </w:r>
      <w:r>
        <w:rPr>
          <w:rFonts w:hint="default" w:ascii="Times New Roman" w:hAnsi="Times New Roman" w:cs="Times New Roman"/>
          <w:color w:val="auto"/>
          <w:sz w:val="24"/>
          <w:highlight w:val="none"/>
        </w:rPr>
        <w:t>。</w:t>
      </w:r>
    </w:p>
    <w:p w14:paraId="18A11092">
      <w:pPr>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生态质量指数</w:t>
      </w:r>
      <w:r>
        <w:rPr>
          <w:rFonts w:hint="eastAsia" w:cs="Times New Roman"/>
          <w:color w:val="auto"/>
          <w:sz w:val="24"/>
          <w:highlight w:val="none"/>
          <w:lang w:eastAsia="zh-CN"/>
        </w:rPr>
        <w:t>（</w:t>
      </w:r>
      <w:r>
        <w:rPr>
          <w:rFonts w:hint="eastAsia" w:cs="Times New Roman"/>
          <w:color w:val="auto"/>
          <w:sz w:val="24"/>
          <w:highlight w:val="none"/>
          <w:lang w:val="en-US" w:eastAsia="zh-CN"/>
        </w:rPr>
        <w:t>EQI</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=0.36×生态格局+0.35×生态功能+0.19×生物多样性+0.10×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100−生态胁迫</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w:t>
      </w:r>
    </w:p>
    <w:p w14:paraId="36F8A281">
      <w:pPr>
        <w:bidi w:val="0"/>
        <w:ind w:firstLine="480" w:firstLineChars="200"/>
        <w:rPr>
          <w:b w:val="0"/>
          <w:bCs w:val="0"/>
          <w:color w:val="auto"/>
          <w:highlight w:val="none"/>
        </w:rPr>
      </w:pPr>
      <w:r>
        <w:rPr>
          <w:rFonts w:hint="eastAsia"/>
          <w:b w:val="0"/>
          <w:bCs w:val="0"/>
          <w:color w:val="auto"/>
          <w:highlight w:val="none"/>
          <w:lang w:val="en-US" w:eastAsia="zh-CN"/>
        </w:rPr>
        <w:t>（2）</w:t>
      </w:r>
      <w:r>
        <w:rPr>
          <w:b w:val="0"/>
          <w:bCs w:val="0"/>
          <w:color w:val="auto"/>
          <w:highlight w:val="none"/>
        </w:rPr>
        <w:t>生态质量分类</w:t>
      </w:r>
      <w:r>
        <w:rPr>
          <w:rFonts w:hint="eastAsia"/>
          <w:b w:val="0"/>
          <w:bCs w:val="0"/>
          <w:color w:val="auto"/>
          <w:highlight w:val="none"/>
          <w:lang w:val="en-US" w:eastAsia="zh-CN"/>
        </w:rPr>
        <w:t xml:space="preserve"> </w:t>
      </w:r>
      <w:r>
        <w:rPr>
          <w:b w:val="0"/>
          <w:bCs w:val="0"/>
          <w:color w:val="auto"/>
          <w:highlight w:val="none"/>
        </w:rPr>
        <w:t>根据生态质量指数值，将生态质量类型分为五类，即一类、二类、三类、四类和五类，具体见表</w:t>
      </w:r>
      <w:r>
        <w:rPr>
          <w:rFonts w:hint="eastAsia"/>
          <w:b w:val="0"/>
          <w:bCs w:val="0"/>
          <w:color w:val="auto"/>
          <w:highlight w:val="none"/>
          <w:lang w:val="en-US" w:eastAsia="zh-CN"/>
        </w:rPr>
        <w:t>5.6-15</w:t>
      </w:r>
      <w:r>
        <w:rPr>
          <w:b w:val="0"/>
          <w:bCs w:val="0"/>
          <w:color w:val="auto"/>
          <w:highlight w:val="none"/>
        </w:rPr>
        <w:t>。</w:t>
      </w:r>
    </w:p>
    <w:p w14:paraId="03D52A63">
      <w:pPr>
        <w:pStyle w:val="66"/>
        <w:spacing w:before="120" w:beforeLines="50"/>
        <w:ind w:firstLine="482" w:firstLineChars="200"/>
        <w:jc w:val="both"/>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表</w:t>
      </w:r>
      <w:r>
        <w:rPr>
          <w:rFonts w:hint="eastAsia" w:ascii="Times New Roman" w:hAnsi="Times New Roman" w:cs="Times New Roman"/>
          <w:color w:val="auto"/>
          <w:sz w:val="24"/>
          <w:highlight w:val="none"/>
          <w:lang w:val="en-US" w:eastAsia="zh-CN"/>
        </w:rPr>
        <w:t xml:space="preserve">5.6-15          </w:t>
      </w:r>
      <w:r>
        <w:rPr>
          <w:rFonts w:hint="default" w:ascii="Times New Roman" w:hAnsi="Times New Roman" w:cs="Times New Roman"/>
          <w:color w:val="auto"/>
          <w:sz w:val="24"/>
          <w:highlight w:val="none"/>
        </w:rPr>
        <w:t xml:space="preserve">  生态</w:t>
      </w:r>
      <w:r>
        <w:rPr>
          <w:rFonts w:hint="eastAsia" w:ascii="Times New Roman" w:hAnsi="Times New Roman" w:cs="Times New Roman"/>
          <w:color w:val="auto"/>
          <w:sz w:val="24"/>
          <w:highlight w:val="none"/>
          <w:lang w:eastAsia="zh-CN"/>
        </w:rPr>
        <w:t>质量分类</w:t>
      </w:r>
    </w:p>
    <w:tbl>
      <w:tblPr>
        <w:tblStyle w:val="31"/>
        <w:tblW w:w="0" w:type="auto"/>
        <w:tblInd w:w="-376"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0"/>
        <w:gridCol w:w="1611"/>
        <w:gridCol w:w="1540"/>
        <w:gridCol w:w="2199"/>
        <w:gridCol w:w="1539"/>
        <w:gridCol w:w="1540"/>
      </w:tblGrid>
      <w:tr w14:paraId="5ED5BA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750" w:type="dxa"/>
            <w:tcBorders>
              <w:top w:val="single" w:color="auto" w:sz="12" w:space="0"/>
              <w:left w:val="nil"/>
              <w:bottom w:val="single" w:color="auto" w:sz="6" w:space="0"/>
              <w:right w:val="single" w:color="auto" w:sz="6" w:space="0"/>
              <w:tl2br w:val="nil"/>
              <w:tr2bl w:val="nil"/>
            </w:tcBorders>
            <w:noWrap w:val="0"/>
            <w:vAlign w:val="center"/>
          </w:tcPr>
          <w:p w14:paraId="126E26D5">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级别</w:t>
            </w:r>
          </w:p>
        </w:tc>
        <w:tc>
          <w:tcPr>
            <w:tcW w:w="1611" w:type="dxa"/>
            <w:tcBorders>
              <w:top w:val="single" w:color="auto" w:sz="12" w:space="0"/>
              <w:left w:val="single" w:color="auto" w:sz="6" w:space="0"/>
              <w:bottom w:val="single" w:color="auto" w:sz="6" w:space="0"/>
              <w:right w:val="single" w:color="auto" w:sz="6" w:space="0"/>
              <w:tl2br w:val="nil"/>
              <w:tr2bl w:val="nil"/>
            </w:tcBorders>
            <w:noWrap w:val="0"/>
            <w:vAlign w:val="center"/>
          </w:tcPr>
          <w:p w14:paraId="601B8FCE">
            <w:pPr>
              <w:pStyle w:val="66"/>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一类</w:t>
            </w:r>
          </w:p>
        </w:tc>
        <w:tc>
          <w:tcPr>
            <w:tcW w:w="1540" w:type="dxa"/>
            <w:tcBorders>
              <w:top w:val="single" w:color="auto" w:sz="12" w:space="0"/>
              <w:left w:val="single" w:color="auto" w:sz="6" w:space="0"/>
              <w:bottom w:val="single" w:color="auto" w:sz="6" w:space="0"/>
              <w:right w:val="single" w:color="auto" w:sz="6" w:space="0"/>
              <w:tl2br w:val="nil"/>
              <w:tr2bl w:val="nil"/>
            </w:tcBorders>
            <w:noWrap w:val="0"/>
            <w:vAlign w:val="center"/>
          </w:tcPr>
          <w:p w14:paraId="78CAE3CD">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二类</w:t>
            </w:r>
          </w:p>
        </w:tc>
        <w:tc>
          <w:tcPr>
            <w:tcW w:w="2199" w:type="dxa"/>
            <w:tcBorders>
              <w:top w:val="single" w:color="auto" w:sz="12" w:space="0"/>
              <w:left w:val="single" w:color="auto" w:sz="6" w:space="0"/>
              <w:bottom w:val="single" w:color="auto" w:sz="6" w:space="0"/>
              <w:right w:val="single" w:color="auto" w:sz="6" w:space="0"/>
              <w:tl2br w:val="nil"/>
              <w:tr2bl w:val="nil"/>
            </w:tcBorders>
            <w:noWrap w:val="0"/>
            <w:vAlign w:val="center"/>
          </w:tcPr>
          <w:p w14:paraId="78560CFF">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三类</w:t>
            </w:r>
          </w:p>
        </w:tc>
        <w:tc>
          <w:tcPr>
            <w:tcW w:w="1539" w:type="dxa"/>
            <w:tcBorders>
              <w:top w:val="single" w:color="auto" w:sz="12" w:space="0"/>
              <w:left w:val="single" w:color="auto" w:sz="6" w:space="0"/>
              <w:bottom w:val="single" w:color="auto" w:sz="6" w:space="0"/>
              <w:right w:val="single" w:color="auto" w:sz="6" w:space="0"/>
              <w:tl2br w:val="nil"/>
              <w:tr2bl w:val="nil"/>
            </w:tcBorders>
            <w:noWrap w:val="0"/>
            <w:vAlign w:val="center"/>
          </w:tcPr>
          <w:p w14:paraId="00090C55">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四类</w:t>
            </w:r>
          </w:p>
        </w:tc>
        <w:tc>
          <w:tcPr>
            <w:tcW w:w="1540" w:type="dxa"/>
            <w:tcBorders>
              <w:top w:val="single" w:color="auto" w:sz="12" w:space="0"/>
              <w:left w:val="single" w:color="auto" w:sz="6" w:space="0"/>
              <w:bottom w:val="single" w:color="auto" w:sz="6" w:space="0"/>
              <w:right w:val="nil"/>
              <w:tl2br w:val="nil"/>
              <w:tr2bl w:val="nil"/>
            </w:tcBorders>
            <w:noWrap w:val="0"/>
            <w:vAlign w:val="center"/>
          </w:tcPr>
          <w:p w14:paraId="08B0FBE6">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五类</w:t>
            </w:r>
          </w:p>
        </w:tc>
      </w:tr>
      <w:tr w14:paraId="57ABD1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750" w:type="dxa"/>
            <w:tcBorders>
              <w:top w:val="single" w:color="auto" w:sz="6" w:space="0"/>
              <w:left w:val="nil"/>
              <w:bottom w:val="single" w:color="auto" w:sz="6" w:space="0"/>
              <w:right w:val="single" w:color="auto" w:sz="6" w:space="0"/>
              <w:tl2br w:val="nil"/>
              <w:tr2bl w:val="nil"/>
            </w:tcBorders>
            <w:noWrap w:val="0"/>
            <w:vAlign w:val="center"/>
          </w:tcPr>
          <w:p w14:paraId="41CBA31F">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指数</w:t>
            </w:r>
          </w:p>
        </w:tc>
        <w:tc>
          <w:tcPr>
            <w:tcW w:w="161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BA9FE4">
            <w:pPr>
              <w:pStyle w:val="66"/>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szCs w:val="21"/>
                <w:highlight w:val="none"/>
                <w:lang w:eastAsia="zh-CN"/>
              </w:rPr>
            </w:pPr>
            <w:r>
              <w:rPr>
                <w:rFonts w:hint="eastAsia" w:cs="Times New Roman"/>
                <w:color w:val="auto"/>
                <w:sz w:val="24"/>
                <w:highlight w:val="none"/>
                <w:lang w:val="en-US" w:eastAsia="zh-CN"/>
              </w:rPr>
              <w:t>EQI</w:t>
            </w:r>
            <w:r>
              <w:rPr>
                <w:rFonts w:hint="default" w:ascii="Times New Roman" w:hAnsi="Times New Roman" w:cs="Times New Roman"/>
                <w:color w:val="auto"/>
                <w:szCs w:val="21"/>
                <w:highlight w:val="none"/>
              </w:rPr>
              <w:t>≥7</w:t>
            </w:r>
            <w:r>
              <w:rPr>
                <w:rFonts w:hint="eastAsia" w:ascii="Times New Roman" w:hAnsi="Times New Roman" w:cs="Times New Roman"/>
                <w:color w:val="auto"/>
                <w:szCs w:val="21"/>
                <w:highlight w:val="none"/>
                <w:lang w:val="en-US" w:eastAsia="zh-CN"/>
              </w:rPr>
              <w:t>0</w:t>
            </w:r>
          </w:p>
        </w:tc>
        <w:tc>
          <w:tcPr>
            <w:tcW w:w="1540"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2854679">
            <w:pPr>
              <w:pStyle w:val="66"/>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55≤</w:t>
            </w:r>
            <w:r>
              <w:rPr>
                <w:rFonts w:hint="eastAsia" w:cs="Times New Roman"/>
                <w:color w:val="auto"/>
                <w:sz w:val="24"/>
                <w:highlight w:val="none"/>
                <w:lang w:val="en-US" w:eastAsia="zh-CN"/>
              </w:rPr>
              <w:t>EQI</w:t>
            </w:r>
            <w:r>
              <w:rPr>
                <w:rFonts w:hint="default" w:ascii="Times New Roman" w:hAnsi="Times New Roman" w:cs="Times New Roman"/>
                <w:color w:val="auto"/>
                <w:szCs w:val="21"/>
                <w:highlight w:val="none"/>
              </w:rPr>
              <w:t>＜7</w:t>
            </w:r>
            <w:r>
              <w:rPr>
                <w:rFonts w:hint="eastAsia" w:ascii="Times New Roman" w:hAnsi="Times New Roman" w:cs="Times New Roman"/>
                <w:color w:val="auto"/>
                <w:szCs w:val="21"/>
                <w:highlight w:val="none"/>
                <w:lang w:val="en-US" w:eastAsia="zh-CN"/>
              </w:rPr>
              <w:t>0</w:t>
            </w:r>
          </w:p>
        </w:tc>
        <w:tc>
          <w:tcPr>
            <w:tcW w:w="219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79EB648">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40</w:t>
            </w:r>
            <w:r>
              <w:rPr>
                <w:rFonts w:hint="default" w:ascii="Times New Roman" w:hAnsi="Times New Roman" w:cs="Times New Roman"/>
                <w:color w:val="auto"/>
                <w:szCs w:val="21"/>
                <w:highlight w:val="none"/>
              </w:rPr>
              <w:t>≤</w:t>
            </w:r>
            <w:r>
              <w:rPr>
                <w:rFonts w:hint="eastAsia" w:cs="Times New Roman"/>
                <w:color w:val="auto"/>
                <w:sz w:val="24"/>
                <w:highlight w:val="none"/>
                <w:lang w:val="en-US" w:eastAsia="zh-CN"/>
              </w:rPr>
              <w:t>EQI</w:t>
            </w:r>
            <w:r>
              <w:rPr>
                <w:rFonts w:hint="default" w:ascii="Times New Roman" w:hAnsi="Times New Roman" w:cs="Times New Roman"/>
                <w:color w:val="auto"/>
                <w:szCs w:val="21"/>
                <w:highlight w:val="none"/>
              </w:rPr>
              <w:t>＜55</w:t>
            </w:r>
          </w:p>
        </w:tc>
        <w:tc>
          <w:tcPr>
            <w:tcW w:w="153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E1B8159">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w:t>
            </w:r>
            <w:r>
              <w:rPr>
                <w:rFonts w:hint="eastAsia" w:cs="Times New Roman"/>
                <w:color w:val="auto"/>
                <w:sz w:val="24"/>
                <w:highlight w:val="none"/>
                <w:lang w:val="en-US" w:eastAsia="zh-CN"/>
              </w:rPr>
              <w:t>EQI</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40</w:t>
            </w:r>
          </w:p>
        </w:tc>
        <w:tc>
          <w:tcPr>
            <w:tcW w:w="1540" w:type="dxa"/>
            <w:tcBorders>
              <w:top w:val="single" w:color="auto" w:sz="6" w:space="0"/>
              <w:left w:val="single" w:color="auto" w:sz="6" w:space="0"/>
              <w:bottom w:val="single" w:color="auto" w:sz="6" w:space="0"/>
              <w:right w:val="nil"/>
              <w:tl2br w:val="nil"/>
              <w:tr2bl w:val="nil"/>
            </w:tcBorders>
            <w:noWrap w:val="0"/>
            <w:vAlign w:val="center"/>
          </w:tcPr>
          <w:p w14:paraId="1A5ED2E9">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Cs w:val="21"/>
                <w:highlight w:val="none"/>
                <w:lang w:val="en-US" w:eastAsia="zh-CN"/>
              </w:rPr>
            </w:pPr>
            <w:r>
              <w:rPr>
                <w:rFonts w:hint="eastAsia" w:cs="Times New Roman"/>
                <w:color w:val="auto"/>
                <w:sz w:val="24"/>
                <w:highlight w:val="none"/>
                <w:lang w:val="en-US" w:eastAsia="zh-CN"/>
              </w:rPr>
              <w:t>EQI</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30</w:t>
            </w:r>
          </w:p>
        </w:tc>
      </w:tr>
      <w:tr w14:paraId="317D82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71" w:hRule="atLeast"/>
        </w:trPr>
        <w:tc>
          <w:tcPr>
            <w:tcW w:w="750" w:type="dxa"/>
            <w:tcBorders>
              <w:top w:val="single" w:color="auto" w:sz="6" w:space="0"/>
              <w:left w:val="nil"/>
              <w:bottom w:val="single" w:color="auto" w:sz="12" w:space="0"/>
              <w:right w:val="single" w:color="auto" w:sz="6" w:space="0"/>
              <w:tl2br w:val="nil"/>
              <w:tr2bl w:val="nil"/>
            </w:tcBorders>
            <w:noWrap w:val="0"/>
            <w:vAlign w:val="center"/>
          </w:tcPr>
          <w:p w14:paraId="2A89A572">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状态</w:t>
            </w:r>
          </w:p>
        </w:tc>
        <w:tc>
          <w:tcPr>
            <w:tcW w:w="1611"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37439FF2">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b w:val="0"/>
                <w:color w:val="auto"/>
                <w:szCs w:val="21"/>
                <w:highlight w:val="none"/>
              </w:rPr>
            </w:pPr>
            <w:r>
              <w:rPr>
                <w:rFonts w:hint="default" w:ascii="Times New Roman" w:hAnsi="Times New Roman" w:eastAsia="宋体" w:cs="Times New Roman"/>
                <w:b w:val="0"/>
                <w:color w:val="auto"/>
                <w:szCs w:val="21"/>
                <w:highlight w:val="none"/>
              </w:rPr>
              <w:t>自然生态系 统覆盖比例 高、人类干扰 强度低、生物 多样性丰富、生态结构完</w:t>
            </w:r>
            <w:r>
              <w:rPr>
                <w:rFonts w:hint="eastAsia" w:ascii="Times New Roman" w:hAnsi="Times New Roman" w:eastAsia="宋体" w:cs="Times New Roman"/>
                <w:b w:val="0"/>
                <w:color w:val="auto"/>
                <w:szCs w:val="21"/>
                <w:highlight w:val="none"/>
              </w:rPr>
              <w:t>整、系统稳定、生态功能完善。</w:t>
            </w:r>
          </w:p>
        </w:tc>
        <w:tc>
          <w:tcPr>
            <w:tcW w:w="1540"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189448FD">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自然生态系统覆盖比例较高、人类干扰强度较低、生物多样性较丰富、生态结构较完整、系统较稳定、生态功能较完善。</w:t>
            </w:r>
          </w:p>
        </w:tc>
        <w:tc>
          <w:tcPr>
            <w:tcW w:w="2199"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09465AB5">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自然生态系统覆盖比例一般、受到一定程度的人类活动干扰、生物多样性丰富度一般、生态结构完整性和稳定性一般、生态功能基本完善。</w:t>
            </w:r>
          </w:p>
        </w:tc>
        <w:tc>
          <w:tcPr>
            <w:tcW w:w="1539" w:type="dxa"/>
            <w:tcBorders>
              <w:top w:val="single" w:color="auto" w:sz="6" w:space="0"/>
              <w:left w:val="single" w:color="auto" w:sz="6" w:space="0"/>
              <w:bottom w:val="single" w:color="auto" w:sz="12" w:space="0"/>
              <w:right w:val="single" w:color="auto" w:sz="6" w:space="0"/>
              <w:tl2br w:val="nil"/>
              <w:tr2bl w:val="nil"/>
            </w:tcBorders>
            <w:noWrap w:val="0"/>
            <w:vAlign w:val="center"/>
          </w:tcPr>
          <w:p w14:paraId="49D98B7A">
            <w:pPr>
              <w:pStyle w:val="66"/>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b w:val="0"/>
                <w:color w:val="auto"/>
                <w:szCs w:val="21"/>
                <w:highlight w:val="none"/>
              </w:rPr>
            </w:pPr>
            <w:r>
              <w:rPr>
                <w:rFonts w:hint="default" w:ascii="Times New Roman" w:hAnsi="Times New Roman" w:cs="Times New Roman"/>
                <w:b w:val="0"/>
                <w:color w:val="auto"/>
                <w:szCs w:val="21"/>
                <w:highlight w:val="none"/>
              </w:rPr>
              <w:t>自然生态本底条件较差或人类干扰强度较大，自然生态系统较脆弱，生态功能较低。</w:t>
            </w:r>
          </w:p>
        </w:tc>
        <w:tc>
          <w:tcPr>
            <w:tcW w:w="1540" w:type="dxa"/>
            <w:tcBorders>
              <w:top w:val="single" w:color="auto" w:sz="6" w:space="0"/>
              <w:left w:val="single" w:color="auto" w:sz="6" w:space="0"/>
              <w:bottom w:val="single" w:color="auto" w:sz="12" w:space="0"/>
              <w:right w:val="nil"/>
              <w:tl2br w:val="nil"/>
              <w:tr2bl w:val="nil"/>
            </w:tcBorders>
            <w:noWrap w:val="0"/>
            <w:vAlign w:val="center"/>
          </w:tcPr>
          <w:p w14:paraId="29C24E78">
            <w:pPr>
              <w:pStyle w:val="66"/>
              <w:keepNext w:val="0"/>
              <w:keepLines w:val="0"/>
              <w:suppressLineNumbers w:val="0"/>
              <w:spacing w:before="0" w:beforeAutospacing="0" w:after="0" w:afterAutospacing="0" w:line="240" w:lineRule="auto"/>
              <w:ind w:left="0" w:right="0" w:firstLine="0" w:firstLineChars="0"/>
              <w:rPr>
                <w:rFonts w:hint="eastAsia" w:ascii="Times New Roman" w:hAnsi="Times New Roman" w:eastAsia="宋体" w:cs="Times New Roman"/>
                <w:b w:val="0"/>
                <w:color w:val="auto"/>
                <w:szCs w:val="21"/>
                <w:highlight w:val="none"/>
                <w:lang w:eastAsia="zh-CN"/>
              </w:rPr>
            </w:pPr>
            <w:r>
              <w:rPr>
                <w:rFonts w:hint="default" w:ascii="Times New Roman" w:hAnsi="Times New Roman" w:cs="Times New Roman"/>
                <w:b w:val="0"/>
                <w:color w:val="auto"/>
                <w:szCs w:val="21"/>
                <w:highlight w:val="none"/>
              </w:rPr>
              <w:t>自然生态本底条件差或人类干扰强度大，自然生态系统脆弱，生态功能低</w:t>
            </w:r>
            <w:r>
              <w:rPr>
                <w:rFonts w:hint="eastAsia" w:ascii="Times New Roman" w:hAnsi="Times New Roman" w:cs="Times New Roman"/>
                <w:b w:val="0"/>
                <w:color w:val="auto"/>
                <w:szCs w:val="21"/>
                <w:highlight w:val="none"/>
                <w:lang w:eastAsia="zh-CN"/>
              </w:rPr>
              <w:t>。</w:t>
            </w:r>
          </w:p>
        </w:tc>
      </w:tr>
    </w:tbl>
    <w:p w14:paraId="21EB934A">
      <w:pPr>
        <w:tabs>
          <w:tab w:val="left" w:pos="864"/>
        </w:tabs>
        <w:adjustRightInd w:val="0"/>
        <w:snapToGrid w:val="0"/>
        <w:spacing w:before="0" w:after="0"/>
        <w:ind w:firstLine="480" w:firstLineChars="200"/>
        <w:jc w:val="both"/>
        <w:rPr>
          <w:rFonts w:hint="default" w:ascii="Times New Roman" w:hAnsi="Times New Roman" w:eastAsia="宋体" w:cs="Times New Roman"/>
          <w:b w:val="0"/>
          <w:color w:val="auto"/>
          <w:szCs w:val="21"/>
          <w:highlight w:val="none"/>
          <w:lang w:val="en-US" w:eastAsia="zh-CN"/>
        </w:rPr>
      </w:pPr>
      <w:r>
        <w:rPr>
          <w:rFonts w:hint="eastAsia"/>
          <w:color w:val="auto"/>
          <w:highlight w:val="none"/>
          <w:lang w:val="en-US" w:eastAsia="zh-CN"/>
        </w:rPr>
        <w:t>根据《2024年宁夏回族自治区生态环境状况公报》，固原市彭阳县EQI为62.38，生态质量属于二类，</w:t>
      </w:r>
      <w:r>
        <w:rPr>
          <w:rFonts w:hint="default" w:ascii="Times New Roman" w:hAnsi="Times New Roman" w:cs="Times New Roman"/>
          <w:b w:val="0"/>
          <w:color w:val="auto"/>
          <w:szCs w:val="21"/>
          <w:highlight w:val="none"/>
        </w:rPr>
        <w:t>自然生态系统覆盖比例</w:t>
      </w:r>
      <w:r>
        <w:rPr>
          <w:rFonts w:hint="eastAsia" w:cs="Times New Roman"/>
          <w:b w:val="0"/>
          <w:color w:val="auto"/>
          <w:szCs w:val="21"/>
          <w:highlight w:val="none"/>
          <w:lang w:eastAsia="zh-CN"/>
        </w:rPr>
        <w:t>较高</w:t>
      </w:r>
      <w:r>
        <w:rPr>
          <w:rFonts w:hint="default" w:ascii="Times New Roman" w:hAnsi="Times New Roman" w:cs="Times New Roman"/>
          <w:b w:val="0"/>
          <w:color w:val="auto"/>
          <w:szCs w:val="21"/>
          <w:highlight w:val="none"/>
        </w:rPr>
        <w:t>、受到一定程度的人类活动干扰</w:t>
      </w:r>
      <w:r>
        <w:rPr>
          <w:rFonts w:hint="default" w:ascii="Times New Roman" w:hAnsi="Times New Roman" w:eastAsia="宋体" w:cs="Times New Roman"/>
          <w:b w:val="0"/>
          <w:color w:val="auto"/>
          <w:szCs w:val="21"/>
          <w:highlight w:val="none"/>
        </w:rPr>
        <w:t>、生物多样性丰富度</w:t>
      </w:r>
      <w:r>
        <w:rPr>
          <w:rFonts w:hint="eastAsia" w:ascii="Times New Roman" w:hAnsi="Times New Roman" w:eastAsia="宋体" w:cs="Times New Roman"/>
          <w:b w:val="0"/>
          <w:color w:val="auto"/>
          <w:szCs w:val="21"/>
          <w:highlight w:val="none"/>
          <w:lang w:eastAsia="zh-CN"/>
        </w:rPr>
        <w:t>较低</w:t>
      </w:r>
      <w:r>
        <w:rPr>
          <w:rFonts w:hint="default" w:ascii="Times New Roman" w:hAnsi="Times New Roman" w:eastAsia="宋体" w:cs="Times New Roman"/>
          <w:b w:val="0"/>
          <w:color w:val="auto"/>
          <w:szCs w:val="21"/>
          <w:highlight w:val="none"/>
        </w:rPr>
        <w:t>、生态结构完整性和稳定性</w:t>
      </w:r>
      <w:r>
        <w:rPr>
          <w:rFonts w:hint="eastAsia" w:ascii="Times New Roman" w:hAnsi="Times New Roman" w:eastAsia="宋体" w:cs="Times New Roman"/>
          <w:b w:val="0"/>
          <w:color w:val="auto"/>
          <w:szCs w:val="21"/>
          <w:highlight w:val="none"/>
          <w:lang w:eastAsia="zh-CN"/>
        </w:rPr>
        <w:t>较好</w:t>
      </w:r>
      <w:r>
        <w:rPr>
          <w:rFonts w:hint="default" w:ascii="Times New Roman" w:hAnsi="Times New Roman" w:eastAsia="宋体" w:cs="Times New Roman"/>
          <w:b w:val="0"/>
          <w:color w:val="auto"/>
          <w:szCs w:val="21"/>
          <w:highlight w:val="none"/>
        </w:rPr>
        <w:t>、生态功能基本完善。</w:t>
      </w:r>
    </w:p>
    <w:p w14:paraId="6975E47D">
      <w:pPr>
        <w:pStyle w:val="6"/>
        <w:bidi w:val="0"/>
        <w:rPr>
          <w:rFonts w:hint="default" w:ascii="Times New Roman" w:hAnsi="Times New Roman" w:cs="Times New Roman"/>
          <w:color w:val="auto"/>
          <w:sz w:val="28"/>
          <w:szCs w:val="28"/>
          <w:highlight w:val="none"/>
          <w:lang w:val="en-US" w:eastAsia="zh-CN"/>
        </w:rPr>
      </w:pPr>
      <w:bookmarkStart w:id="5042" w:name="_Toc5304"/>
      <w:bookmarkStart w:id="5043" w:name="_Toc14136"/>
      <w:bookmarkStart w:id="5044" w:name="_Toc30932"/>
      <w:r>
        <w:rPr>
          <w:rFonts w:hint="default" w:ascii="Times New Roman" w:hAnsi="Times New Roman" w:cs="Times New Roman"/>
          <w:color w:val="auto"/>
          <w:sz w:val="28"/>
          <w:szCs w:val="28"/>
          <w:highlight w:val="none"/>
          <w:lang w:val="en-US" w:eastAsia="zh-CN"/>
        </w:rPr>
        <w:t>5.6.2陆生动物环境现状调查</w:t>
      </w:r>
      <w:bookmarkEnd w:id="5042"/>
      <w:bookmarkEnd w:id="5043"/>
      <w:bookmarkEnd w:id="5044"/>
    </w:p>
    <w:p w14:paraId="31014923">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建设区域不是珍稀保护鸟类主要活动场所。工程区的动物群属温带森林草原农田动物群，具体可分为次生落叶阔叶林动物群、灌丛草地动物群、水域动物群和农田居民点动物群四类。根据工程沿线的栖息地特征，</w:t>
      </w:r>
      <w:r>
        <w:rPr>
          <w:rFonts w:hint="default" w:ascii="Times New Roman" w:hAnsi="Times New Roman" w:cs="Times New Roman"/>
          <w:color w:val="auto"/>
          <w:sz w:val="24"/>
          <w:szCs w:val="24"/>
          <w:highlight w:val="none"/>
          <w:lang w:val="en-US" w:eastAsia="zh-CN"/>
        </w:rPr>
        <w:t>查阅相关资料</w:t>
      </w:r>
      <w:r>
        <w:rPr>
          <w:rFonts w:hint="eastAsia" w:cs="Times New Roman"/>
          <w:color w:val="auto"/>
          <w:sz w:val="24"/>
          <w:szCs w:val="24"/>
          <w:highlight w:val="none"/>
          <w:lang w:val="en-US" w:eastAsia="zh-CN"/>
        </w:rPr>
        <w:t>并走访当地居民</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沿线的动物资源主要为水域动物群和村庄农田动物群。</w:t>
      </w:r>
    </w:p>
    <w:p w14:paraId="45490C31">
      <w:pPr>
        <w:outlineLvl w:val="9"/>
        <w:rPr>
          <w:rFonts w:hint="default" w:ascii="Times New Roman" w:hAnsi="Times New Roman" w:cs="Times New Roman"/>
          <w:color w:val="auto"/>
          <w:sz w:val="24"/>
          <w:szCs w:val="24"/>
          <w:highlight w:val="none"/>
        </w:rPr>
      </w:pPr>
      <w:bookmarkStart w:id="5045" w:name="_Toc29298"/>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水域动物群</w:t>
      </w:r>
      <w:bookmarkEnd w:id="5045"/>
    </w:p>
    <w:p w14:paraId="39A0A9DE">
      <w:pPr>
        <w:bidi w:val="0"/>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水域</w:t>
      </w:r>
      <w:r>
        <w:rPr>
          <w:rFonts w:hint="eastAsia" w:cs="Times New Roman"/>
          <w:color w:val="auto"/>
          <w:sz w:val="24"/>
          <w:szCs w:val="24"/>
          <w:highlight w:val="none"/>
          <w:lang w:eastAsia="zh-CN"/>
        </w:rPr>
        <w:t>动物群</w:t>
      </w:r>
      <w:r>
        <w:rPr>
          <w:rFonts w:hint="default" w:ascii="Times New Roman" w:hAnsi="Times New Roman" w:cs="Times New Roman"/>
          <w:color w:val="auto"/>
          <w:sz w:val="24"/>
          <w:szCs w:val="24"/>
          <w:highlight w:val="none"/>
        </w:rPr>
        <w:t>主要有鸟类有</w:t>
      </w:r>
      <w:r>
        <w:rPr>
          <w:rFonts w:hint="default" w:ascii="Times New Roman" w:hAnsi="Times New Roman" w:cs="Times New Roman"/>
          <w:color w:val="auto"/>
          <w:sz w:val="24"/>
          <w:szCs w:val="24"/>
          <w:highlight w:val="none"/>
          <w:lang w:val="en-US" w:eastAsia="zh-CN"/>
        </w:rPr>
        <w:t>斑鸠</w:t>
      </w:r>
      <w:r>
        <w:rPr>
          <w:rFonts w:hint="default" w:ascii="Times New Roman" w:hAnsi="Times New Roman" w:cs="Times New Roman"/>
          <w:color w:val="auto"/>
          <w:sz w:val="24"/>
          <w:szCs w:val="24"/>
          <w:highlight w:val="none"/>
        </w:rPr>
        <w:t>、苍鹭、赤麻鸭、斑嘴鸭、红嘴潜鸭</w:t>
      </w:r>
      <w:r>
        <w:rPr>
          <w:rFonts w:hint="eastAsia" w:cs="Times New Roman"/>
          <w:color w:val="auto"/>
          <w:sz w:val="24"/>
          <w:szCs w:val="24"/>
          <w:highlight w:val="none"/>
          <w:lang w:eastAsia="zh-CN"/>
        </w:rPr>
        <w:t>等</w:t>
      </w:r>
      <w:r>
        <w:rPr>
          <w:rFonts w:hint="default" w:ascii="Times New Roman" w:hAnsi="Times New Roman" w:cs="Times New Roman"/>
          <w:color w:val="auto"/>
          <w:sz w:val="24"/>
          <w:szCs w:val="24"/>
          <w:highlight w:val="none"/>
        </w:rPr>
        <w:t>。两栖爬行类有双斑锦蛇、秦岭滑蜥等。</w:t>
      </w:r>
    </w:p>
    <w:p w14:paraId="7E46EDCC">
      <w:pPr>
        <w:outlineLvl w:val="9"/>
        <w:rPr>
          <w:rFonts w:hint="default" w:ascii="Times New Roman" w:hAnsi="Times New Roman" w:cs="Times New Roman"/>
          <w:color w:val="auto"/>
          <w:sz w:val="24"/>
          <w:szCs w:val="24"/>
          <w:highlight w:val="none"/>
        </w:rPr>
      </w:pPr>
      <w:bookmarkStart w:id="5046" w:name="_Toc15683"/>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村庄农田动物群</w:t>
      </w:r>
      <w:bookmarkEnd w:id="5046"/>
    </w:p>
    <w:p w14:paraId="380CC9D7">
      <w:pPr>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这一动物群主要动物有刺猬、兔、大仓鼠、灰仓鼠、长尾仓鼠、黄鼠、小家鼠、褐家鼠、大家鼠。鸟类有凤头百灵、喜鹊、乌鸦、大山雀、树麻雀、绿嘴啄木鸟</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家燕、金腰燕、楼燕、珠颈斑鸠、山斑鸠</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麻雀、岩鸽、寒鸦、原鸽等到农田或村中谷场上觅食。春、秋迁徙见于农田的鸟类有喜鹊等，集群在山坡农田中觅食。爬行类极为少见。</w:t>
      </w:r>
    </w:p>
    <w:p w14:paraId="14893DE5">
      <w:pPr>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本工程所在区域无珍稀、濒危或国家及自治区级保护动物栖息、繁殖地。</w:t>
      </w:r>
    </w:p>
    <w:p w14:paraId="03DE6324">
      <w:pPr>
        <w:outlineLvl w:val="9"/>
        <w:rPr>
          <w:rFonts w:hint="eastAsia" w:ascii="Times New Roman" w:hAnsi="Times New Roman" w:eastAsia="宋体" w:cs="Times New Roman"/>
          <w:color w:val="auto"/>
          <w:sz w:val="24"/>
          <w:szCs w:val="24"/>
          <w:highlight w:val="none"/>
          <w:lang w:eastAsia="zh-CN"/>
        </w:rPr>
      </w:pPr>
      <w:bookmarkStart w:id="5047" w:name="_Toc23049"/>
      <w:r>
        <w:rPr>
          <w:rFonts w:hint="default" w:ascii="Times New Roman" w:hAnsi="Times New Roman" w:cs="Times New Roman"/>
          <w:color w:val="auto"/>
          <w:sz w:val="24"/>
          <w:szCs w:val="24"/>
          <w:highlight w:val="none"/>
        </w:rPr>
        <w:t>评价区野生动物名录如下</w:t>
      </w:r>
      <w:bookmarkEnd w:id="5047"/>
      <w:r>
        <w:rPr>
          <w:rFonts w:hint="eastAsia" w:cs="Times New Roman"/>
          <w:color w:val="auto"/>
          <w:sz w:val="24"/>
          <w:szCs w:val="24"/>
          <w:highlight w:val="none"/>
          <w:lang w:eastAsia="zh-CN"/>
        </w:rPr>
        <w:t>。</w:t>
      </w:r>
    </w:p>
    <w:p w14:paraId="4FDD8FB5">
      <w:pPr>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5.6.2-1</w:t>
      </w:r>
      <w:r>
        <w:rPr>
          <w:rFonts w:hint="default" w:ascii="Times New Roman" w:hAnsi="Times New Roman" w:cs="Times New Roman"/>
          <w:b/>
          <w:bCs/>
          <w:color w:val="auto"/>
          <w:sz w:val="24"/>
          <w:szCs w:val="24"/>
          <w:highlight w:val="none"/>
        </w:rPr>
        <w:t>评价区动物名录</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375"/>
        <w:gridCol w:w="2793"/>
        <w:gridCol w:w="772"/>
        <w:gridCol w:w="1433"/>
        <w:gridCol w:w="934"/>
        <w:gridCol w:w="710"/>
      </w:tblGrid>
      <w:tr w14:paraId="37CFD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blHeader/>
        </w:trPr>
        <w:tc>
          <w:tcPr>
            <w:tcW w:w="295" w:type="pct"/>
            <w:tcBorders>
              <w:tl2br w:val="nil"/>
              <w:tr2bl w:val="nil"/>
            </w:tcBorders>
            <w:vAlign w:val="center"/>
          </w:tcPr>
          <w:p w14:paraId="6A2A11C9">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048" w:name="_Toc19476"/>
            <w:bookmarkStart w:id="5049" w:name="_Toc2285"/>
            <w:bookmarkStart w:id="5050" w:name="_Toc29691"/>
            <w:bookmarkStart w:id="5051" w:name="_Toc32659"/>
            <w:bookmarkStart w:id="5052" w:name="_Toc26763"/>
            <w:r>
              <w:rPr>
                <w:rFonts w:hint="default" w:ascii="Times New Roman" w:hAnsi="Times New Roman" w:cs="Times New Roman"/>
                <w:b/>
                <w:bCs/>
                <w:color w:val="auto"/>
                <w:sz w:val="21"/>
                <w:szCs w:val="21"/>
                <w:highlight w:val="none"/>
                <w:lang w:val="en-US" w:eastAsia="zh-CN"/>
              </w:rPr>
              <w:t>序号</w:t>
            </w:r>
            <w:bookmarkEnd w:id="5048"/>
            <w:bookmarkEnd w:id="5049"/>
            <w:bookmarkEnd w:id="5050"/>
            <w:bookmarkEnd w:id="5051"/>
            <w:bookmarkEnd w:id="5052"/>
          </w:p>
        </w:tc>
        <w:tc>
          <w:tcPr>
            <w:tcW w:w="807" w:type="pct"/>
            <w:tcBorders>
              <w:tl2br w:val="nil"/>
              <w:tr2bl w:val="nil"/>
            </w:tcBorders>
            <w:vAlign w:val="center"/>
          </w:tcPr>
          <w:p w14:paraId="2A4DC035">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053" w:name="_Toc11982"/>
            <w:bookmarkStart w:id="5054" w:name="_Toc14724"/>
            <w:bookmarkStart w:id="5055" w:name="_Toc23942"/>
            <w:bookmarkStart w:id="5056" w:name="_Toc4367"/>
            <w:bookmarkStart w:id="5057" w:name="_Toc3076"/>
            <w:r>
              <w:rPr>
                <w:rFonts w:hint="default" w:ascii="Times New Roman" w:hAnsi="Times New Roman" w:cs="Times New Roman"/>
                <w:b/>
                <w:bCs/>
                <w:color w:val="auto"/>
                <w:sz w:val="21"/>
                <w:szCs w:val="21"/>
                <w:highlight w:val="none"/>
                <w:lang w:val="en-US" w:eastAsia="zh-CN"/>
              </w:rPr>
              <w:t>种类</w:t>
            </w:r>
            <w:bookmarkEnd w:id="5053"/>
            <w:bookmarkEnd w:id="5054"/>
            <w:bookmarkEnd w:id="5055"/>
            <w:bookmarkEnd w:id="5056"/>
            <w:bookmarkEnd w:id="5057"/>
          </w:p>
        </w:tc>
        <w:tc>
          <w:tcPr>
            <w:tcW w:w="1639" w:type="pct"/>
            <w:tcBorders>
              <w:tl2br w:val="nil"/>
              <w:tr2bl w:val="nil"/>
            </w:tcBorders>
            <w:vAlign w:val="center"/>
          </w:tcPr>
          <w:p w14:paraId="34C101F9">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058" w:name="_Toc27736"/>
            <w:bookmarkStart w:id="5059" w:name="_Toc30138"/>
            <w:bookmarkStart w:id="5060" w:name="_Toc20009"/>
            <w:bookmarkStart w:id="5061" w:name="_Toc7073"/>
            <w:bookmarkStart w:id="5062" w:name="_Toc6675"/>
            <w:r>
              <w:rPr>
                <w:rFonts w:hint="default" w:ascii="Times New Roman" w:hAnsi="Times New Roman" w:cs="Times New Roman"/>
                <w:b/>
                <w:bCs/>
                <w:color w:val="auto"/>
                <w:sz w:val="21"/>
                <w:szCs w:val="21"/>
                <w:highlight w:val="none"/>
                <w:lang w:val="en-US" w:eastAsia="zh-CN"/>
              </w:rPr>
              <w:t>拉丁名称</w:t>
            </w:r>
            <w:bookmarkEnd w:id="5058"/>
            <w:bookmarkEnd w:id="5059"/>
            <w:bookmarkEnd w:id="5060"/>
            <w:bookmarkEnd w:id="5061"/>
            <w:bookmarkEnd w:id="5062"/>
          </w:p>
        </w:tc>
        <w:tc>
          <w:tcPr>
            <w:tcW w:w="1294" w:type="pct"/>
            <w:gridSpan w:val="2"/>
            <w:tcBorders>
              <w:tl2br w:val="nil"/>
              <w:tr2bl w:val="nil"/>
            </w:tcBorders>
            <w:vAlign w:val="center"/>
          </w:tcPr>
          <w:p w14:paraId="0EA8FFF0">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063" w:name="_Toc17064"/>
            <w:bookmarkStart w:id="5064" w:name="_Toc23498"/>
            <w:bookmarkStart w:id="5065" w:name="_Toc5668"/>
            <w:bookmarkStart w:id="5066" w:name="_Toc17342"/>
            <w:bookmarkStart w:id="5067" w:name="_Toc22940"/>
            <w:r>
              <w:rPr>
                <w:rFonts w:hint="default" w:ascii="Times New Roman" w:hAnsi="Times New Roman" w:cs="Times New Roman"/>
                <w:b/>
                <w:bCs/>
                <w:color w:val="auto"/>
                <w:sz w:val="21"/>
                <w:szCs w:val="21"/>
                <w:highlight w:val="none"/>
                <w:lang w:val="en-US" w:eastAsia="zh-CN"/>
              </w:rPr>
              <w:t>生境类型</w:t>
            </w:r>
            <w:bookmarkEnd w:id="5063"/>
            <w:bookmarkEnd w:id="5064"/>
            <w:bookmarkEnd w:id="5065"/>
            <w:bookmarkEnd w:id="5066"/>
            <w:bookmarkEnd w:id="5067"/>
          </w:p>
        </w:tc>
        <w:tc>
          <w:tcPr>
            <w:tcW w:w="548" w:type="pct"/>
            <w:tcBorders>
              <w:tl2br w:val="nil"/>
              <w:tr2bl w:val="nil"/>
            </w:tcBorders>
            <w:vAlign w:val="center"/>
          </w:tcPr>
          <w:p w14:paraId="2C85C3C9">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068" w:name="_Toc14379"/>
            <w:bookmarkStart w:id="5069" w:name="_Toc9275"/>
            <w:bookmarkStart w:id="5070" w:name="_Toc8299"/>
            <w:bookmarkStart w:id="5071" w:name="_Toc4207"/>
            <w:bookmarkStart w:id="5072" w:name="_Toc10713"/>
            <w:r>
              <w:rPr>
                <w:rFonts w:hint="default" w:ascii="Times New Roman" w:hAnsi="Times New Roman" w:cs="Times New Roman"/>
                <w:b/>
                <w:bCs/>
                <w:color w:val="auto"/>
                <w:sz w:val="21"/>
                <w:szCs w:val="21"/>
                <w:highlight w:val="none"/>
                <w:lang w:val="en-US" w:eastAsia="zh-CN"/>
              </w:rPr>
              <w:t>种群数量等级</w:t>
            </w:r>
            <w:bookmarkEnd w:id="5068"/>
            <w:bookmarkEnd w:id="5069"/>
            <w:bookmarkEnd w:id="5070"/>
            <w:bookmarkEnd w:id="5071"/>
            <w:bookmarkEnd w:id="5072"/>
          </w:p>
        </w:tc>
        <w:tc>
          <w:tcPr>
            <w:tcW w:w="416" w:type="pct"/>
            <w:tcBorders>
              <w:tl2br w:val="nil"/>
              <w:tr2bl w:val="nil"/>
            </w:tcBorders>
            <w:vAlign w:val="center"/>
          </w:tcPr>
          <w:p w14:paraId="1C155791">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073" w:name="_Toc8323"/>
            <w:bookmarkStart w:id="5074" w:name="_Toc29958"/>
            <w:bookmarkStart w:id="5075" w:name="_Toc16264"/>
            <w:bookmarkStart w:id="5076" w:name="_Toc31888"/>
            <w:bookmarkStart w:id="5077" w:name="_Toc18597"/>
            <w:r>
              <w:rPr>
                <w:rFonts w:hint="default" w:ascii="Times New Roman" w:hAnsi="Times New Roman" w:cs="Times New Roman"/>
                <w:b/>
                <w:bCs/>
                <w:color w:val="auto"/>
                <w:sz w:val="21"/>
                <w:szCs w:val="21"/>
                <w:highlight w:val="none"/>
                <w:lang w:val="en-US" w:eastAsia="zh-CN"/>
              </w:rPr>
              <w:t>保护级别</w:t>
            </w:r>
            <w:bookmarkEnd w:id="5073"/>
            <w:bookmarkEnd w:id="5074"/>
            <w:bookmarkEnd w:id="5075"/>
            <w:bookmarkEnd w:id="5076"/>
            <w:bookmarkEnd w:id="5077"/>
          </w:p>
        </w:tc>
      </w:tr>
      <w:tr w14:paraId="3FD7A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14:paraId="486887CD">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078" w:name="_Toc8260"/>
            <w:bookmarkStart w:id="5079" w:name="_Toc9652"/>
            <w:bookmarkStart w:id="5080" w:name="_Toc3933"/>
            <w:bookmarkStart w:id="5081" w:name="_Toc32494"/>
            <w:bookmarkStart w:id="5082" w:name="_Toc17024"/>
            <w:r>
              <w:rPr>
                <w:rFonts w:hint="default" w:ascii="Times New Roman" w:hAnsi="Times New Roman" w:cs="Times New Roman"/>
                <w:color w:val="auto"/>
                <w:sz w:val="21"/>
                <w:szCs w:val="21"/>
                <w:highlight w:val="none"/>
                <w:lang w:val="en-US" w:eastAsia="zh-CN"/>
              </w:rPr>
              <w:t>评价区哺乳类动物名录</w:t>
            </w:r>
            <w:bookmarkEnd w:id="5078"/>
            <w:bookmarkEnd w:id="5079"/>
            <w:bookmarkEnd w:id="5080"/>
            <w:bookmarkEnd w:id="5081"/>
            <w:bookmarkEnd w:id="5082"/>
          </w:p>
        </w:tc>
      </w:tr>
      <w:tr w14:paraId="5B908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168CB2D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083" w:name="_Toc22874"/>
            <w:bookmarkStart w:id="5084" w:name="_Toc25308"/>
            <w:bookmarkStart w:id="5085" w:name="_Toc19454"/>
            <w:bookmarkStart w:id="5086" w:name="_Toc11508"/>
            <w:bookmarkStart w:id="5087" w:name="_Toc2028"/>
            <w:r>
              <w:rPr>
                <w:rFonts w:hint="default" w:ascii="Times New Roman" w:hAnsi="Times New Roman" w:cs="Times New Roman"/>
                <w:color w:val="auto"/>
                <w:sz w:val="21"/>
                <w:szCs w:val="21"/>
                <w:highlight w:val="none"/>
                <w:lang w:val="en-US" w:eastAsia="zh-CN"/>
              </w:rPr>
              <w:t>1</w:t>
            </w:r>
            <w:bookmarkEnd w:id="5083"/>
            <w:bookmarkEnd w:id="5084"/>
            <w:bookmarkEnd w:id="5085"/>
            <w:bookmarkEnd w:id="5086"/>
            <w:bookmarkEnd w:id="5087"/>
          </w:p>
        </w:tc>
        <w:tc>
          <w:tcPr>
            <w:tcW w:w="807" w:type="pct"/>
            <w:tcBorders>
              <w:tl2br w:val="nil"/>
              <w:tr2bl w:val="nil"/>
            </w:tcBorders>
            <w:vAlign w:val="center"/>
          </w:tcPr>
          <w:p w14:paraId="7D57C7D7">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088" w:name="_Toc25271"/>
            <w:bookmarkStart w:id="5089" w:name="_Toc8143"/>
            <w:bookmarkStart w:id="5090" w:name="_Toc19770"/>
            <w:bookmarkStart w:id="5091" w:name="_Toc13950"/>
            <w:bookmarkStart w:id="5092" w:name="_Toc24850"/>
            <w:r>
              <w:rPr>
                <w:rFonts w:hint="default" w:ascii="Times New Roman" w:hAnsi="Times New Roman" w:cs="Times New Roman"/>
                <w:color w:val="auto"/>
                <w:sz w:val="21"/>
                <w:szCs w:val="21"/>
                <w:highlight w:val="none"/>
                <w:lang w:val="en-US" w:eastAsia="zh-CN"/>
              </w:rPr>
              <w:t>花鼠</w:t>
            </w:r>
            <w:bookmarkEnd w:id="5088"/>
            <w:bookmarkEnd w:id="5089"/>
            <w:bookmarkEnd w:id="5090"/>
            <w:bookmarkEnd w:id="5091"/>
            <w:bookmarkEnd w:id="5092"/>
          </w:p>
        </w:tc>
        <w:tc>
          <w:tcPr>
            <w:tcW w:w="1639" w:type="pct"/>
            <w:tcBorders>
              <w:tl2br w:val="nil"/>
              <w:tr2bl w:val="nil"/>
            </w:tcBorders>
            <w:vAlign w:val="center"/>
          </w:tcPr>
          <w:p w14:paraId="18A580F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093" w:name="_Toc6513"/>
            <w:bookmarkStart w:id="5094" w:name="_Toc27655"/>
            <w:bookmarkStart w:id="5095" w:name="_Toc31685"/>
            <w:bookmarkStart w:id="5096" w:name="_Toc22550"/>
            <w:bookmarkStart w:id="5097" w:name="_Toc5567"/>
            <w:r>
              <w:rPr>
                <w:rFonts w:hint="default" w:ascii="Times New Roman" w:hAnsi="Times New Roman" w:cs="Times New Roman"/>
                <w:color w:val="auto"/>
                <w:sz w:val="21"/>
                <w:szCs w:val="21"/>
                <w:highlight w:val="none"/>
                <w:lang w:val="en-US" w:eastAsia="zh-CN"/>
              </w:rPr>
              <w:t>Tamiassibiricusalbogularis</w:t>
            </w:r>
            <w:bookmarkEnd w:id="5093"/>
            <w:bookmarkEnd w:id="5094"/>
            <w:bookmarkEnd w:id="5095"/>
            <w:bookmarkEnd w:id="5096"/>
            <w:bookmarkEnd w:id="5097"/>
          </w:p>
        </w:tc>
        <w:tc>
          <w:tcPr>
            <w:tcW w:w="1294" w:type="pct"/>
            <w:gridSpan w:val="2"/>
            <w:tcBorders>
              <w:tl2br w:val="nil"/>
              <w:tr2bl w:val="nil"/>
            </w:tcBorders>
            <w:vAlign w:val="center"/>
          </w:tcPr>
          <w:p w14:paraId="439D7330">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098" w:name="_Toc27344"/>
            <w:bookmarkStart w:id="5099" w:name="_Toc18679"/>
            <w:bookmarkStart w:id="5100" w:name="_Toc11501"/>
            <w:bookmarkStart w:id="5101" w:name="_Toc1249"/>
            <w:bookmarkStart w:id="5102" w:name="_Toc12673"/>
            <w:r>
              <w:rPr>
                <w:rFonts w:hint="default" w:ascii="Times New Roman" w:hAnsi="Times New Roman" w:cs="Times New Roman"/>
                <w:color w:val="auto"/>
                <w:sz w:val="21"/>
                <w:szCs w:val="21"/>
                <w:highlight w:val="none"/>
                <w:lang w:val="en-US" w:eastAsia="zh-CN"/>
              </w:rPr>
              <w:t>林地、灌丛草地</w:t>
            </w:r>
            <w:bookmarkEnd w:id="5098"/>
            <w:bookmarkEnd w:id="5099"/>
            <w:bookmarkEnd w:id="5100"/>
            <w:bookmarkEnd w:id="5101"/>
            <w:bookmarkEnd w:id="5102"/>
          </w:p>
        </w:tc>
        <w:tc>
          <w:tcPr>
            <w:tcW w:w="548" w:type="pct"/>
            <w:tcBorders>
              <w:tl2br w:val="nil"/>
              <w:tr2bl w:val="nil"/>
            </w:tcBorders>
            <w:vAlign w:val="center"/>
          </w:tcPr>
          <w:p w14:paraId="063EE7C9">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03" w:name="_Toc3258"/>
            <w:bookmarkStart w:id="5104" w:name="_Toc30177"/>
            <w:bookmarkStart w:id="5105" w:name="_Toc25252"/>
            <w:bookmarkStart w:id="5106" w:name="_Toc22110"/>
            <w:bookmarkStart w:id="5107" w:name="_Toc12981"/>
            <w:r>
              <w:rPr>
                <w:rFonts w:hint="default" w:ascii="Times New Roman" w:hAnsi="Times New Roman" w:cs="Times New Roman"/>
                <w:color w:val="auto"/>
                <w:sz w:val="21"/>
                <w:szCs w:val="21"/>
                <w:highlight w:val="none"/>
                <w:lang w:val="en-US" w:eastAsia="zh-CN"/>
              </w:rPr>
              <w:t>++</w:t>
            </w:r>
            <w:bookmarkEnd w:id="5103"/>
            <w:bookmarkEnd w:id="5104"/>
            <w:bookmarkEnd w:id="5105"/>
            <w:bookmarkEnd w:id="5106"/>
            <w:bookmarkEnd w:id="5107"/>
          </w:p>
        </w:tc>
        <w:tc>
          <w:tcPr>
            <w:tcW w:w="416" w:type="pct"/>
            <w:tcBorders>
              <w:tl2br w:val="nil"/>
              <w:tr2bl w:val="nil"/>
            </w:tcBorders>
            <w:vAlign w:val="center"/>
          </w:tcPr>
          <w:p w14:paraId="75100604">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lang w:val="en-US" w:eastAsia="zh-CN"/>
              </w:rPr>
            </w:pPr>
          </w:p>
        </w:tc>
      </w:tr>
      <w:tr w14:paraId="51F9C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095440D1">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08" w:name="_Toc6828"/>
            <w:bookmarkStart w:id="5109" w:name="_Toc783"/>
            <w:bookmarkStart w:id="5110" w:name="_Toc29818"/>
            <w:bookmarkStart w:id="5111" w:name="_Toc15093"/>
            <w:bookmarkStart w:id="5112" w:name="_Toc19648"/>
            <w:r>
              <w:rPr>
                <w:rFonts w:hint="default" w:ascii="Times New Roman" w:hAnsi="Times New Roman" w:cs="Times New Roman"/>
                <w:color w:val="auto"/>
                <w:sz w:val="21"/>
                <w:szCs w:val="21"/>
                <w:highlight w:val="none"/>
                <w:lang w:val="en-US" w:eastAsia="zh-CN"/>
              </w:rPr>
              <w:t>2</w:t>
            </w:r>
            <w:bookmarkEnd w:id="5108"/>
            <w:bookmarkEnd w:id="5109"/>
            <w:bookmarkEnd w:id="5110"/>
            <w:bookmarkEnd w:id="5111"/>
            <w:bookmarkEnd w:id="5112"/>
          </w:p>
        </w:tc>
        <w:tc>
          <w:tcPr>
            <w:tcW w:w="807" w:type="pct"/>
            <w:tcBorders>
              <w:tl2br w:val="nil"/>
              <w:tr2bl w:val="nil"/>
            </w:tcBorders>
            <w:vAlign w:val="center"/>
          </w:tcPr>
          <w:p w14:paraId="3DAD8654">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13" w:name="_Toc23909"/>
            <w:bookmarkStart w:id="5114" w:name="_Toc11341"/>
            <w:bookmarkStart w:id="5115" w:name="_Toc28255"/>
            <w:bookmarkStart w:id="5116" w:name="_Toc23577"/>
            <w:bookmarkStart w:id="5117" w:name="_Toc14376"/>
            <w:r>
              <w:rPr>
                <w:rFonts w:hint="default" w:ascii="Times New Roman" w:hAnsi="Times New Roman" w:cs="Times New Roman"/>
                <w:color w:val="auto"/>
                <w:sz w:val="21"/>
                <w:szCs w:val="21"/>
                <w:highlight w:val="none"/>
                <w:lang w:val="en-US" w:eastAsia="zh-CN"/>
              </w:rPr>
              <w:t>阿拉善黄鼠</w:t>
            </w:r>
            <w:bookmarkEnd w:id="5113"/>
            <w:bookmarkEnd w:id="5114"/>
            <w:bookmarkEnd w:id="5115"/>
            <w:bookmarkEnd w:id="5116"/>
            <w:bookmarkEnd w:id="5117"/>
          </w:p>
        </w:tc>
        <w:tc>
          <w:tcPr>
            <w:tcW w:w="1639" w:type="pct"/>
            <w:tcBorders>
              <w:tl2br w:val="nil"/>
              <w:tr2bl w:val="nil"/>
            </w:tcBorders>
            <w:vAlign w:val="center"/>
          </w:tcPr>
          <w:p w14:paraId="6C5E8C2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18" w:name="_Toc32692"/>
            <w:bookmarkStart w:id="5119" w:name="_Toc28922"/>
            <w:bookmarkStart w:id="5120" w:name="_Toc11351"/>
            <w:bookmarkStart w:id="5121" w:name="_Toc6037"/>
            <w:bookmarkStart w:id="5122" w:name="_Toc1511"/>
            <w:r>
              <w:rPr>
                <w:rFonts w:hint="default" w:ascii="Times New Roman" w:hAnsi="Times New Roman" w:cs="Times New Roman"/>
                <w:color w:val="auto"/>
                <w:sz w:val="21"/>
                <w:szCs w:val="21"/>
                <w:highlight w:val="none"/>
                <w:lang w:val="en-US" w:eastAsia="zh-CN"/>
              </w:rPr>
              <w:t>Spermophilusalaschanicus</w:t>
            </w:r>
            <w:bookmarkEnd w:id="5118"/>
            <w:bookmarkEnd w:id="5119"/>
            <w:bookmarkEnd w:id="5120"/>
            <w:bookmarkEnd w:id="5121"/>
            <w:bookmarkEnd w:id="5122"/>
          </w:p>
        </w:tc>
        <w:tc>
          <w:tcPr>
            <w:tcW w:w="1294" w:type="pct"/>
            <w:gridSpan w:val="2"/>
            <w:tcBorders>
              <w:tl2br w:val="nil"/>
              <w:tr2bl w:val="nil"/>
            </w:tcBorders>
            <w:vAlign w:val="center"/>
          </w:tcPr>
          <w:p w14:paraId="70A96D6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23" w:name="_Toc2171"/>
            <w:bookmarkStart w:id="5124" w:name="_Toc32016"/>
            <w:bookmarkStart w:id="5125" w:name="_Toc8105"/>
            <w:bookmarkStart w:id="5126" w:name="_Toc2438"/>
            <w:bookmarkStart w:id="5127" w:name="_Toc29891"/>
            <w:r>
              <w:rPr>
                <w:rFonts w:hint="default" w:ascii="Times New Roman" w:hAnsi="Times New Roman" w:cs="Times New Roman"/>
                <w:color w:val="auto"/>
                <w:sz w:val="21"/>
                <w:szCs w:val="21"/>
                <w:highlight w:val="none"/>
                <w:lang w:val="en-US" w:eastAsia="zh-CN"/>
              </w:rPr>
              <w:t>草地</w:t>
            </w:r>
            <w:bookmarkEnd w:id="5123"/>
            <w:bookmarkEnd w:id="5124"/>
            <w:bookmarkEnd w:id="5125"/>
            <w:bookmarkEnd w:id="5126"/>
            <w:bookmarkEnd w:id="5127"/>
          </w:p>
        </w:tc>
        <w:tc>
          <w:tcPr>
            <w:tcW w:w="548" w:type="pct"/>
            <w:tcBorders>
              <w:tl2br w:val="nil"/>
              <w:tr2bl w:val="nil"/>
            </w:tcBorders>
            <w:vAlign w:val="center"/>
          </w:tcPr>
          <w:p w14:paraId="09A292F8">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28" w:name="_Toc30634"/>
            <w:bookmarkStart w:id="5129" w:name="_Toc14872"/>
            <w:bookmarkStart w:id="5130" w:name="_Toc32728"/>
            <w:bookmarkStart w:id="5131" w:name="_Toc27664"/>
            <w:bookmarkStart w:id="5132" w:name="_Toc6829"/>
            <w:r>
              <w:rPr>
                <w:rFonts w:hint="default" w:ascii="Times New Roman" w:hAnsi="Times New Roman" w:cs="Times New Roman"/>
                <w:color w:val="auto"/>
                <w:sz w:val="21"/>
                <w:szCs w:val="21"/>
                <w:highlight w:val="none"/>
                <w:lang w:val="en-US" w:eastAsia="zh-CN"/>
              </w:rPr>
              <w:t>+++</w:t>
            </w:r>
            <w:bookmarkEnd w:id="5128"/>
            <w:bookmarkEnd w:id="5129"/>
            <w:bookmarkEnd w:id="5130"/>
            <w:bookmarkEnd w:id="5131"/>
            <w:bookmarkEnd w:id="5132"/>
          </w:p>
        </w:tc>
        <w:tc>
          <w:tcPr>
            <w:tcW w:w="416" w:type="pct"/>
            <w:tcBorders>
              <w:tl2br w:val="nil"/>
              <w:tr2bl w:val="nil"/>
            </w:tcBorders>
            <w:vAlign w:val="center"/>
          </w:tcPr>
          <w:p w14:paraId="7DB22B58">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lang w:val="en-US" w:eastAsia="zh-CN"/>
              </w:rPr>
            </w:pPr>
          </w:p>
        </w:tc>
      </w:tr>
      <w:tr w14:paraId="41E63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5B98945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33" w:name="_Toc1083"/>
            <w:bookmarkStart w:id="5134" w:name="_Toc28652"/>
            <w:bookmarkStart w:id="5135" w:name="_Toc30666"/>
            <w:r>
              <w:rPr>
                <w:rFonts w:hint="eastAsia" w:cs="Times New Roman"/>
                <w:color w:val="auto"/>
                <w:sz w:val="21"/>
                <w:szCs w:val="21"/>
                <w:highlight w:val="none"/>
                <w:lang w:val="en-US" w:eastAsia="zh-CN"/>
              </w:rPr>
              <w:t>3</w:t>
            </w:r>
            <w:bookmarkEnd w:id="5133"/>
            <w:bookmarkEnd w:id="5134"/>
            <w:bookmarkEnd w:id="5135"/>
          </w:p>
        </w:tc>
        <w:tc>
          <w:tcPr>
            <w:tcW w:w="807" w:type="pct"/>
            <w:tcBorders>
              <w:tl2br w:val="nil"/>
              <w:tr2bl w:val="nil"/>
            </w:tcBorders>
            <w:vAlign w:val="center"/>
          </w:tcPr>
          <w:p w14:paraId="5F47E2DC">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36" w:name="_Toc16144"/>
            <w:bookmarkStart w:id="5137" w:name="_Toc9169"/>
            <w:bookmarkStart w:id="5138" w:name="_Toc17956"/>
            <w:bookmarkStart w:id="5139" w:name="_Toc10726"/>
            <w:bookmarkStart w:id="5140" w:name="_Toc14434"/>
            <w:r>
              <w:rPr>
                <w:rFonts w:hint="default" w:ascii="Times New Roman" w:hAnsi="Times New Roman" w:cs="Times New Roman"/>
                <w:color w:val="auto"/>
                <w:sz w:val="21"/>
                <w:szCs w:val="21"/>
                <w:highlight w:val="none"/>
                <w:lang w:val="en-US" w:eastAsia="zh-CN"/>
              </w:rPr>
              <w:t>灰仓鼠</w:t>
            </w:r>
            <w:bookmarkEnd w:id="5136"/>
            <w:bookmarkEnd w:id="5137"/>
            <w:bookmarkEnd w:id="5138"/>
            <w:bookmarkEnd w:id="5139"/>
            <w:bookmarkEnd w:id="5140"/>
          </w:p>
        </w:tc>
        <w:tc>
          <w:tcPr>
            <w:tcW w:w="1639" w:type="pct"/>
            <w:tcBorders>
              <w:tl2br w:val="nil"/>
              <w:tr2bl w:val="nil"/>
            </w:tcBorders>
            <w:vAlign w:val="center"/>
          </w:tcPr>
          <w:p w14:paraId="5AF98314">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41" w:name="_Toc317"/>
            <w:bookmarkStart w:id="5142" w:name="_Toc8436"/>
            <w:bookmarkStart w:id="5143" w:name="_Toc21838"/>
            <w:bookmarkStart w:id="5144" w:name="_Toc7801"/>
            <w:bookmarkStart w:id="5145" w:name="_Toc1495"/>
            <w:r>
              <w:rPr>
                <w:rFonts w:hint="default" w:ascii="Times New Roman" w:hAnsi="Times New Roman" w:cs="Times New Roman"/>
                <w:color w:val="auto"/>
                <w:sz w:val="21"/>
                <w:szCs w:val="21"/>
                <w:highlight w:val="none"/>
                <w:lang w:val="en-US" w:eastAsia="zh-CN"/>
              </w:rPr>
              <w:t>Cricetulusmigratoriuscaesius</w:t>
            </w:r>
            <w:bookmarkEnd w:id="5141"/>
            <w:bookmarkEnd w:id="5142"/>
            <w:bookmarkEnd w:id="5143"/>
            <w:bookmarkEnd w:id="5144"/>
            <w:bookmarkEnd w:id="5145"/>
          </w:p>
        </w:tc>
        <w:tc>
          <w:tcPr>
            <w:tcW w:w="1294" w:type="pct"/>
            <w:gridSpan w:val="2"/>
            <w:tcBorders>
              <w:tl2br w:val="nil"/>
              <w:tr2bl w:val="nil"/>
            </w:tcBorders>
            <w:vAlign w:val="center"/>
          </w:tcPr>
          <w:p w14:paraId="12E000A5">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46" w:name="_Toc9005"/>
            <w:bookmarkStart w:id="5147" w:name="_Toc2149"/>
            <w:bookmarkStart w:id="5148" w:name="_Toc2315"/>
            <w:bookmarkStart w:id="5149" w:name="_Toc620"/>
            <w:bookmarkStart w:id="5150" w:name="_Toc9076"/>
            <w:r>
              <w:rPr>
                <w:rFonts w:hint="default" w:ascii="Times New Roman" w:hAnsi="Times New Roman" w:cs="Times New Roman"/>
                <w:color w:val="auto"/>
                <w:sz w:val="21"/>
                <w:szCs w:val="21"/>
                <w:highlight w:val="none"/>
                <w:lang w:val="en-US" w:eastAsia="zh-CN"/>
              </w:rPr>
              <w:t>林地、灌丛草地、村庄附近</w:t>
            </w:r>
            <w:bookmarkEnd w:id="5146"/>
            <w:bookmarkEnd w:id="5147"/>
            <w:bookmarkEnd w:id="5148"/>
            <w:bookmarkEnd w:id="5149"/>
            <w:bookmarkEnd w:id="5150"/>
          </w:p>
        </w:tc>
        <w:tc>
          <w:tcPr>
            <w:tcW w:w="548" w:type="pct"/>
            <w:tcBorders>
              <w:tl2br w:val="nil"/>
              <w:tr2bl w:val="nil"/>
            </w:tcBorders>
            <w:vAlign w:val="center"/>
          </w:tcPr>
          <w:p w14:paraId="462C4F47">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51" w:name="_Toc13830"/>
            <w:bookmarkStart w:id="5152" w:name="_Toc27237"/>
            <w:bookmarkStart w:id="5153" w:name="_Toc28684"/>
            <w:bookmarkStart w:id="5154" w:name="_Toc29662"/>
            <w:bookmarkStart w:id="5155" w:name="_Toc16535"/>
            <w:r>
              <w:rPr>
                <w:rFonts w:hint="default" w:ascii="Times New Roman" w:hAnsi="Times New Roman" w:cs="Times New Roman"/>
                <w:color w:val="auto"/>
                <w:sz w:val="21"/>
                <w:szCs w:val="21"/>
                <w:highlight w:val="none"/>
                <w:lang w:val="en-US" w:eastAsia="zh-CN"/>
              </w:rPr>
              <w:t>+++</w:t>
            </w:r>
            <w:bookmarkEnd w:id="5151"/>
            <w:bookmarkEnd w:id="5152"/>
            <w:bookmarkEnd w:id="5153"/>
            <w:bookmarkEnd w:id="5154"/>
            <w:bookmarkEnd w:id="5155"/>
          </w:p>
        </w:tc>
        <w:tc>
          <w:tcPr>
            <w:tcW w:w="416" w:type="pct"/>
            <w:tcBorders>
              <w:tl2br w:val="nil"/>
              <w:tr2bl w:val="nil"/>
            </w:tcBorders>
            <w:vAlign w:val="center"/>
          </w:tcPr>
          <w:p w14:paraId="38B867F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lang w:val="en-US" w:eastAsia="zh-CN"/>
              </w:rPr>
            </w:pPr>
          </w:p>
        </w:tc>
      </w:tr>
      <w:tr w14:paraId="23C89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004EF85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56" w:name="_Toc18509"/>
            <w:bookmarkStart w:id="5157" w:name="_Toc13652"/>
            <w:bookmarkStart w:id="5158" w:name="_Toc5023"/>
            <w:r>
              <w:rPr>
                <w:rFonts w:hint="eastAsia" w:cs="Times New Roman"/>
                <w:color w:val="auto"/>
                <w:sz w:val="21"/>
                <w:szCs w:val="21"/>
                <w:highlight w:val="none"/>
                <w:lang w:val="en-US" w:eastAsia="zh-CN"/>
              </w:rPr>
              <w:t>4</w:t>
            </w:r>
            <w:bookmarkEnd w:id="5156"/>
            <w:bookmarkEnd w:id="5157"/>
            <w:bookmarkEnd w:id="5158"/>
          </w:p>
        </w:tc>
        <w:tc>
          <w:tcPr>
            <w:tcW w:w="807" w:type="pct"/>
            <w:tcBorders>
              <w:tl2br w:val="nil"/>
              <w:tr2bl w:val="nil"/>
            </w:tcBorders>
            <w:vAlign w:val="center"/>
          </w:tcPr>
          <w:p w14:paraId="230218A2">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59" w:name="_Toc2795"/>
            <w:bookmarkStart w:id="5160" w:name="_Toc6533"/>
            <w:bookmarkStart w:id="5161" w:name="_Toc7076"/>
            <w:bookmarkStart w:id="5162" w:name="_Toc644"/>
            <w:bookmarkStart w:id="5163" w:name="_Toc2642"/>
            <w:r>
              <w:rPr>
                <w:rFonts w:hint="default" w:ascii="Times New Roman" w:hAnsi="Times New Roman" w:cs="Times New Roman"/>
                <w:color w:val="auto"/>
                <w:sz w:val="21"/>
                <w:szCs w:val="21"/>
                <w:highlight w:val="none"/>
                <w:lang w:val="en-US" w:eastAsia="zh-CN"/>
              </w:rPr>
              <w:t>达乌尔鼠兔</w:t>
            </w:r>
            <w:bookmarkEnd w:id="5159"/>
            <w:bookmarkEnd w:id="5160"/>
            <w:bookmarkEnd w:id="5161"/>
            <w:bookmarkEnd w:id="5162"/>
            <w:bookmarkEnd w:id="5163"/>
          </w:p>
        </w:tc>
        <w:tc>
          <w:tcPr>
            <w:tcW w:w="1639" w:type="pct"/>
            <w:tcBorders>
              <w:tl2br w:val="nil"/>
              <w:tr2bl w:val="nil"/>
            </w:tcBorders>
            <w:vAlign w:val="center"/>
          </w:tcPr>
          <w:p w14:paraId="45436DA0">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64" w:name="_Toc27416"/>
            <w:bookmarkStart w:id="5165" w:name="_Toc10283"/>
            <w:bookmarkStart w:id="5166" w:name="_Toc14885"/>
            <w:bookmarkStart w:id="5167" w:name="_Toc26204"/>
            <w:bookmarkStart w:id="5168" w:name="_Toc23172"/>
            <w:r>
              <w:rPr>
                <w:rFonts w:hint="default" w:ascii="Times New Roman" w:hAnsi="Times New Roman" w:cs="Times New Roman"/>
                <w:color w:val="auto"/>
                <w:sz w:val="21"/>
                <w:szCs w:val="21"/>
                <w:highlight w:val="none"/>
                <w:lang w:val="en-US" w:eastAsia="zh-CN"/>
              </w:rPr>
              <w:t>Ochtonadaurica</w:t>
            </w:r>
            <w:bookmarkEnd w:id="5164"/>
            <w:bookmarkEnd w:id="5165"/>
            <w:bookmarkEnd w:id="5166"/>
            <w:bookmarkEnd w:id="5167"/>
            <w:bookmarkEnd w:id="5168"/>
          </w:p>
        </w:tc>
        <w:tc>
          <w:tcPr>
            <w:tcW w:w="1294" w:type="pct"/>
            <w:gridSpan w:val="2"/>
            <w:tcBorders>
              <w:tl2br w:val="nil"/>
              <w:tr2bl w:val="nil"/>
            </w:tcBorders>
            <w:vAlign w:val="center"/>
          </w:tcPr>
          <w:p w14:paraId="40EF6649">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69" w:name="_Toc16796"/>
            <w:bookmarkStart w:id="5170" w:name="_Toc26891"/>
            <w:bookmarkStart w:id="5171" w:name="_Toc9110"/>
            <w:bookmarkStart w:id="5172" w:name="_Toc27642"/>
            <w:bookmarkStart w:id="5173" w:name="_Toc25226"/>
            <w:r>
              <w:rPr>
                <w:rFonts w:hint="default" w:ascii="Times New Roman" w:hAnsi="Times New Roman" w:cs="Times New Roman"/>
                <w:color w:val="auto"/>
                <w:sz w:val="21"/>
                <w:szCs w:val="21"/>
                <w:highlight w:val="none"/>
                <w:lang w:val="en-US" w:eastAsia="zh-CN"/>
              </w:rPr>
              <w:t>草地</w:t>
            </w:r>
            <w:bookmarkEnd w:id="5169"/>
            <w:bookmarkEnd w:id="5170"/>
            <w:bookmarkEnd w:id="5171"/>
            <w:bookmarkEnd w:id="5172"/>
            <w:bookmarkEnd w:id="5173"/>
          </w:p>
        </w:tc>
        <w:tc>
          <w:tcPr>
            <w:tcW w:w="548" w:type="pct"/>
            <w:tcBorders>
              <w:tl2br w:val="nil"/>
              <w:tr2bl w:val="nil"/>
            </w:tcBorders>
            <w:vAlign w:val="center"/>
          </w:tcPr>
          <w:p w14:paraId="0696114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74" w:name="_Toc9933"/>
            <w:bookmarkStart w:id="5175" w:name="_Toc11509"/>
            <w:bookmarkStart w:id="5176" w:name="_Toc28731"/>
            <w:bookmarkStart w:id="5177" w:name="_Toc25928"/>
            <w:bookmarkStart w:id="5178" w:name="_Toc13634"/>
            <w:r>
              <w:rPr>
                <w:rFonts w:hint="default" w:ascii="Times New Roman" w:hAnsi="Times New Roman" w:cs="Times New Roman"/>
                <w:color w:val="auto"/>
                <w:sz w:val="21"/>
                <w:szCs w:val="21"/>
                <w:highlight w:val="none"/>
                <w:lang w:val="en-US" w:eastAsia="zh-CN"/>
              </w:rPr>
              <w:t>+++</w:t>
            </w:r>
            <w:bookmarkEnd w:id="5174"/>
            <w:bookmarkEnd w:id="5175"/>
            <w:bookmarkEnd w:id="5176"/>
            <w:bookmarkEnd w:id="5177"/>
            <w:bookmarkEnd w:id="5178"/>
          </w:p>
        </w:tc>
        <w:tc>
          <w:tcPr>
            <w:tcW w:w="416" w:type="pct"/>
            <w:tcBorders>
              <w:tl2br w:val="nil"/>
              <w:tr2bl w:val="nil"/>
            </w:tcBorders>
            <w:vAlign w:val="center"/>
          </w:tcPr>
          <w:p w14:paraId="291A3EF0">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lang w:val="en-US" w:eastAsia="zh-CN"/>
              </w:rPr>
            </w:pPr>
          </w:p>
        </w:tc>
      </w:tr>
      <w:tr w14:paraId="17883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0A25A9E0">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79" w:name="_Toc17049"/>
            <w:bookmarkStart w:id="5180" w:name="_Toc30998"/>
            <w:bookmarkStart w:id="5181" w:name="_Toc30434"/>
            <w:r>
              <w:rPr>
                <w:rFonts w:hint="eastAsia" w:cs="Times New Roman"/>
                <w:color w:val="auto"/>
                <w:sz w:val="21"/>
                <w:szCs w:val="21"/>
                <w:highlight w:val="none"/>
                <w:lang w:val="en-US" w:eastAsia="zh-CN"/>
              </w:rPr>
              <w:t>5</w:t>
            </w:r>
            <w:bookmarkEnd w:id="5179"/>
            <w:bookmarkEnd w:id="5180"/>
            <w:bookmarkEnd w:id="5181"/>
          </w:p>
        </w:tc>
        <w:tc>
          <w:tcPr>
            <w:tcW w:w="807" w:type="pct"/>
            <w:tcBorders>
              <w:tl2br w:val="nil"/>
              <w:tr2bl w:val="nil"/>
            </w:tcBorders>
            <w:vAlign w:val="center"/>
          </w:tcPr>
          <w:p w14:paraId="0BA0F36C">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82" w:name="_Toc28617"/>
            <w:bookmarkStart w:id="5183" w:name="_Toc21766"/>
            <w:bookmarkStart w:id="5184" w:name="_Toc4773"/>
            <w:bookmarkStart w:id="5185" w:name="_Toc13718"/>
            <w:bookmarkStart w:id="5186" w:name="_Toc3999"/>
            <w:r>
              <w:rPr>
                <w:rFonts w:hint="default" w:ascii="Times New Roman" w:hAnsi="Times New Roman" w:cs="Times New Roman"/>
                <w:color w:val="auto"/>
                <w:sz w:val="21"/>
                <w:szCs w:val="21"/>
                <w:highlight w:val="none"/>
                <w:lang w:val="en-US" w:eastAsia="zh-CN"/>
              </w:rPr>
              <w:t>草兔</w:t>
            </w:r>
            <w:bookmarkEnd w:id="5182"/>
            <w:bookmarkEnd w:id="5183"/>
            <w:bookmarkEnd w:id="5184"/>
            <w:bookmarkEnd w:id="5185"/>
            <w:bookmarkEnd w:id="5186"/>
          </w:p>
        </w:tc>
        <w:tc>
          <w:tcPr>
            <w:tcW w:w="1639" w:type="pct"/>
            <w:tcBorders>
              <w:tl2br w:val="nil"/>
              <w:tr2bl w:val="nil"/>
            </w:tcBorders>
            <w:vAlign w:val="center"/>
          </w:tcPr>
          <w:p w14:paraId="7859FEAE">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87" w:name="_Toc5022"/>
            <w:bookmarkStart w:id="5188" w:name="_Toc16468"/>
            <w:bookmarkStart w:id="5189" w:name="_Toc752"/>
            <w:bookmarkStart w:id="5190" w:name="_Toc19359"/>
            <w:bookmarkStart w:id="5191" w:name="_Toc5066"/>
            <w:r>
              <w:rPr>
                <w:rFonts w:hint="default" w:ascii="Times New Roman" w:hAnsi="Times New Roman" w:cs="Times New Roman"/>
                <w:color w:val="auto"/>
                <w:sz w:val="21"/>
                <w:szCs w:val="21"/>
                <w:highlight w:val="none"/>
                <w:lang w:val="en-US" w:eastAsia="zh-CN"/>
              </w:rPr>
              <w:t>Lepuscapensistolai</w:t>
            </w:r>
            <w:bookmarkEnd w:id="5187"/>
            <w:bookmarkEnd w:id="5188"/>
            <w:bookmarkEnd w:id="5189"/>
            <w:bookmarkEnd w:id="5190"/>
            <w:bookmarkEnd w:id="5191"/>
          </w:p>
        </w:tc>
        <w:tc>
          <w:tcPr>
            <w:tcW w:w="1294" w:type="pct"/>
            <w:gridSpan w:val="2"/>
            <w:tcBorders>
              <w:tl2br w:val="nil"/>
              <w:tr2bl w:val="nil"/>
            </w:tcBorders>
            <w:vAlign w:val="center"/>
          </w:tcPr>
          <w:p w14:paraId="1CFF5D62">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92" w:name="_Toc30925"/>
            <w:bookmarkStart w:id="5193" w:name="_Toc5565"/>
            <w:bookmarkStart w:id="5194" w:name="_Toc19717"/>
            <w:bookmarkStart w:id="5195" w:name="_Toc9840"/>
            <w:bookmarkStart w:id="5196" w:name="_Toc25376"/>
            <w:r>
              <w:rPr>
                <w:rFonts w:hint="default" w:ascii="Times New Roman" w:hAnsi="Times New Roman" w:cs="Times New Roman"/>
                <w:color w:val="auto"/>
                <w:sz w:val="21"/>
                <w:szCs w:val="21"/>
                <w:highlight w:val="none"/>
                <w:lang w:val="en-US" w:eastAsia="zh-CN"/>
              </w:rPr>
              <w:t>林地、灌丛草原</w:t>
            </w:r>
            <w:bookmarkEnd w:id="5192"/>
            <w:bookmarkEnd w:id="5193"/>
            <w:bookmarkEnd w:id="5194"/>
            <w:bookmarkEnd w:id="5195"/>
            <w:bookmarkEnd w:id="5196"/>
          </w:p>
        </w:tc>
        <w:tc>
          <w:tcPr>
            <w:tcW w:w="548" w:type="pct"/>
            <w:tcBorders>
              <w:tl2br w:val="nil"/>
              <w:tr2bl w:val="nil"/>
            </w:tcBorders>
            <w:vAlign w:val="center"/>
          </w:tcPr>
          <w:p w14:paraId="03289A7B">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197" w:name="_Toc20539"/>
            <w:bookmarkStart w:id="5198" w:name="_Toc24012"/>
            <w:bookmarkStart w:id="5199" w:name="_Toc3990"/>
            <w:bookmarkStart w:id="5200" w:name="_Toc4231"/>
            <w:bookmarkStart w:id="5201" w:name="_Toc27020"/>
            <w:r>
              <w:rPr>
                <w:rFonts w:hint="default" w:ascii="Times New Roman" w:hAnsi="Times New Roman" w:cs="Times New Roman"/>
                <w:color w:val="auto"/>
                <w:sz w:val="21"/>
                <w:szCs w:val="21"/>
                <w:highlight w:val="none"/>
                <w:lang w:val="en-US" w:eastAsia="zh-CN"/>
              </w:rPr>
              <w:t>+++</w:t>
            </w:r>
            <w:bookmarkEnd w:id="5197"/>
            <w:bookmarkEnd w:id="5198"/>
            <w:bookmarkEnd w:id="5199"/>
            <w:bookmarkEnd w:id="5200"/>
            <w:bookmarkEnd w:id="5201"/>
          </w:p>
        </w:tc>
        <w:tc>
          <w:tcPr>
            <w:tcW w:w="416" w:type="pct"/>
            <w:tcBorders>
              <w:tl2br w:val="nil"/>
              <w:tr2bl w:val="nil"/>
            </w:tcBorders>
            <w:vAlign w:val="center"/>
          </w:tcPr>
          <w:p w14:paraId="5F104E15">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lang w:val="en-US" w:eastAsia="zh-CN"/>
              </w:rPr>
            </w:pPr>
          </w:p>
        </w:tc>
      </w:tr>
      <w:tr w14:paraId="7C564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14:paraId="02B6CD33">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202" w:name="_Toc25193"/>
            <w:bookmarkStart w:id="5203" w:name="_Toc9164"/>
            <w:bookmarkStart w:id="5204" w:name="_Toc24511"/>
            <w:bookmarkStart w:id="5205" w:name="_Toc1605"/>
            <w:bookmarkStart w:id="5206" w:name="_Toc30805"/>
            <w:r>
              <w:rPr>
                <w:rFonts w:hint="default" w:ascii="Times New Roman" w:hAnsi="Times New Roman" w:cs="Times New Roman"/>
                <w:b/>
                <w:bCs/>
                <w:color w:val="auto"/>
                <w:sz w:val="21"/>
                <w:szCs w:val="21"/>
                <w:highlight w:val="none"/>
                <w:lang w:val="en-US" w:eastAsia="zh-CN"/>
              </w:rPr>
              <w:t>评价区鸟类名录</w:t>
            </w:r>
            <w:bookmarkEnd w:id="5202"/>
            <w:bookmarkEnd w:id="5203"/>
            <w:bookmarkEnd w:id="5204"/>
            <w:bookmarkEnd w:id="5205"/>
            <w:bookmarkEnd w:id="5206"/>
          </w:p>
        </w:tc>
      </w:tr>
      <w:tr w14:paraId="17CDA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14749920">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p>
        </w:tc>
        <w:tc>
          <w:tcPr>
            <w:tcW w:w="807" w:type="pct"/>
            <w:tcBorders>
              <w:tl2br w:val="nil"/>
              <w:tr2bl w:val="nil"/>
            </w:tcBorders>
            <w:vAlign w:val="center"/>
          </w:tcPr>
          <w:p w14:paraId="6387F2A8">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07" w:name="_Toc27561"/>
            <w:bookmarkStart w:id="5208" w:name="_Toc10316"/>
            <w:bookmarkStart w:id="5209" w:name="_Toc29436"/>
            <w:bookmarkStart w:id="5210" w:name="_Toc19867"/>
            <w:bookmarkStart w:id="5211" w:name="_Toc9912"/>
            <w:r>
              <w:rPr>
                <w:rFonts w:hint="default" w:ascii="Times New Roman" w:hAnsi="Times New Roman" w:cs="Times New Roman"/>
                <w:b/>
                <w:bCs/>
                <w:color w:val="auto"/>
                <w:sz w:val="21"/>
                <w:szCs w:val="21"/>
                <w:highlight w:val="none"/>
                <w:lang w:val="en-US" w:eastAsia="zh-CN"/>
              </w:rPr>
              <w:t>种类</w:t>
            </w:r>
            <w:bookmarkEnd w:id="5207"/>
            <w:bookmarkEnd w:id="5208"/>
            <w:bookmarkEnd w:id="5209"/>
            <w:bookmarkEnd w:id="5210"/>
            <w:bookmarkEnd w:id="5211"/>
          </w:p>
        </w:tc>
        <w:tc>
          <w:tcPr>
            <w:tcW w:w="1639" w:type="pct"/>
            <w:tcBorders>
              <w:tl2br w:val="nil"/>
              <w:tr2bl w:val="nil"/>
            </w:tcBorders>
            <w:vAlign w:val="center"/>
          </w:tcPr>
          <w:p w14:paraId="6D168EAF">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12" w:name="_Toc13514"/>
            <w:bookmarkStart w:id="5213" w:name="_Toc31911"/>
            <w:bookmarkStart w:id="5214" w:name="_Toc875"/>
            <w:bookmarkStart w:id="5215" w:name="_Toc23631"/>
            <w:bookmarkStart w:id="5216" w:name="_Toc17014"/>
            <w:r>
              <w:rPr>
                <w:rFonts w:hint="default" w:ascii="Times New Roman" w:hAnsi="Times New Roman" w:cs="Times New Roman"/>
                <w:b/>
                <w:bCs/>
                <w:color w:val="auto"/>
                <w:sz w:val="21"/>
                <w:szCs w:val="21"/>
                <w:highlight w:val="none"/>
                <w:lang w:val="en-US" w:eastAsia="zh-CN"/>
              </w:rPr>
              <w:t>拉丁名称</w:t>
            </w:r>
            <w:bookmarkEnd w:id="5212"/>
            <w:bookmarkEnd w:id="5213"/>
            <w:bookmarkEnd w:id="5214"/>
            <w:bookmarkEnd w:id="5215"/>
            <w:bookmarkEnd w:id="5216"/>
          </w:p>
        </w:tc>
        <w:tc>
          <w:tcPr>
            <w:tcW w:w="453" w:type="pct"/>
            <w:tcBorders>
              <w:tl2br w:val="nil"/>
              <w:tr2bl w:val="nil"/>
            </w:tcBorders>
            <w:vAlign w:val="center"/>
          </w:tcPr>
          <w:p w14:paraId="19FC6EB2">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17" w:name="_Toc20769"/>
            <w:bookmarkStart w:id="5218" w:name="_Toc17865"/>
            <w:bookmarkStart w:id="5219" w:name="_Toc53"/>
            <w:bookmarkStart w:id="5220" w:name="_Toc9240"/>
            <w:bookmarkStart w:id="5221" w:name="_Toc16482"/>
            <w:r>
              <w:rPr>
                <w:rFonts w:hint="default" w:ascii="Times New Roman" w:hAnsi="Times New Roman" w:cs="Times New Roman"/>
                <w:b/>
                <w:bCs/>
                <w:color w:val="auto"/>
                <w:sz w:val="21"/>
                <w:szCs w:val="21"/>
                <w:highlight w:val="none"/>
                <w:lang w:val="en-US" w:eastAsia="zh-CN"/>
              </w:rPr>
              <w:t>居留</w:t>
            </w:r>
            <w:bookmarkEnd w:id="5217"/>
            <w:bookmarkEnd w:id="5218"/>
            <w:bookmarkEnd w:id="5219"/>
            <w:bookmarkEnd w:id="5220"/>
            <w:bookmarkEnd w:id="5221"/>
          </w:p>
          <w:p w14:paraId="74731533">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22" w:name="_Toc27831"/>
            <w:bookmarkStart w:id="5223" w:name="_Toc3193"/>
            <w:bookmarkStart w:id="5224" w:name="_Toc1524"/>
            <w:bookmarkStart w:id="5225" w:name="_Toc17940"/>
            <w:bookmarkStart w:id="5226" w:name="_Toc23170"/>
            <w:r>
              <w:rPr>
                <w:rFonts w:hint="default" w:ascii="Times New Roman" w:hAnsi="Times New Roman" w:cs="Times New Roman"/>
                <w:b/>
                <w:bCs/>
                <w:color w:val="auto"/>
                <w:sz w:val="21"/>
                <w:szCs w:val="21"/>
                <w:highlight w:val="none"/>
                <w:lang w:val="en-US" w:eastAsia="zh-CN"/>
              </w:rPr>
              <w:t>类型</w:t>
            </w:r>
            <w:bookmarkEnd w:id="5222"/>
            <w:bookmarkEnd w:id="5223"/>
            <w:bookmarkEnd w:id="5224"/>
            <w:bookmarkEnd w:id="5225"/>
            <w:bookmarkEnd w:id="5226"/>
          </w:p>
        </w:tc>
        <w:tc>
          <w:tcPr>
            <w:tcW w:w="841" w:type="pct"/>
            <w:tcBorders>
              <w:tl2br w:val="nil"/>
              <w:tr2bl w:val="nil"/>
            </w:tcBorders>
            <w:vAlign w:val="center"/>
          </w:tcPr>
          <w:p w14:paraId="47442F48">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27" w:name="_Toc10760"/>
            <w:bookmarkStart w:id="5228" w:name="_Toc530"/>
            <w:bookmarkStart w:id="5229" w:name="_Toc19716"/>
            <w:bookmarkStart w:id="5230" w:name="_Toc491"/>
            <w:bookmarkStart w:id="5231" w:name="_Toc31139"/>
            <w:r>
              <w:rPr>
                <w:rFonts w:hint="default" w:ascii="Times New Roman" w:hAnsi="Times New Roman" w:cs="Times New Roman"/>
                <w:b/>
                <w:bCs/>
                <w:color w:val="auto"/>
                <w:sz w:val="21"/>
                <w:szCs w:val="21"/>
                <w:highlight w:val="none"/>
                <w:lang w:val="en-US" w:eastAsia="zh-CN"/>
              </w:rPr>
              <w:t>生境、类型</w:t>
            </w:r>
            <w:bookmarkEnd w:id="5227"/>
            <w:bookmarkEnd w:id="5228"/>
            <w:bookmarkEnd w:id="5229"/>
            <w:bookmarkEnd w:id="5230"/>
            <w:bookmarkEnd w:id="5231"/>
          </w:p>
        </w:tc>
        <w:tc>
          <w:tcPr>
            <w:tcW w:w="548" w:type="pct"/>
            <w:tcBorders>
              <w:tl2br w:val="nil"/>
              <w:tr2bl w:val="nil"/>
            </w:tcBorders>
            <w:vAlign w:val="center"/>
          </w:tcPr>
          <w:p w14:paraId="1EBB6DF0">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32" w:name="_Toc23434"/>
            <w:bookmarkStart w:id="5233" w:name="_Toc21417"/>
            <w:bookmarkStart w:id="5234" w:name="_Toc30145"/>
            <w:bookmarkStart w:id="5235" w:name="_Toc16609"/>
            <w:bookmarkStart w:id="5236" w:name="_Toc22271"/>
            <w:r>
              <w:rPr>
                <w:rFonts w:hint="default" w:ascii="Times New Roman" w:hAnsi="Times New Roman" w:cs="Times New Roman"/>
                <w:b/>
                <w:bCs/>
                <w:color w:val="auto"/>
                <w:sz w:val="21"/>
                <w:szCs w:val="21"/>
                <w:highlight w:val="none"/>
                <w:lang w:val="en-US" w:eastAsia="zh-CN"/>
              </w:rPr>
              <w:t>种群数量等级</w:t>
            </w:r>
            <w:bookmarkEnd w:id="5232"/>
            <w:bookmarkEnd w:id="5233"/>
            <w:bookmarkEnd w:id="5234"/>
            <w:bookmarkEnd w:id="5235"/>
            <w:bookmarkEnd w:id="5236"/>
          </w:p>
        </w:tc>
        <w:tc>
          <w:tcPr>
            <w:tcW w:w="416" w:type="pct"/>
            <w:tcBorders>
              <w:tl2br w:val="nil"/>
              <w:tr2bl w:val="nil"/>
            </w:tcBorders>
            <w:vAlign w:val="center"/>
          </w:tcPr>
          <w:p w14:paraId="1311BA91">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37" w:name="_Toc3789"/>
            <w:bookmarkStart w:id="5238" w:name="_Toc11319"/>
            <w:bookmarkStart w:id="5239" w:name="_Toc15857"/>
            <w:bookmarkStart w:id="5240" w:name="_Toc10729"/>
            <w:bookmarkStart w:id="5241" w:name="_Toc27155"/>
            <w:r>
              <w:rPr>
                <w:rFonts w:hint="default" w:ascii="Times New Roman" w:hAnsi="Times New Roman" w:cs="Times New Roman"/>
                <w:b/>
                <w:bCs/>
                <w:color w:val="auto"/>
                <w:sz w:val="21"/>
                <w:szCs w:val="21"/>
                <w:highlight w:val="none"/>
                <w:lang w:val="en-US" w:eastAsia="zh-CN"/>
              </w:rPr>
              <w:t>保护</w:t>
            </w:r>
            <w:bookmarkEnd w:id="5237"/>
            <w:bookmarkEnd w:id="5238"/>
            <w:bookmarkEnd w:id="5239"/>
            <w:bookmarkEnd w:id="5240"/>
            <w:bookmarkEnd w:id="5241"/>
          </w:p>
          <w:p w14:paraId="00943839">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5242" w:name="_Toc1570"/>
            <w:bookmarkStart w:id="5243" w:name="_Toc22973"/>
            <w:bookmarkStart w:id="5244" w:name="_Toc14218"/>
            <w:bookmarkStart w:id="5245" w:name="_Toc19460"/>
            <w:bookmarkStart w:id="5246" w:name="_Toc23189"/>
            <w:r>
              <w:rPr>
                <w:rFonts w:hint="default" w:ascii="Times New Roman" w:hAnsi="Times New Roman" w:cs="Times New Roman"/>
                <w:b/>
                <w:bCs/>
                <w:color w:val="auto"/>
                <w:sz w:val="21"/>
                <w:szCs w:val="21"/>
                <w:highlight w:val="none"/>
                <w:lang w:val="en-US" w:eastAsia="zh-CN"/>
              </w:rPr>
              <w:t>级别</w:t>
            </w:r>
            <w:bookmarkEnd w:id="5242"/>
            <w:bookmarkEnd w:id="5243"/>
            <w:bookmarkEnd w:id="5244"/>
            <w:bookmarkEnd w:id="5245"/>
            <w:bookmarkEnd w:id="5246"/>
          </w:p>
        </w:tc>
      </w:tr>
      <w:tr w14:paraId="3240D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21F84BFA">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247" w:name="_Toc25457"/>
            <w:bookmarkStart w:id="5248" w:name="_Toc19187"/>
            <w:bookmarkStart w:id="5249" w:name="_Toc20422"/>
            <w:r>
              <w:rPr>
                <w:rFonts w:hint="eastAsia" w:cs="Times New Roman"/>
                <w:color w:val="auto"/>
                <w:sz w:val="21"/>
                <w:szCs w:val="21"/>
                <w:highlight w:val="none"/>
                <w:lang w:val="en-US" w:eastAsia="zh-CN"/>
              </w:rPr>
              <w:t>6</w:t>
            </w:r>
            <w:bookmarkEnd w:id="5247"/>
            <w:bookmarkEnd w:id="5248"/>
            <w:bookmarkEnd w:id="5249"/>
          </w:p>
        </w:tc>
        <w:tc>
          <w:tcPr>
            <w:tcW w:w="807" w:type="pct"/>
            <w:tcBorders>
              <w:tl2br w:val="nil"/>
              <w:tr2bl w:val="nil"/>
            </w:tcBorders>
            <w:vAlign w:val="center"/>
          </w:tcPr>
          <w:p w14:paraId="0E9D03F2">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250" w:name="_Toc8900"/>
            <w:bookmarkStart w:id="5251" w:name="_Toc15109"/>
            <w:bookmarkStart w:id="5252" w:name="_Toc1139"/>
            <w:bookmarkStart w:id="5253" w:name="_Toc31003"/>
            <w:bookmarkStart w:id="5254" w:name="_Toc27651"/>
            <w:r>
              <w:rPr>
                <w:rFonts w:hint="default" w:ascii="Times New Roman" w:hAnsi="Times New Roman" w:cs="Times New Roman"/>
                <w:color w:val="auto"/>
                <w:sz w:val="21"/>
                <w:szCs w:val="21"/>
                <w:highlight w:val="none"/>
                <w:lang w:val="en-US" w:eastAsia="zh-CN"/>
              </w:rPr>
              <w:t>环颈雉</w:t>
            </w:r>
            <w:bookmarkEnd w:id="5250"/>
            <w:bookmarkEnd w:id="5251"/>
            <w:bookmarkEnd w:id="5252"/>
            <w:bookmarkEnd w:id="5253"/>
            <w:bookmarkEnd w:id="5254"/>
          </w:p>
        </w:tc>
        <w:tc>
          <w:tcPr>
            <w:tcW w:w="1639" w:type="pct"/>
            <w:tcBorders>
              <w:tl2br w:val="nil"/>
              <w:tr2bl w:val="nil"/>
            </w:tcBorders>
            <w:vAlign w:val="center"/>
          </w:tcPr>
          <w:p w14:paraId="120CDCD6">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255" w:name="_Toc25961"/>
            <w:bookmarkStart w:id="5256" w:name="_Toc23430"/>
            <w:bookmarkStart w:id="5257" w:name="_Toc15553"/>
            <w:bookmarkStart w:id="5258" w:name="_Toc8956"/>
            <w:bookmarkStart w:id="5259" w:name="_Toc24508"/>
            <w:r>
              <w:rPr>
                <w:rFonts w:hint="default" w:ascii="Times New Roman" w:hAnsi="Times New Roman" w:cs="Times New Roman"/>
                <w:color w:val="auto"/>
                <w:sz w:val="21"/>
                <w:szCs w:val="21"/>
                <w:highlight w:val="none"/>
                <w:lang w:val="en-US" w:eastAsia="zh-CN"/>
              </w:rPr>
              <w:t>Phasianuscolchicus</w:t>
            </w:r>
            <w:bookmarkEnd w:id="5255"/>
            <w:bookmarkEnd w:id="5256"/>
            <w:bookmarkEnd w:id="5257"/>
            <w:bookmarkEnd w:id="5258"/>
            <w:bookmarkEnd w:id="5259"/>
          </w:p>
        </w:tc>
        <w:tc>
          <w:tcPr>
            <w:tcW w:w="453" w:type="pct"/>
            <w:tcBorders>
              <w:tl2br w:val="nil"/>
              <w:tr2bl w:val="nil"/>
            </w:tcBorders>
            <w:vAlign w:val="center"/>
          </w:tcPr>
          <w:p w14:paraId="07824354">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260" w:name="_Toc30622"/>
            <w:bookmarkStart w:id="5261" w:name="_Toc9593"/>
            <w:bookmarkStart w:id="5262" w:name="_Toc10408"/>
            <w:bookmarkStart w:id="5263" w:name="_Toc10814"/>
            <w:bookmarkStart w:id="5264" w:name="_Toc26868"/>
            <w:r>
              <w:rPr>
                <w:rFonts w:hint="default" w:ascii="Times New Roman" w:hAnsi="Times New Roman" w:cs="Times New Roman"/>
                <w:color w:val="auto"/>
                <w:sz w:val="21"/>
                <w:szCs w:val="21"/>
                <w:highlight w:val="none"/>
                <w:lang w:val="en-US" w:eastAsia="zh-CN"/>
              </w:rPr>
              <w:t>R</w:t>
            </w:r>
            <w:bookmarkEnd w:id="5260"/>
            <w:bookmarkEnd w:id="5261"/>
            <w:bookmarkEnd w:id="5262"/>
            <w:bookmarkEnd w:id="5263"/>
            <w:bookmarkEnd w:id="5264"/>
          </w:p>
        </w:tc>
        <w:tc>
          <w:tcPr>
            <w:tcW w:w="841" w:type="pct"/>
            <w:tcBorders>
              <w:tl2br w:val="nil"/>
              <w:tr2bl w:val="nil"/>
            </w:tcBorders>
            <w:vAlign w:val="center"/>
          </w:tcPr>
          <w:p w14:paraId="6207E02C">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265" w:name="_Toc12502"/>
            <w:bookmarkStart w:id="5266" w:name="_Toc2153"/>
            <w:bookmarkStart w:id="5267" w:name="_Toc2483"/>
            <w:bookmarkStart w:id="5268" w:name="_Toc18837"/>
            <w:bookmarkStart w:id="5269" w:name="_Toc486"/>
            <w:r>
              <w:rPr>
                <w:rFonts w:hint="default" w:ascii="Times New Roman" w:hAnsi="Times New Roman" w:cs="Times New Roman"/>
                <w:color w:val="auto"/>
                <w:sz w:val="21"/>
                <w:szCs w:val="21"/>
                <w:highlight w:val="none"/>
                <w:lang w:val="en-US" w:eastAsia="zh-CN"/>
              </w:rPr>
              <w:t>灌丛草地、农田</w:t>
            </w:r>
            <w:bookmarkEnd w:id="5265"/>
            <w:bookmarkEnd w:id="5266"/>
            <w:bookmarkEnd w:id="5267"/>
            <w:bookmarkEnd w:id="5268"/>
            <w:bookmarkEnd w:id="5269"/>
          </w:p>
        </w:tc>
        <w:tc>
          <w:tcPr>
            <w:tcW w:w="548" w:type="pct"/>
            <w:tcBorders>
              <w:tl2br w:val="nil"/>
              <w:tr2bl w:val="nil"/>
            </w:tcBorders>
            <w:vAlign w:val="center"/>
          </w:tcPr>
          <w:p w14:paraId="03AA8CC6">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lang w:val="en-US" w:eastAsia="zh-CN"/>
              </w:rPr>
            </w:pPr>
            <w:bookmarkStart w:id="5270" w:name="_Toc6870"/>
            <w:bookmarkStart w:id="5271" w:name="_Toc15426"/>
            <w:bookmarkStart w:id="5272" w:name="_Toc16001"/>
            <w:bookmarkStart w:id="5273" w:name="_Toc19535"/>
            <w:bookmarkStart w:id="5274" w:name="_Toc27167"/>
            <w:r>
              <w:rPr>
                <w:rFonts w:hint="default" w:ascii="Times New Roman" w:hAnsi="Times New Roman" w:cs="Times New Roman"/>
                <w:color w:val="auto"/>
                <w:sz w:val="21"/>
                <w:szCs w:val="21"/>
                <w:highlight w:val="none"/>
                <w:lang w:val="en-US" w:eastAsia="zh-CN"/>
              </w:rPr>
              <w:t>++</w:t>
            </w:r>
            <w:bookmarkEnd w:id="5270"/>
            <w:bookmarkEnd w:id="5271"/>
            <w:bookmarkEnd w:id="5272"/>
            <w:bookmarkEnd w:id="5273"/>
            <w:bookmarkEnd w:id="5274"/>
          </w:p>
        </w:tc>
        <w:tc>
          <w:tcPr>
            <w:tcW w:w="416" w:type="pct"/>
            <w:tcBorders>
              <w:tl2br w:val="nil"/>
              <w:tr2bl w:val="nil"/>
            </w:tcBorders>
            <w:vAlign w:val="center"/>
          </w:tcPr>
          <w:p w14:paraId="300E8D99">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lang w:val="en-US" w:eastAsia="zh-CN"/>
              </w:rPr>
            </w:pPr>
          </w:p>
        </w:tc>
      </w:tr>
      <w:tr w14:paraId="21D70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 w:type="pct"/>
            <w:tcBorders>
              <w:tl2br w:val="nil"/>
              <w:tr2bl w:val="nil"/>
            </w:tcBorders>
            <w:vAlign w:val="center"/>
          </w:tcPr>
          <w:p w14:paraId="4BA7BA4A">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275" w:name="_Toc30649"/>
            <w:bookmarkStart w:id="5276" w:name="_Toc146"/>
            <w:bookmarkStart w:id="5277" w:name="_Toc29697"/>
            <w:r>
              <w:rPr>
                <w:rFonts w:hint="eastAsia" w:cs="Times New Roman"/>
                <w:color w:val="auto"/>
                <w:sz w:val="21"/>
                <w:szCs w:val="21"/>
                <w:highlight w:val="none"/>
                <w:lang w:val="en-US" w:eastAsia="zh-CN"/>
              </w:rPr>
              <w:t>7</w:t>
            </w:r>
            <w:bookmarkEnd w:id="5275"/>
            <w:bookmarkEnd w:id="5276"/>
            <w:bookmarkEnd w:id="5277"/>
          </w:p>
        </w:tc>
        <w:tc>
          <w:tcPr>
            <w:tcW w:w="807" w:type="pct"/>
            <w:tcBorders>
              <w:tl2br w:val="nil"/>
              <w:tr2bl w:val="nil"/>
            </w:tcBorders>
            <w:vAlign w:val="center"/>
          </w:tcPr>
          <w:p w14:paraId="76F2347A">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278" w:name="_Toc16920"/>
            <w:bookmarkStart w:id="5279" w:name="_Toc27131"/>
            <w:bookmarkStart w:id="5280" w:name="_Toc24472"/>
            <w:bookmarkStart w:id="5281" w:name="_Toc26855"/>
            <w:bookmarkStart w:id="5282" w:name="_Toc7754"/>
            <w:r>
              <w:rPr>
                <w:rFonts w:hint="default" w:ascii="Times New Roman" w:hAnsi="Times New Roman" w:cs="Times New Roman"/>
                <w:color w:val="auto"/>
                <w:sz w:val="21"/>
                <w:szCs w:val="21"/>
                <w:highlight w:val="none"/>
                <w:lang w:val="en-US" w:eastAsia="zh-CN"/>
              </w:rPr>
              <w:t>灰斑鸠</w:t>
            </w:r>
            <w:bookmarkEnd w:id="5278"/>
            <w:bookmarkEnd w:id="5279"/>
            <w:bookmarkEnd w:id="5280"/>
            <w:bookmarkEnd w:id="5281"/>
            <w:bookmarkEnd w:id="5282"/>
          </w:p>
        </w:tc>
        <w:tc>
          <w:tcPr>
            <w:tcW w:w="1639" w:type="pct"/>
            <w:tcBorders>
              <w:tl2br w:val="nil"/>
              <w:tr2bl w:val="nil"/>
            </w:tcBorders>
            <w:vAlign w:val="center"/>
          </w:tcPr>
          <w:p w14:paraId="4CA79CA4">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283" w:name="_Toc24474"/>
            <w:bookmarkStart w:id="5284" w:name="_Toc19258"/>
            <w:bookmarkStart w:id="5285" w:name="_Toc16649"/>
            <w:bookmarkStart w:id="5286" w:name="_Toc25608"/>
            <w:bookmarkStart w:id="5287" w:name="_Toc26702"/>
            <w:r>
              <w:rPr>
                <w:rFonts w:hint="default" w:ascii="Times New Roman" w:hAnsi="Times New Roman" w:cs="Times New Roman"/>
                <w:color w:val="auto"/>
                <w:sz w:val="21"/>
                <w:szCs w:val="21"/>
                <w:highlight w:val="none"/>
                <w:lang w:val="en-US" w:eastAsia="zh-CN"/>
              </w:rPr>
              <w:t>Streptopeliadecaocto</w:t>
            </w:r>
            <w:bookmarkEnd w:id="5283"/>
            <w:bookmarkEnd w:id="5284"/>
            <w:bookmarkEnd w:id="5285"/>
            <w:bookmarkEnd w:id="5286"/>
            <w:bookmarkEnd w:id="5287"/>
          </w:p>
        </w:tc>
        <w:tc>
          <w:tcPr>
            <w:tcW w:w="453" w:type="pct"/>
            <w:tcBorders>
              <w:tl2br w:val="nil"/>
              <w:tr2bl w:val="nil"/>
            </w:tcBorders>
            <w:vAlign w:val="center"/>
          </w:tcPr>
          <w:p w14:paraId="03CBE3F4">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288" w:name="_Toc22740"/>
            <w:bookmarkStart w:id="5289" w:name="_Toc11284"/>
            <w:bookmarkStart w:id="5290" w:name="_Toc3477"/>
            <w:bookmarkStart w:id="5291" w:name="_Toc25986"/>
            <w:bookmarkStart w:id="5292" w:name="_Toc3474"/>
            <w:r>
              <w:rPr>
                <w:rFonts w:hint="default" w:ascii="Times New Roman" w:hAnsi="Times New Roman" w:cs="Times New Roman"/>
                <w:color w:val="auto"/>
                <w:sz w:val="21"/>
                <w:szCs w:val="21"/>
                <w:highlight w:val="none"/>
                <w:lang w:val="en-US" w:eastAsia="zh-CN"/>
              </w:rPr>
              <w:t>R</w:t>
            </w:r>
            <w:bookmarkEnd w:id="5288"/>
            <w:bookmarkEnd w:id="5289"/>
            <w:bookmarkEnd w:id="5290"/>
            <w:bookmarkEnd w:id="5291"/>
            <w:bookmarkEnd w:id="5292"/>
          </w:p>
        </w:tc>
        <w:tc>
          <w:tcPr>
            <w:tcW w:w="841" w:type="pct"/>
            <w:tcBorders>
              <w:tl2br w:val="nil"/>
              <w:tr2bl w:val="nil"/>
            </w:tcBorders>
            <w:vAlign w:val="center"/>
          </w:tcPr>
          <w:p w14:paraId="2757BAE3">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293" w:name="_Toc27245"/>
            <w:bookmarkStart w:id="5294" w:name="_Toc11432"/>
            <w:bookmarkStart w:id="5295" w:name="_Toc29683"/>
            <w:bookmarkStart w:id="5296" w:name="_Toc27988"/>
            <w:bookmarkStart w:id="5297" w:name="_Toc11688"/>
            <w:r>
              <w:rPr>
                <w:rFonts w:hint="default" w:ascii="Times New Roman" w:hAnsi="Times New Roman" w:cs="Times New Roman"/>
                <w:color w:val="auto"/>
                <w:sz w:val="21"/>
                <w:szCs w:val="21"/>
                <w:highlight w:val="none"/>
                <w:lang w:val="en-US" w:eastAsia="zh-CN"/>
              </w:rPr>
              <w:t>林地、灌丛草地、农田、居民区</w:t>
            </w:r>
            <w:bookmarkEnd w:id="5293"/>
            <w:bookmarkEnd w:id="5294"/>
            <w:bookmarkEnd w:id="5295"/>
            <w:bookmarkEnd w:id="5296"/>
            <w:bookmarkEnd w:id="5297"/>
          </w:p>
        </w:tc>
        <w:tc>
          <w:tcPr>
            <w:tcW w:w="548" w:type="pct"/>
            <w:tcBorders>
              <w:tl2br w:val="nil"/>
              <w:tr2bl w:val="nil"/>
            </w:tcBorders>
            <w:vAlign w:val="center"/>
          </w:tcPr>
          <w:p w14:paraId="771DBF07">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298" w:name="_Toc12210"/>
            <w:bookmarkStart w:id="5299" w:name="_Toc16329"/>
            <w:bookmarkStart w:id="5300" w:name="_Toc19551"/>
            <w:bookmarkStart w:id="5301" w:name="_Toc24008"/>
            <w:bookmarkStart w:id="5302" w:name="_Toc24182"/>
            <w:r>
              <w:rPr>
                <w:rFonts w:hint="default" w:ascii="Times New Roman" w:hAnsi="Times New Roman" w:cs="Times New Roman"/>
                <w:color w:val="auto"/>
                <w:sz w:val="21"/>
                <w:szCs w:val="21"/>
                <w:highlight w:val="none"/>
                <w:lang w:val="en-US" w:eastAsia="zh-CN"/>
              </w:rPr>
              <w:t>++++</w:t>
            </w:r>
            <w:bookmarkEnd w:id="5298"/>
            <w:bookmarkEnd w:id="5299"/>
            <w:bookmarkEnd w:id="5300"/>
            <w:bookmarkEnd w:id="5301"/>
            <w:bookmarkEnd w:id="5302"/>
          </w:p>
        </w:tc>
        <w:tc>
          <w:tcPr>
            <w:tcW w:w="416" w:type="pct"/>
            <w:tcBorders>
              <w:tl2br w:val="nil"/>
              <w:tr2bl w:val="nil"/>
            </w:tcBorders>
            <w:vAlign w:val="center"/>
          </w:tcPr>
          <w:p w14:paraId="6BC6409F">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162D4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689E6424">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03" w:name="_Toc31400"/>
            <w:bookmarkStart w:id="5304" w:name="_Toc16135"/>
            <w:bookmarkStart w:id="5305" w:name="_Toc26094"/>
            <w:r>
              <w:rPr>
                <w:rFonts w:hint="eastAsia" w:cs="Times New Roman"/>
                <w:color w:val="auto"/>
                <w:sz w:val="21"/>
                <w:szCs w:val="21"/>
                <w:highlight w:val="none"/>
                <w:lang w:val="en-US" w:eastAsia="zh-CN"/>
              </w:rPr>
              <w:t>8</w:t>
            </w:r>
            <w:bookmarkEnd w:id="5303"/>
            <w:bookmarkEnd w:id="5304"/>
            <w:bookmarkEnd w:id="5305"/>
          </w:p>
        </w:tc>
        <w:tc>
          <w:tcPr>
            <w:tcW w:w="807" w:type="pct"/>
            <w:tcBorders>
              <w:tl2br w:val="nil"/>
              <w:tr2bl w:val="nil"/>
            </w:tcBorders>
            <w:vAlign w:val="center"/>
          </w:tcPr>
          <w:p w14:paraId="35A4547D">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06" w:name="_Toc23272"/>
            <w:bookmarkStart w:id="5307" w:name="_Toc7233"/>
            <w:bookmarkStart w:id="5308" w:name="_Toc11459"/>
            <w:bookmarkStart w:id="5309" w:name="_Toc5464"/>
            <w:bookmarkStart w:id="5310" w:name="_Toc8448"/>
            <w:r>
              <w:rPr>
                <w:rFonts w:hint="default" w:ascii="Times New Roman" w:hAnsi="Times New Roman" w:cs="Times New Roman"/>
                <w:color w:val="auto"/>
                <w:sz w:val="21"/>
                <w:szCs w:val="21"/>
                <w:highlight w:val="none"/>
                <w:lang w:val="en-US" w:eastAsia="zh-CN"/>
              </w:rPr>
              <w:t>普通楼燕</w:t>
            </w:r>
            <w:bookmarkEnd w:id="5306"/>
            <w:bookmarkEnd w:id="5307"/>
            <w:bookmarkEnd w:id="5308"/>
            <w:bookmarkEnd w:id="5309"/>
            <w:bookmarkEnd w:id="5310"/>
          </w:p>
        </w:tc>
        <w:tc>
          <w:tcPr>
            <w:tcW w:w="1639" w:type="pct"/>
            <w:tcBorders>
              <w:tl2br w:val="nil"/>
              <w:tr2bl w:val="nil"/>
            </w:tcBorders>
            <w:vAlign w:val="center"/>
          </w:tcPr>
          <w:p w14:paraId="4849EB31">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11" w:name="_Toc403"/>
            <w:bookmarkStart w:id="5312" w:name="_Toc3387"/>
            <w:bookmarkStart w:id="5313" w:name="_Toc31096"/>
            <w:bookmarkStart w:id="5314" w:name="_Toc31374"/>
            <w:bookmarkStart w:id="5315" w:name="_Toc18117"/>
            <w:r>
              <w:rPr>
                <w:rFonts w:hint="default" w:ascii="Times New Roman" w:hAnsi="Times New Roman" w:cs="Times New Roman"/>
                <w:color w:val="auto"/>
                <w:sz w:val="21"/>
                <w:szCs w:val="21"/>
                <w:highlight w:val="none"/>
                <w:lang w:val="en-US" w:eastAsia="zh-CN"/>
              </w:rPr>
              <w:t>Apusapuspekinensis</w:t>
            </w:r>
            <w:bookmarkEnd w:id="5311"/>
            <w:bookmarkEnd w:id="5312"/>
            <w:bookmarkEnd w:id="5313"/>
            <w:bookmarkEnd w:id="5314"/>
            <w:bookmarkEnd w:id="5315"/>
          </w:p>
        </w:tc>
        <w:tc>
          <w:tcPr>
            <w:tcW w:w="453" w:type="pct"/>
            <w:tcBorders>
              <w:tl2br w:val="nil"/>
              <w:tr2bl w:val="nil"/>
            </w:tcBorders>
            <w:vAlign w:val="center"/>
          </w:tcPr>
          <w:p w14:paraId="026906D2">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16" w:name="_Toc17653"/>
            <w:bookmarkStart w:id="5317" w:name="_Toc30391"/>
            <w:bookmarkStart w:id="5318" w:name="_Toc7747"/>
            <w:bookmarkStart w:id="5319" w:name="_Toc16524"/>
            <w:bookmarkStart w:id="5320" w:name="_Toc11828"/>
            <w:r>
              <w:rPr>
                <w:rFonts w:hint="default" w:ascii="Times New Roman" w:hAnsi="Times New Roman" w:cs="Times New Roman"/>
                <w:color w:val="auto"/>
                <w:sz w:val="21"/>
                <w:szCs w:val="21"/>
                <w:highlight w:val="none"/>
                <w:lang w:val="en-US" w:eastAsia="zh-CN"/>
              </w:rPr>
              <w:t>S</w:t>
            </w:r>
            <w:bookmarkEnd w:id="5316"/>
            <w:bookmarkEnd w:id="5317"/>
            <w:bookmarkEnd w:id="5318"/>
            <w:bookmarkEnd w:id="5319"/>
            <w:bookmarkEnd w:id="5320"/>
          </w:p>
        </w:tc>
        <w:tc>
          <w:tcPr>
            <w:tcW w:w="841" w:type="pct"/>
            <w:tcBorders>
              <w:tl2br w:val="nil"/>
              <w:tr2bl w:val="nil"/>
            </w:tcBorders>
            <w:vAlign w:val="center"/>
          </w:tcPr>
          <w:p w14:paraId="4A9DE399">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21" w:name="_Toc21028"/>
            <w:bookmarkStart w:id="5322" w:name="_Toc10161"/>
            <w:bookmarkStart w:id="5323" w:name="_Toc22112"/>
            <w:bookmarkStart w:id="5324" w:name="_Toc31237"/>
            <w:bookmarkStart w:id="5325" w:name="_Toc7954"/>
            <w:r>
              <w:rPr>
                <w:rFonts w:hint="default" w:ascii="Times New Roman" w:hAnsi="Times New Roman" w:cs="Times New Roman"/>
                <w:color w:val="auto"/>
                <w:sz w:val="21"/>
                <w:szCs w:val="21"/>
                <w:highlight w:val="none"/>
                <w:lang w:val="en-US" w:eastAsia="zh-CN"/>
              </w:rPr>
              <w:t>居民区</w:t>
            </w:r>
            <w:bookmarkEnd w:id="5321"/>
            <w:bookmarkEnd w:id="5322"/>
            <w:bookmarkEnd w:id="5323"/>
            <w:bookmarkEnd w:id="5324"/>
            <w:bookmarkEnd w:id="5325"/>
          </w:p>
        </w:tc>
        <w:tc>
          <w:tcPr>
            <w:tcW w:w="548" w:type="pct"/>
            <w:tcBorders>
              <w:tl2br w:val="nil"/>
              <w:tr2bl w:val="nil"/>
            </w:tcBorders>
            <w:vAlign w:val="center"/>
          </w:tcPr>
          <w:p w14:paraId="2C945DF6">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26" w:name="_Toc16667"/>
            <w:bookmarkStart w:id="5327" w:name="_Toc5905"/>
            <w:bookmarkStart w:id="5328" w:name="_Toc22588"/>
            <w:bookmarkStart w:id="5329" w:name="_Toc32390"/>
            <w:bookmarkStart w:id="5330" w:name="_Toc2107"/>
            <w:r>
              <w:rPr>
                <w:rFonts w:hint="default" w:ascii="Times New Roman" w:hAnsi="Times New Roman" w:cs="Times New Roman"/>
                <w:color w:val="auto"/>
                <w:sz w:val="21"/>
                <w:szCs w:val="21"/>
                <w:highlight w:val="none"/>
                <w:lang w:val="en-US" w:eastAsia="zh-CN"/>
              </w:rPr>
              <w:t>+++</w:t>
            </w:r>
            <w:bookmarkEnd w:id="5326"/>
            <w:bookmarkEnd w:id="5327"/>
            <w:bookmarkEnd w:id="5328"/>
            <w:bookmarkEnd w:id="5329"/>
            <w:bookmarkEnd w:id="5330"/>
          </w:p>
        </w:tc>
        <w:tc>
          <w:tcPr>
            <w:tcW w:w="416" w:type="pct"/>
            <w:tcBorders>
              <w:tl2br w:val="nil"/>
              <w:tr2bl w:val="nil"/>
            </w:tcBorders>
            <w:vAlign w:val="center"/>
          </w:tcPr>
          <w:p w14:paraId="151CD45B">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0FDE9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95" w:type="pct"/>
            <w:tcBorders>
              <w:tl2br w:val="nil"/>
              <w:tr2bl w:val="nil"/>
            </w:tcBorders>
            <w:vAlign w:val="center"/>
          </w:tcPr>
          <w:p w14:paraId="3781B928">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31" w:name="_Toc16793"/>
            <w:bookmarkStart w:id="5332" w:name="_Toc19507"/>
            <w:bookmarkStart w:id="5333" w:name="_Toc3542"/>
            <w:r>
              <w:rPr>
                <w:rFonts w:hint="eastAsia" w:cs="Times New Roman"/>
                <w:color w:val="auto"/>
                <w:sz w:val="21"/>
                <w:szCs w:val="21"/>
                <w:highlight w:val="none"/>
                <w:lang w:val="en-US" w:eastAsia="zh-CN"/>
              </w:rPr>
              <w:t>9</w:t>
            </w:r>
            <w:bookmarkEnd w:id="5331"/>
            <w:bookmarkEnd w:id="5332"/>
            <w:bookmarkEnd w:id="5333"/>
          </w:p>
        </w:tc>
        <w:tc>
          <w:tcPr>
            <w:tcW w:w="807" w:type="pct"/>
            <w:tcBorders>
              <w:tl2br w:val="nil"/>
              <w:tr2bl w:val="nil"/>
            </w:tcBorders>
            <w:vAlign w:val="center"/>
          </w:tcPr>
          <w:p w14:paraId="5E241C61">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34" w:name="_Toc2539"/>
            <w:bookmarkStart w:id="5335" w:name="_Toc1203"/>
            <w:bookmarkStart w:id="5336" w:name="_Toc10500"/>
            <w:bookmarkStart w:id="5337" w:name="_Toc23440"/>
            <w:bookmarkStart w:id="5338" w:name="_Toc6165"/>
            <w:r>
              <w:rPr>
                <w:rFonts w:hint="default" w:ascii="Times New Roman" w:hAnsi="Times New Roman" w:cs="Times New Roman"/>
                <w:color w:val="auto"/>
                <w:sz w:val="21"/>
                <w:szCs w:val="21"/>
                <w:highlight w:val="none"/>
                <w:lang w:val="en-US" w:eastAsia="zh-CN"/>
              </w:rPr>
              <w:t>灰头绿啄木鸟</w:t>
            </w:r>
            <w:bookmarkEnd w:id="5334"/>
            <w:bookmarkEnd w:id="5335"/>
            <w:bookmarkEnd w:id="5336"/>
            <w:bookmarkEnd w:id="5337"/>
            <w:bookmarkEnd w:id="5338"/>
          </w:p>
        </w:tc>
        <w:tc>
          <w:tcPr>
            <w:tcW w:w="1639" w:type="pct"/>
            <w:tcBorders>
              <w:tl2br w:val="nil"/>
              <w:tr2bl w:val="nil"/>
            </w:tcBorders>
            <w:vAlign w:val="center"/>
          </w:tcPr>
          <w:p w14:paraId="655056AD">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39" w:name="_Toc32284"/>
            <w:bookmarkStart w:id="5340" w:name="_Toc9543"/>
            <w:bookmarkStart w:id="5341" w:name="_Toc20985"/>
            <w:bookmarkStart w:id="5342" w:name="_Toc26690"/>
            <w:bookmarkStart w:id="5343" w:name="_Toc27117"/>
            <w:r>
              <w:rPr>
                <w:rFonts w:hint="default" w:ascii="Times New Roman" w:hAnsi="Times New Roman" w:cs="Times New Roman"/>
                <w:color w:val="auto"/>
                <w:sz w:val="21"/>
                <w:szCs w:val="21"/>
                <w:highlight w:val="none"/>
                <w:lang w:val="en-US" w:eastAsia="zh-CN"/>
              </w:rPr>
              <w:t>Picuscanusjessoensis</w:t>
            </w:r>
            <w:bookmarkEnd w:id="5339"/>
            <w:bookmarkEnd w:id="5340"/>
            <w:bookmarkEnd w:id="5341"/>
            <w:bookmarkEnd w:id="5342"/>
            <w:bookmarkEnd w:id="5343"/>
          </w:p>
        </w:tc>
        <w:tc>
          <w:tcPr>
            <w:tcW w:w="453" w:type="pct"/>
            <w:tcBorders>
              <w:tl2br w:val="nil"/>
              <w:tr2bl w:val="nil"/>
            </w:tcBorders>
            <w:vAlign w:val="center"/>
          </w:tcPr>
          <w:p w14:paraId="24154368">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44" w:name="_Toc19467"/>
            <w:bookmarkStart w:id="5345" w:name="_Toc1938"/>
            <w:bookmarkStart w:id="5346" w:name="_Toc279"/>
            <w:bookmarkStart w:id="5347" w:name="_Toc10001"/>
            <w:bookmarkStart w:id="5348" w:name="_Toc28106"/>
            <w:r>
              <w:rPr>
                <w:rFonts w:hint="default" w:ascii="Times New Roman" w:hAnsi="Times New Roman" w:cs="Times New Roman"/>
                <w:color w:val="auto"/>
                <w:sz w:val="21"/>
                <w:szCs w:val="21"/>
                <w:highlight w:val="none"/>
                <w:lang w:val="en-US" w:eastAsia="zh-CN"/>
              </w:rPr>
              <w:t>R</w:t>
            </w:r>
            <w:bookmarkEnd w:id="5344"/>
            <w:bookmarkEnd w:id="5345"/>
            <w:bookmarkEnd w:id="5346"/>
            <w:bookmarkEnd w:id="5347"/>
            <w:bookmarkEnd w:id="5348"/>
          </w:p>
        </w:tc>
        <w:tc>
          <w:tcPr>
            <w:tcW w:w="841" w:type="pct"/>
            <w:tcBorders>
              <w:tl2br w:val="nil"/>
              <w:tr2bl w:val="nil"/>
            </w:tcBorders>
            <w:vAlign w:val="center"/>
          </w:tcPr>
          <w:p w14:paraId="5AE880ED">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49" w:name="_Toc5078"/>
            <w:bookmarkStart w:id="5350" w:name="_Toc28547"/>
            <w:bookmarkStart w:id="5351" w:name="_Toc19247"/>
            <w:bookmarkStart w:id="5352" w:name="_Toc16143"/>
            <w:bookmarkStart w:id="5353" w:name="_Toc2255"/>
            <w:r>
              <w:rPr>
                <w:rFonts w:hint="default" w:ascii="Times New Roman" w:hAnsi="Times New Roman" w:cs="Times New Roman"/>
                <w:color w:val="auto"/>
                <w:sz w:val="21"/>
                <w:szCs w:val="21"/>
                <w:highlight w:val="none"/>
                <w:lang w:val="en-US" w:eastAsia="zh-CN"/>
              </w:rPr>
              <w:t>林地、居民区</w:t>
            </w:r>
            <w:bookmarkEnd w:id="5349"/>
            <w:bookmarkEnd w:id="5350"/>
            <w:bookmarkEnd w:id="5351"/>
            <w:bookmarkEnd w:id="5352"/>
            <w:bookmarkEnd w:id="5353"/>
          </w:p>
        </w:tc>
        <w:tc>
          <w:tcPr>
            <w:tcW w:w="548" w:type="pct"/>
            <w:tcBorders>
              <w:tl2br w:val="nil"/>
              <w:tr2bl w:val="nil"/>
            </w:tcBorders>
            <w:vAlign w:val="center"/>
          </w:tcPr>
          <w:p w14:paraId="0760E543">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54" w:name="_Toc11398"/>
            <w:bookmarkStart w:id="5355" w:name="_Toc26212"/>
            <w:bookmarkStart w:id="5356" w:name="_Toc4632"/>
            <w:bookmarkStart w:id="5357" w:name="_Toc24562"/>
            <w:bookmarkStart w:id="5358" w:name="_Toc3818"/>
            <w:r>
              <w:rPr>
                <w:rFonts w:hint="default" w:ascii="Times New Roman" w:hAnsi="Times New Roman" w:cs="Times New Roman"/>
                <w:color w:val="auto"/>
                <w:sz w:val="21"/>
                <w:szCs w:val="21"/>
                <w:highlight w:val="none"/>
                <w:lang w:val="en-US" w:eastAsia="zh-CN"/>
              </w:rPr>
              <w:t>+</w:t>
            </w:r>
            <w:bookmarkEnd w:id="5354"/>
            <w:bookmarkEnd w:id="5355"/>
            <w:bookmarkEnd w:id="5356"/>
            <w:bookmarkEnd w:id="5357"/>
            <w:bookmarkEnd w:id="5358"/>
          </w:p>
        </w:tc>
        <w:tc>
          <w:tcPr>
            <w:tcW w:w="416" w:type="pct"/>
            <w:tcBorders>
              <w:tl2br w:val="nil"/>
              <w:tr2bl w:val="nil"/>
            </w:tcBorders>
            <w:vAlign w:val="center"/>
          </w:tcPr>
          <w:p w14:paraId="6CBCE516">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670B6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7174C5BF">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59" w:name="_Toc6935"/>
            <w:bookmarkStart w:id="5360" w:name="_Toc15982"/>
            <w:bookmarkStart w:id="5361" w:name="_Toc2699"/>
            <w:r>
              <w:rPr>
                <w:rFonts w:hint="eastAsia" w:cs="Times New Roman"/>
                <w:color w:val="auto"/>
                <w:sz w:val="21"/>
                <w:szCs w:val="21"/>
                <w:highlight w:val="none"/>
                <w:lang w:val="en-US" w:eastAsia="zh-CN"/>
              </w:rPr>
              <w:t>10</w:t>
            </w:r>
            <w:bookmarkEnd w:id="5359"/>
            <w:bookmarkEnd w:id="5360"/>
            <w:bookmarkEnd w:id="5361"/>
          </w:p>
        </w:tc>
        <w:tc>
          <w:tcPr>
            <w:tcW w:w="807" w:type="pct"/>
            <w:tcBorders>
              <w:tl2br w:val="nil"/>
              <w:tr2bl w:val="nil"/>
            </w:tcBorders>
            <w:vAlign w:val="center"/>
          </w:tcPr>
          <w:p w14:paraId="7579E75F">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62" w:name="_Toc24296"/>
            <w:bookmarkStart w:id="5363" w:name="_Toc3952"/>
            <w:bookmarkStart w:id="5364" w:name="_Toc30115"/>
            <w:bookmarkStart w:id="5365" w:name="_Toc26790"/>
            <w:bookmarkStart w:id="5366" w:name="_Toc19700"/>
            <w:r>
              <w:rPr>
                <w:rFonts w:hint="default" w:ascii="Times New Roman" w:hAnsi="Times New Roman" w:cs="Times New Roman"/>
                <w:color w:val="auto"/>
                <w:sz w:val="21"/>
                <w:szCs w:val="21"/>
                <w:highlight w:val="none"/>
                <w:lang w:val="en-US" w:eastAsia="zh-CN"/>
              </w:rPr>
              <w:t>家燕</w:t>
            </w:r>
            <w:bookmarkEnd w:id="5362"/>
            <w:bookmarkEnd w:id="5363"/>
            <w:bookmarkEnd w:id="5364"/>
            <w:bookmarkEnd w:id="5365"/>
            <w:bookmarkEnd w:id="5366"/>
          </w:p>
        </w:tc>
        <w:tc>
          <w:tcPr>
            <w:tcW w:w="1639" w:type="pct"/>
            <w:tcBorders>
              <w:tl2br w:val="nil"/>
              <w:tr2bl w:val="nil"/>
            </w:tcBorders>
            <w:vAlign w:val="center"/>
          </w:tcPr>
          <w:p w14:paraId="0A327E5B">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67" w:name="_Toc2192"/>
            <w:bookmarkStart w:id="5368" w:name="_Toc10198"/>
            <w:bookmarkStart w:id="5369" w:name="_Toc9618"/>
            <w:bookmarkStart w:id="5370" w:name="_Toc31686"/>
            <w:bookmarkStart w:id="5371" w:name="_Toc14212"/>
            <w:r>
              <w:rPr>
                <w:rFonts w:hint="default" w:ascii="Times New Roman" w:hAnsi="Times New Roman" w:cs="Times New Roman"/>
                <w:color w:val="auto"/>
                <w:sz w:val="21"/>
                <w:szCs w:val="21"/>
                <w:highlight w:val="none"/>
                <w:lang w:val="en-US" w:eastAsia="zh-CN"/>
              </w:rPr>
              <w:t>Hirundorustica</w:t>
            </w:r>
            <w:bookmarkEnd w:id="5367"/>
            <w:bookmarkEnd w:id="5368"/>
            <w:bookmarkEnd w:id="5369"/>
            <w:bookmarkEnd w:id="5370"/>
            <w:bookmarkEnd w:id="5371"/>
          </w:p>
        </w:tc>
        <w:tc>
          <w:tcPr>
            <w:tcW w:w="453" w:type="pct"/>
            <w:tcBorders>
              <w:tl2br w:val="nil"/>
              <w:tr2bl w:val="nil"/>
            </w:tcBorders>
            <w:vAlign w:val="center"/>
          </w:tcPr>
          <w:p w14:paraId="5E10E1E0">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72" w:name="_Toc7327"/>
            <w:bookmarkStart w:id="5373" w:name="_Toc26483"/>
            <w:bookmarkStart w:id="5374" w:name="_Toc26540"/>
            <w:bookmarkStart w:id="5375" w:name="_Toc5569"/>
            <w:bookmarkStart w:id="5376" w:name="_Toc24291"/>
            <w:r>
              <w:rPr>
                <w:rFonts w:hint="default" w:ascii="Times New Roman" w:hAnsi="Times New Roman" w:cs="Times New Roman"/>
                <w:color w:val="auto"/>
                <w:sz w:val="21"/>
                <w:szCs w:val="21"/>
                <w:highlight w:val="none"/>
                <w:lang w:val="en-US" w:eastAsia="zh-CN"/>
              </w:rPr>
              <w:t>S</w:t>
            </w:r>
            <w:bookmarkEnd w:id="5372"/>
            <w:bookmarkEnd w:id="5373"/>
            <w:bookmarkEnd w:id="5374"/>
            <w:bookmarkEnd w:id="5375"/>
            <w:bookmarkEnd w:id="5376"/>
          </w:p>
        </w:tc>
        <w:tc>
          <w:tcPr>
            <w:tcW w:w="841" w:type="pct"/>
            <w:tcBorders>
              <w:tl2br w:val="nil"/>
              <w:tr2bl w:val="nil"/>
            </w:tcBorders>
            <w:vAlign w:val="center"/>
          </w:tcPr>
          <w:p w14:paraId="44860300">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77" w:name="_Toc9581"/>
            <w:bookmarkStart w:id="5378" w:name="_Toc19257"/>
            <w:bookmarkStart w:id="5379" w:name="_Toc27939"/>
            <w:bookmarkStart w:id="5380" w:name="_Toc19325"/>
            <w:bookmarkStart w:id="5381" w:name="_Toc6212"/>
            <w:r>
              <w:rPr>
                <w:rFonts w:hint="default" w:ascii="Times New Roman" w:hAnsi="Times New Roman" w:cs="Times New Roman"/>
                <w:color w:val="auto"/>
                <w:sz w:val="21"/>
                <w:szCs w:val="21"/>
                <w:highlight w:val="none"/>
                <w:lang w:val="en-US" w:eastAsia="zh-CN"/>
              </w:rPr>
              <w:t>湿地、居民区</w:t>
            </w:r>
            <w:bookmarkEnd w:id="5377"/>
            <w:bookmarkEnd w:id="5378"/>
            <w:bookmarkEnd w:id="5379"/>
            <w:bookmarkEnd w:id="5380"/>
            <w:bookmarkEnd w:id="5381"/>
          </w:p>
        </w:tc>
        <w:tc>
          <w:tcPr>
            <w:tcW w:w="548" w:type="pct"/>
            <w:tcBorders>
              <w:tl2br w:val="nil"/>
              <w:tr2bl w:val="nil"/>
            </w:tcBorders>
            <w:vAlign w:val="center"/>
          </w:tcPr>
          <w:p w14:paraId="0A33F0FC">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82" w:name="_Toc18996"/>
            <w:bookmarkStart w:id="5383" w:name="_Toc6300"/>
            <w:bookmarkStart w:id="5384" w:name="_Toc3521"/>
            <w:bookmarkStart w:id="5385" w:name="_Toc24881"/>
            <w:bookmarkStart w:id="5386" w:name="_Toc25115"/>
            <w:r>
              <w:rPr>
                <w:rFonts w:hint="default" w:ascii="Times New Roman" w:hAnsi="Times New Roman" w:cs="Times New Roman"/>
                <w:color w:val="auto"/>
                <w:sz w:val="21"/>
                <w:szCs w:val="21"/>
                <w:highlight w:val="none"/>
                <w:lang w:val="en-US" w:eastAsia="zh-CN"/>
              </w:rPr>
              <w:t>+++</w:t>
            </w:r>
            <w:bookmarkEnd w:id="5382"/>
            <w:bookmarkEnd w:id="5383"/>
            <w:bookmarkEnd w:id="5384"/>
            <w:bookmarkEnd w:id="5385"/>
            <w:bookmarkEnd w:id="5386"/>
          </w:p>
        </w:tc>
        <w:tc>
          <w:tcPr>
            <w:tcW w:w="416" w:type="pct"/>
            <w:tcBorders>
              <w:tl2br w:val="nil"/>
              <w:tr2bl w:val="nil"/>
            </w:tcBorders>
            <w:vAlign w:val="center"/>
          </w:tcPr>
          <w:p w14:paraId="5A0BA1FF">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3F4BB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61D07A84">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87" w:name="_Toc27725"/>
            <w:bookmarkStart w:id="5388" w:name="_Toc7377"/>
            <w:bookmarkStart w:id="5389" w:name="_Toc26755"/>
            <w:r>
              <w:rPr>
                <w:rFonts w:hint="eastAsia" w:cs="Times New Roman"/>
                <w:color w:val="auto"/>
                <w:sz w:val="21"/>
                <w:szCs w:val="21"/>
                <w:highlight w:val="none"/>
                <w:lang w:val="en-US" w:eastAsia="zh-CN"/>
              </w:rPr>
              <w:t>11</w:t>
            </w:r>
            <w:bookmarkEnd w:id="5387"/>
            <w:bookmarkEnd w:id="5388"/>
            <w:bookmarkEnd w:id="5389"/>
          </w:p>
        </w:tc>
        <w:tc>
          <w:tcPr>
            <w:tcW w:w="807" w:type="pct"/>
            <w:tcBorders>
              <w:tl2br w:val="nil"/>
              <w:tr2bl w:val="nil"/>
            </w:tcBorders>
            <w:vAlign w:val="center"/>
          </w:tcPr>
          <w:p w14:paraId="7E0C8C53">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90" w:name="_Toc16815"/>
            <w:bookmarkStart w:id="5391" w:name="_Toc9162"/>
            <w:bookmarkStart w:id="5392" w:name="_Toc15092"/>
            <w:bookmarkStart w:id="5393" w:name="_Toc32427"/>
            <w:bookmarkStart w:id="5394" w:name="_Toc16367"/>
            <w:r>
              <w:rPr>
                <w:rFonts w:hint="default" w:ascii="Times New Roman" w:hAnsi="Times New Roman" w:cs="Times New Roman"/>
                <w:color w:val="auto"/>
                <w:sz w:val="21"/>
                <w:szCs w:val="21"/>
                <w:highlight w:val="none"/>
                <w:lang w:val="en-US" w:eastAsia="zh-CN"/>
              </w:rPr>
              <w:t>灰喜鹊</w:t>
            </w:r>
            <w:bookmarkEnd w:id="5390"/>
            <w:bookmarkEnd w:id="5391"/>
            <w:bookmarkEnd w:id="5392"/>
            <w:bookmarkEnd w:id="5393"/>
            <w:bookmarkEnd w:id="5394"/>
          </w:p>
        </w:tc>
        <w:tc>
          <w:tcPr>
            <w:tcW w:w="1639" w:type="pct"/>
            <w:tcBorders>
              <w:tl2br w:val="nil"/>
              <w:tr2bl w:val="nil"/>
            </w:tcBorders>
            <w:vAlign w:val="center"/>
          </w:tcPr>
          <w:p w14:paraId="76BEDCC7">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395" w:name="_Toc22905"/>
            <w:bookmarkStart w:id="5396" w:name="_Toc9010"/>
            <w:bookmarkStart w:id="5397" w:name="_Toc10971"/>
            <w:bookmarkStart w:id="5398" w:name="_Toc28906"/>
            <w:bookmarkStart w:id="5399" w:name="_Toc18949"/>
            <w:r>
              <w:rPr>
                <w:rFonts w:hint="default" w:ascii="Times New Roman" w:hAnsi="Times New Roman" w:cs="Times New Roman"/>
                <w:color w:val="auto"/>
                <w:sz w:val="21"/>
                <w:szCs w:val="21"/>
                <w:highlight w:val="none"/>
                <w:lang w:val="en-US" w:eastAsia="zh-CN"/>
              </w:rPr>
              <w:t>Cyanopicacyanainterposita</w:t>
            </w:r>
            <w:bookmarkEnd w:id="5395"/>
            <w:bookmarkEnd w:id="5396"/>
            <w:bookmarkEnd w:id="5397"/>
            <w:bookmarkEnd w:id="5398"/>
            <w:bookmarkEnd w:id="5399"/>
          </w:p>
        </w:tc>
        <w:tc>
          <w:tcPr>
            <w:tcW w:w="453" w:type="pct"/>
            <w:tcBorders>
              <w:tl2br w:val="nil"/>
              <w:tr2bl w:val="nil"/>
            </w:tcBorders>
            <w:vAlign w:val="center"/>
          </w:tcPr>
          <w:p w14:paraId="7F8F636E">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00" w:name="_Toc31543"/>
            <w:bookmarkStart w:id="5401" w:name="_Toc26802"/>
            <w:bookmarkStart w:id="5402" w:name="_Toc27733"/>
            <w:bookmarkStart w:id="5403" w:name="_Toc2832"/>
            <w:bookmarkStart w:id="5404" w:name="_Toc19047"/>
            <w:r>
              <w:rPr>
                <w:rFonts w:hint="default" w:ascii="Times New Roman" w:hAnsi="Times New Roman" w:cs="Times New Roman"/>
                <w:color w:val="auto"/>
                <w:sz w:val="21"/>
                <w:szCs w:val="21"/>
                <w:highlight w:val="none"/>
                <w:lang w:val="en-US" w:eastAsia="zh-CN"/>
              </w:rPr>
              <w:t>R</w:t>
            </w:r>
            <w:bookmarkEnd w:id="5400"/>
            <w:bookmarkEnd w:id="5401"/>
            <w:bookmarkEnd w:id="5402"/>
            <w:bookmarkEnd w:id="5403"/>
            <w:bookmarkEnd w:id="5404"/>
          </w:p>
        </w:tc>
        <w:tc>
          <w:tcPr>
            <w:tcW w:w="841" w:type="pct"/>
            <w:tcBorders>
              <w:tl2br w:val="nil"/>
              <w:tr2bl w:val="nil"/>
            </w:tcBorders>
            <w:vAlign w:val="center"/>
          </w:tcPr>
          <w:p w14:paraId="75EAD767">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05" w:name="_Toc28630"/>
            <w:bookmarkStart w:id="5406" w:name="_Toc20533"/>
            <w:bookmarkStart w:id="5407" w:name="_Toc30429"/>
            <w:bookmarkStart w:id="5408" w:name="_Toc31609"/>
            <w:bookmarkStart w:id="5409" w:name="_Toc14726"/>
            <w:r>
              <w:rPr>
                <w:rFonts w:hint="default" w:ascii="Times New Roman" w:hAnsi="Times New Roman" w:cs="Times New Roman"/>
                <w:color w:val="auto"/>
                <w:sz w:val="21"/>
                <w:szCs w:val="21"/>
                <w:highlight w:val="none"/>
                <w:lang w:val="en-US" w:eastAsia="zh-CN"/>
              </w:rPr>
              <w:t>林地、灌丛草地、居民区</w:t>
            </w:r>
            <w:bookmarkEnd w:id="5405"/>
            <w:bookmarkEnd w:id="5406"/>
            <w:bookmarkEnd w:id="5407"/>
            <w:bookmarkEnd w:id="5408"/>
            <w:bookmarkEnd w:id="5409"/>
          </w:p>
        </w:tc>
        <w:tc>
          <w:tcPr>
            <w:tcW w:w="548" w:type="pct"/>
            <w:tcBorders>
              <w:tl2br w:val="nil"/>
              <w:tr2bl w:val="nil"/>
            </w:tcBorders>
            <w:vAlign w:val="center"/>
          </w:tcPr>
          <w:p w14:paraId="631419F7">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10" w:name="_Toc31187"/>
            <w:bookmarkStart w:id="5411" w:name="_Toc29129"/>
            <w:bookmarkStart w:id="5412" w:name="_Toc19971"/>
            <w:bookmarkStart w:id="5413" w:name="_Toc8927"/>
            <w:bookmarkStart w:id="5414" w:name="_Toc25770"/>
            <w:r>
              <w:rPr>
                <w:rFonts w:hint="default" w:ascii="Times New Roman" w:hAnsi="Times New Roman" w:cs="Times New Roman"/>
                <w:color w:val="auto"/>
                <w:sz w:val="21"/>
                <w:szCs w:val="21"/>
                <w:highlight w:val="none"/>
                <w:lang w:val="en-US" w:eastAsia="zh-CN"/>
              </w:rPr>
              <w:t>+++</w:t>
            </w:r>
            <w:bookmarkEnd w:id="5410"/>
            <w:bookmarkEnd w:id="5411"/>
            <w:bookmarkEnd w:id="5412"/>
            <w:bookmarkEnd w:id="5413"/>
            <w:bookmarkEnd w:id="5414"/>
          </w:p>
        </w:tc>
        <w:tc>
          <w:tcPr>
            <w:tcW w:w="416" w:type="pct"/>
            <w:tcBorders>
              <w:tl2br w:val="nil"/>
              <w:tr2bl w:val="nil"/>
            </w:tcBorders>
            <w:vAlign w:val="center"/>
          </w:tcPr>
          <w:p w14:paraId="0493A2EF">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1208E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20F806EA">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15" w:name="_Toc31756"/>
            <w:bookmarkStart w:id="5416" w:name="_Toc27242"/>
            <w:bookmarkStart w:id="5417" w:name="_Toc13886"/>
            <w:r>
              <w:rPr>
                <w:rFonts w:hint="eastAsia" w:cs="Times New Roman"/>
                <w:color w:val="auto"/>
                <w:sz w:val="21"/>
                <w:szCs w:val="21"/>
                <w:highlight w:val="none"/>
                <w:lang w:val="en-US" w:eastAsia="zh-CN"/>
              </w:rPr>
              <w:t>12</w:t>
            </w:r>
            <w:bookmarkEnd w:id="5415"/>
            <w:bookmarkEnd w:id="5416"/>
            <w:bookmarkEnd w:id="5417"/>
          </w:p>
        </w:tc>
        <w:tc>
          <w:tcPr>
            <w:tcW w:w="807" w:type="pct"/>
            <w:tcBorders>
              <w:tl2br w:val="nil"/>
              <w:tr2bl w:val="nil"/>
            </w:tcBorders>
            <w:vAlign w:val="center"/>
          </w:tcPr>
          <w:p w14:paraId="519843A3">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18" w:name="_Toc30293"/>
            <w:bookmarkStart w:id="5419" w:name="_Toc4313"/>
            <w:bookmarkStart w:id="5420" w:name="_Toc171"/>
            <w:bookmarkStart w:id="5421" w:name="_Toc1887"/>
            <w:bookmarkStart w:id="5422" w:name="_Toc27888"/>
            <w:r>
              <w:rPr>
                <w:rFonts w:hint="default" w:ascii="Times New Roman" w:hAnsi="Times New Roman" w:cs="Times New Roman"/>
                <w:color w:val="auto"/>
                <w:sz w:val="21"/>
                <w:szCs w:val="21"/>
                <w:highlight w:val="none"/>
                <w:lang w:val="en-US" w:eastAsia="zh-CN"/>
              </w:rPr>
              <w:t>喜鹊</w:t>
            </w:r>
            <w:bookmarkEnd w:id="5418"/>
            <w:bookmarkEnd w:id="5419"/>
            <w:bookmarkEnd w:id="5420"/>
            <w:bookmarkEnd w:id="5421"/>
            <w:bookmarkEnd w:id="5422"/>
          </w:p>
        </w:tc>
        <w:tc>
          <w:tcPr>
            <w:tcW w:w="1639" w:type="pct"/>
            <w:tcBorders>
              <w:tl2br w:val="nil"/>
              <w:tr2bl w:val="nil"/>
            </w:tcBorders>
            <w:vAlign w:val="center"/>
          </w:tcPr>
          <w:p w14:paraId="048C9260">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23" w:name="_Toc21129"/>
            <w:bookmarkStart w:id="5424" w:name="_Toc5162"/>
            <w:bookmarkStart w:id="5425" w:name="_Toc16241"/>
            <w:bookmarkStart w:id="5426" w:name="_Toc18970"/>
            <w:bookmarkStart w:id="5427" w:name="_Toc15856"/>
            <w:r>
              <w:rPr>
                <w:rFonts w:hint="default" w:ascii="Times New Roman" w:hAnsi="Times New Roman" w:cs="Times New Roman"/>
                <w:color w:val="auto"/>
                <w:sz w:val="21"/>
                <w:szCs w:val="21"/>
                <w:highlight w:val="none"/>
                <w:lang w:val="en-US" w:eastAsia="zh-CN"/>
              </w:rPr>
              <w:t>Picapica</w:t>
            </w:r>
            <w:bookmarkEnd w:id="5423"/>
            <w:bookmarkEnd w:id="5424"/>
            <w:bookmarkEnd w:id="5425"/>
            <w:bookmarkEnd w:id="5426"/>
            <w:bookmarkEnd w:id="5427"/>
          </w:p>
        </w:tc>
        <w:tc>
          <w:tcPr>
            <w:tcW w:w="453" w:type="pct"/>
            <w:tcBorders>
              <w:tl2br w:val="nil"/>
              <w:tr2bl w:val="nil"/>
            </w:tcBorders>
            <w:vAlign w:val="center"/>
          </w:tcPr>
          <w:p w14:paraId="672CAB71">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28" w:name="_Toc31061"/>
            <w:bookmarkStart w:id="5429" w:name="_Toc18251"/>
            <w:bookmarkStart w:id="5430" w:name="_Toc29918"/>
            <w:bookmarkStart w:id="5431" w:name="_Toc15132"/>
            <w:bookmarkStart w:id="5432" w:name="_Toc8155"/>
            <w:r>
              <w:rPr>
                <w:rFonts w:hint="default" w:ascii="Times New Roman" w:hAnsi="Times New Roman" w:cs="Times New Roman"/>
                <w:color w:val="auto"/>
                <w:sz w:val="21"/>
                <w:szCs w:val="21"/>
                <w:highlight w:val="none"/>
                <w:lang w:val="en-US" w:eastAsia="zh-CN"/>
              </w:rPr>
              <w:t>R</w:t>
            </w:r>
            <w:bookmarkEnd w:id="5428"/>
            <w:bookmarkEnd w:id="5429"/>
            <w:bookmarkEnd w:id="5430"/>
            <w:bookmarkEnd w:id="5431"/>
            <w:bookmarkEnd w:id="5432"/>
          </w:p>
        </w:tc>
        <w:tc>
          <w:tcPr>
            <w:tcW w:w="841" w:type="pct"/>
            <w:tcBorders>
              <w:tl2br w:val="nil"/>
              <w:tr2bl w:val="nil"/>
            </w:tcBorders>
            <w:vAlign w:val="center"/>
          </w:tcPr>
          <w:p w14:paraId="1BD93659">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33" w:name="_Toc18064"/>
            <w:bookmarkStart w:id="5434" w:name="_Toc3095"/>
            <w:bookmarkStart w:id="5435" w:name="_Toc9222"/>
            <w:bookmarkStart w:id="5436" w:name="_Toc21259"/>
            <w:bookmarkStart w:id="5437" w:name="_Toc23787"/>
            <w:r>
              <w:rPr>
                <w:rFonts w:hint="default" w:ascii="Times New Roman" w:hAnsi="Times New Roman" w:cs="Times New Roman"/>
                <w:color w:val="auto"/>
                <w:sz w:val="21"/>
                <w:szCs w:val="21"/>
                <w:highlight w:val="none"/>
                <w:lang w:val="en-US" w:eastAsia="zh-CN"/>
              </w:rPr>
              <w:t>林地、灌丛草地、居民区、农田、湿地</w:t>
            </w:r>
            <w:bookmarkEnd w:id="5433"/>
            <w:bookmarkEnd w:id="5434"/>
            <w:bookmarkEnd w:id="5435"/>
            <w:bookmarkEnd w:id="5436"/>
            <w:bookmarkEnd w:id="5437"/>
          </w:p>
        </w:tc>
        <w:tc>
          <w:tcPr>
            <w:tcW w:w="548" w:type="pct"/>
            <w:tcBorders>
              <w:tl2br w:val="nil"/>
              <w:tr2bl w:val="nil"/>
            </w:tcBorders>
            <w:vAlign w:val="center"/>
          </w:tcPr>
          <w:p w14:paraId="3563E115">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38" w:name="_Toc30146"/>
            <w:bookmarkStart w:id="5439" w:name="_Toc21757"/>
            <w:bookmarkStart w:id="5440" w:name="_Toc24185"/>
            <w:bookmarkStart w:id="5441" w:name="_Toc124"/>
            <w:bookmarkStart w:id="5442" w:name="_Toc26280"/>
            <w:r>
              <w:rPr>
                <w:rFonts w:hint="default" w:ascii="Times New Roman" w:hAnsi="Times New Roman" w:cs="Times New Roman"/>
                <w:color w:val="auto"/>
                <w:sz w:val="21"/>
                <w:szCs w:val="21"/>
                <w:highlight w:val="none"/>
                <w:lang w:val="en-US" w:eastAsia="zh-CN"/>
              </w:rPr>
              <w:t>+++</w:t>
            </w:r>
            <w:bookmarkEnd w:id="5438"/>
            <w:bookmarkEnd w:id="5439"/>
            <w:bookmarkEnd w:id="5440"/>
            <w:bookmarkEnd w:id="5441"/>
            <w:bookmarkEnd w:id="5442"/>
          </w:p>
        </w:tc>
        <w:tc>
          <w:tcPr>
            <w:tcW w:w="416" w:type="pct"/>
            <w:tcBorders>
              <w:tl2br w:val="nil"/>
              <w:tr2bl w:val="nil"/>
            </w:tcBorders>
            <w:vAlign w:val="center"/>
          </w:tcPr>
          <w:p w14:paraId="484C4309">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2D72F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21C747B7">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43" w:name="_Toc25358"/>
            <w:bookmarkStart w:id="5444" w:name="_Toc16034"/>
            <w:bookmarkStart w:id="5445" w:name="_Toc15434"/>
            <w:bookmarkStart w:id="5446" w:name="_Toc9957"/>
            <w:bookmarkStart w:id="5447" w:name="_Toc28877"/>
            <w:r>
              <w:rPr>
                <w:rFonts w:hint="default" w:ascii="Times New Roman" w:hAnsi="Times New Roman" w:cs="Times New Roman"/>
                <w:color w:val="auto"/>
                <w:sz w:val="21"/>
                <w:szCs w:val="21"/>
                <w:highlight w:val="none"/>
                <w:lang w:val="en-US" w:eastAsia="zh-CN"/>
              </w:rPr>
              <w:t>12</w:t>
            </w:r>
            <w:bookmarkEnd w:id="5443"/>
            <w:bookmarkEnd w:id="5444"/>
            <w:bookmarkEnd w:id="5445"/>
            <w:bookmarkEnd w:id="5446"/>
            <w:bookmarkEnd w:id="5447"/>
          </w:p>
        </w:tc>
        <w:tc>
          <w:tcPr>
            <w:tcW w:w="807" w:type="pct"/>
            <w:tcBorders>
              <w:tl2br w:val="nil"/>
              <w:tr2bl w:val="nil"/>
            </w:tcBorders>
            <w:vAlign w:val="center"/>
          </w:tcPr>
          <w:p w14:paraId="1EFCEE8D">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48" w:name="_Toc29159"/>
            <w:bookmarkStart w:id="5449" w:name="_Toc25693"/>
            <w:bookmarkStart w:id="5450" w:name="_Toc30440"/>
            <w:bookmarkStart w:id="5451" w:name="_Toc7965"/>
            <w:bookmarkStart w:id="5452" w:name="_Toc8283"/>
            <w:r>
              <w:rPr>
                <w:rFonts w:hint="default" w:ascii="Times New Roman" w:hAnsi="Times New Roman" w:cs="Times New Roman"/>
                <w:color w:val="auto"/>
                <w:sz w:val="21"/>
                <w:szCs w:val="21"/>
                <w:highlight w:val="none"/>
                <w:lang w:val="en-US" w:eastAsia="zh-CN"/>
              </w:rPr>
              <w:t>乌鸦</w:t>
            </w:r>
            <w:bookmarkEnd w:id="5448"/>
            <w:bookmarkEnd w:id="5449"/>
            <w:bookmarkEnd w:id="5450"/>
            <w:bookmarkEnd w:id="5451"/>
            <w:bookmarkEnd w:id="5452"/>
          </w:p>
        </w:tc>
        <w:tc>
          <w:tcPr>
            <w:tcW w:w="1639" w:type="pct"/>
            <w:tcBorders>
              <w:tl2br w:val="nil"/>
              <w:tr2bl w:val="nil"/>
            </w:tcBorders>
            <w:vAlign w:val="center"/>
          </w:tcPr>
          <w:p w14:paraId="376D1B46">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53" w:name="_Toc24557"/>
            <w:bookmarkStart w:id="5454" w:name="_Toc29241"/>
            <w:bookmarkStart w:id="5455" w:name="_Toc9750"/>
            <w:bookmarkStart w:id="5456" w:name="_Toc13747"/>
            <w:bookmarkStart w:id="5457" w:name="_Toc26387"/>
            <w:r>
              <w:rPr>
                <w:rFonts w:hint="default" w:ascii="Times New Roman" w:hAnsi="Times New Roman" w:cs="Times New Roman"/>
                <w:color w:val="auto"/>
                <w:sz w:val="21"/>
                <w:szCs w:val="21"/>
                <w:highlight w:val="none"/>
                <w:lang w:val="en-US" w:eastAsia="zh-CN"/>
              </w:rPr>
              <w:t>Corvuscoroneorientalis</w:t>
            </w:r>
            <w:bookmarkEnd w:id="5453"/>
            <w:bookmarkEnd w:id="5454"/>
            <w:bookmarkEnd w:id="5455"/>
            <w:bookmarkEnd w:id="5456"/>
            <w:bookmarkEnd w:id="5457"/>
          </w:p>
        </w:tc>
        <w:tc>
          <w:tcPr>
            <w:tcW w:w="453" w:type="pct"/>
            <w:tcBorders>
              <w:tl2br w:val="nil"/>
              <w:tr2bl w:val="nil"/>
            </w:tcBorders>
            <w:vAlign w:val="center"/>
          </w:tcPr>
          <w:p w14:paraId="5FDD8923">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58" w:name="_Toc27739"/>
            <w:bookmarkStart w:id="5459" w:name="_Toc25559"/>
            <w:bookmarkStart w:id="5460" w:name="_Toc14533"/>
            <w:bookmarkStart w:id="5461" w:name="_Toc5777"/>
            <w:bookmarkStart w:id="5462" w:name="_Toc24209"/>
            <w:r>
              <w:rPr>
                <w:rFonts w:hint="default" w:ascii="Times New Roman" w:hAnsi="Times New Roman" w:cs="Times New Roman"/>
                <w:color w:val="auto"/>
                <w:sz w:val="21"/>
                <w:szCs w:val="21"/>
                <w:highlight w:val="none"/>
                <w:lang w:val="en-US" w:eastAsia="zh-CN"/>
              </w:rPr>
              <w:t>R</w:t>
            </w:r>
            <w:bookmarkEnd w:id="5458"/>
            <w:bookmarkEnd w:id="5459"/>
            <w:bookmarkEnd w:id="5460"/>
            <w:bookmarkEnd w:id="5461"/>
            <w:bookmarkEnd w:id="5462"/>
          </w:p>
        </w:tc>
        <w:tc>
          <w:tcPr>
            <w:tcW w:w="841" w:type="pct"/>
            <w:tcBorders>
              <w:tl2br w:val="nil"/>
              <w:tr2bl w:val="nil"/>
            </w:tcBorders>
            <w:vAlign w:val="center"/>
          </w:tcPr>
          <w:p w14:paraId="6741C115">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63" w:name="_Toc13958"/>
            <w:bookmarkStart w:id="5464" w:name="_Toc19114"/>
            <w:bookmarkStart w:id="5465" w:name="_Toc29586"/>
            <w:bookmarkStart w:id="5466" w:name="_Toc23972"/>
            <w:bookmarkStart w:id="5467" w:name="_Toc12746"/>
            <w:r>
              <w:rPr>
                <w:rFonts w:hint="default" w:ascii="Times New Roman" w:hAnsi="Times New Roman" w:cs="Times New Roman"/>
                <w:color w:val="auto"/>
                <w:sz w:val="21"/>
                <w:szCs w:val="21"/>
                <w:highlight w:val="none"/>
                <w:lang w:val="en-US" w:eastAsia="zh-CN"/>
              </w:rPr>
              <w:t>灌丛草地、居民区</w:t>
            </w:r>
            <w:bookmarkEnd w:id="5463"/>
            <w:bookmarkEnd w:id="5464"/>
            <w:bookmarkEnd w:id="5465"/>
            <w:bookmarkEnd w:id="5466"/>
            <w:bookmarkEnd w:id="5467"/>
          </w:p>
        </w:tc>
        <w:tc>
          <w:tcPr>
            <w:tcW w:w="548" w:type="pct"/>
            <w:tcBorders>
              <w:tl2br w:val="nil"/>
              <w:tr2bl w:val="nil"/>
            </w:tcBorders>
            <w:vAlign w:val="center"/>
          </w:tcPr>
          <w:p w14:paraId="26B31428">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68" w:name="_Toc17349"/>
            <w:bookmarkStart w:id="5469" w:name="_Toc15198"/>
            <w:bookmarkStart w:id="5470" w:name="_Toc28456"/>
            <w:bookmarkStart w:id="5471" w:name="_Toc5706"/>
            <w:bookmarkStart w:id="5472" w:name="_Toc5206"/>
            <w:r>
              <w:rPr>
                <w:rFonts w:hint="default" w:ascii="Times New Roman" w:hAnsi="Times New Roman" w:cs="Times New Roman"/>
                <w:color w:val="auto"/>
                <w:sz w:val="21"/>
                <w:szCs w:val="21"/>
                <w:highlight w:val="none"/>
                <w:lang w:val="en-US" w:eastAsia="zh-CN"/>
              </w:rPr>
              <w:t>+++</w:t>
            </w:r>
            <w:bookmarkEnd w:id="5468"/>
            <w:bookmarkEnd w:id="5469"/>
            <w:bookmarkEnd w:id="5470"/>
            <w:bookmarkEnd w:id="5471"/>
            <w:bookmarkEnd w:id="5472"/>
          </w:p>
        </w:tc>
        <w:tc>
          <w:tcPr>
            <w:tcW w:w="416" w:type="pct"/>
            <w:tcBorders>
              <w:tl2br w:val="nil"/>
              <w:tr2bl w:val="nil"/>
            </w:tcBorders>
            <w:vAlign w:val="center"/>
          </w:tcPr>
          <w:p w14:paraId="03CC589A">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5D85A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 w:type="pct"/>
            <w:tcBorders>
              <w:tl2br w:val="nil"/>
              <w:tr2bl w:val="nil"/>
            </w:tcBorders>
            <w:vAlign w:val="center"/>
          </w:tcPr>
          <w:p w14:paraId="1C9E4FD6">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73" w:name="_Toc25017"/>
            <w:bookmarkStart w:id="5474" w:name="_Toc29711"/>
            <w:bookmarkStart w:id="5475" w:name="_Toc1066"/>
            <w:bookmarkStart w:id="5476" w:name="_Toc31970"/>
            <w:bookmarkStart w:id="5477" w:name="_Toc25295"/>
            <w:r>
              <w:rPr>
                <w:rFonts w:hint="default" w:ascii="Times New Roman" w:hAnsi="Times New Roman" w:cs="Times New Roman"/>
                <w:color w:val="auto"/>
                <w:sz w:val="21"/>
                <w:szCs w:val="21"/>
                <w:highlight w:val="none"/>
                <w:lang w:val="en-US" w:eastAsia="zh-CN"/>
              </w:rPr>
              <w:t>13</w:t>
            </w:r>
            <w:bookmarkEnd w:id="5473"/>
            <w:bookmarkEnd w:id="5474"/>
            <w:bookmarkEnd w:id="5475"/>
            <w:bookmarkEnd w:id="5476"/>
            <w:bookmarkEnd w:id="5477"/>
          </w:p>
        </w:tc>
        <w:tc>
          <w:tcPr>
            <w:tcW w:w="807" w:type="pct"/>
            <w:tcBorders>
              <w:tl2br w:val="nil"/>
              <w:tr2bl w:val="nil"/>
            </w:tcBorders>
            <w:vAlign w:val="center"/>
          </w:tcPr>
          <w:p w14:paraId="2ACA600B">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78" w:name="_Toc12745"/>
            <w:bookmarkStart w:id="5479" w:name="_Toc31144"/>
            <w:bookmarkStart w:id="5480" w:name="_Toc18535"/>
            <w:bookmarkStart w:id="5481" w:name="_Toc1733"/>
            <w:bookmarkStart w:id="5482" w:name="_Toc7117"/>
            <w:r>
              <w:rPr>
                <w:rFonts w:hint="default" w:ascii="Times New Roman" w:hAnsi="Times New Roman" w:cs="Times New Roman"/>
                <w:color w:val="auto"/>
                <w:sz w:val="21"/>
                <w:szCs w:val="21"/>
                <w:highlight w:val="none"/>
                <w:lang w:val="en-US" w:eastAsia="zh-CN"/>
              </w:rPr>
              <w:t>麻雀</w:t>
            </w:r>
            <w:bookmarkEnd w:id="5478"/>
            <w:bookmarkEnd w:id="5479"/>
            <w:bookmarkEnd w:id="5480"/>
            <w:bookmarkEnd w:id="5481"/>
            <w:bookmarkEnd w:id="5482"/>
          </w:p>
        </w:tc>
        <w:tc>
          <w:tcPr>
            <w:tcW w:w="1639" w:type="pct"/>
            <w:tcBorders>
              <w:tl2br w:val="nil"/>
              <w:tr2bl w:val="nil"/>
            </w:tcBorders>
            <w:vAlign w:val="center"/>
          </w:tcPr>
          <w:p w14:paraId="3EE79E81">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83" w:name="_Toc7983"/>
            <w:bookmarkStart w:id="5484" w:name="_Toc13742"/>
            <w:bookmarkStart w:id="5485" w:name="_Toc18611"/>
            <w:bookmarkStart w:id="5486" w:name="_Toc12426"/>
            <w:bookmarkStart w:id="5487" w:name="_Toc20505"/>
            <w:r>
              <w:rPr>
                <w:rFonts w:hint="default" w:ascii="Times New Roman" w:hAnsi="Times New Roman" w:cs="Times New Roman"/>
                <w:color w:val="auto"/>
                <w:sz w:val="21"/>
                <w:szCs w:val="21"/>
                <w:highlight w:val="none"/>
                <w:lang w:val="en-US" w:eastAsia="zh-CN"/>
              </w:rPr>
              <w:t>Passermontanus</w:t>
            </w:r>
            <w:bookmarkEnd w:id="5483"/>
            <w:bookmarkEnd w:id="5484"/>
            <w:bookmarkEnd w:id="5485"/>
            <w:bookmarkEnd w:id="5486"/>
            <w:bookmarkEnd w:id="5487"/>
          </w:p>
        </w:tc>
        <w:tc>
          <w:tcPr>
            <w:tcW w:w="453" w:type="pct"/>
            <w:tcBorders>
              <w:tl2br w:val="nil"/>
              <w:tr2bl w:val="nil"/>
            </w:tcBorders>
            <w:vAlign w:val="center"/>
          </w:tcPr>
          <w:p w14:paraId="45996AFA">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88" w:name="_Toc28882"/>
            <w:bookmarkStart w:id="5489" w:name="_Toc11218"/>
            <w:bookmarkStart w:id="5490" w:name="_Toc32507"/>
            <w:bookmarkStart w:id="5491" w:name="_Toc13442"/>
            <w:bookmarkStart w:id="5492" w:name="_Toc9841"/>
            <w:r>
              <w:rPr>
                <w:rFonts w:hint="default" w:ascii="Times New Roman" w:hAnsi="Times New Roman" w:cs="Times New Roman"/>
                <w:color w:val="auto"/>
                <w:sz w:val="21"/>
                <w:szCs w:val="21"/>
                <w:highlight w:val="none"/>
                <w:lang w:val="en-US" w:eastAsia="zh-CN"/>
              </w:rPr>
              <w:t>R</w:t>
            </w:r>
            <w:bookmarkEnd w:id="5488"/>
            <w:bookmarkEnd w:id="5489"/>
            <w:bookmarkEnd w:id="5490"/>
            <w:bookmarkEnd w:id="5491"/>
            <w:bookmarkEnd w:id="5492"/>
          </w:p>
        </w:tc>
        <w:tc>
          <w:tcPr>
            <w:tcW w:w="841" w:type="pct"/>
            <w:tcBorders>
              <w:tl2br w:val="nil"/>
              <w:tr2bl w:val="nil"/>
            </w:tcBorders>
            <w:vAlign w:val="center"/>
          </w:tcPr>
          <w:p w14:paraId="0F8F599F">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93" w:name="_Toc625"/>
            <w:bookmarkStart w:id="5494" w:name="_Toc15269"/>
            <w:bookmarkStart w:id="5495" w:name="_Toc381"/>
            <w:bookmarkStart w:id="5496" w:name="_Toc26277"/>
            <w:bookmarkStart w:id="5497" w:name="_Toc19353"/>
            <w:r>
              <w:rPr>
                <w:rFonts w:hint="default" w:ascii="Times New Roman" w:hAnsi="Times New Roman" w:cs="Times New Roman"/>
                <w:color w:val="auto"/>
                <w:sz w:val="21"/>
                <w:szCs w:val="21"/>
                <w:highlight w:val="none"/>
                <w:lang w:val="en-US" w:eastAsia="zh-CN"/>
              </w:rPr>
              <w:t>林地、灌丛草地、居民区、农田、湿地</w:t>
            </w:r>
            <w:bookmarkEnd w:id="5493"/>
            <w:bookmarkEnd w:id="5494"/>
            <w:bookmarkEnd w:id="5495"/>
            <w:bookmarkEnd w:id="5496"/>
            <w:bookmarkEnd w:id="5497"/>
          </w:p>
        </w:tc>
        <w:tc>
          <w:tcPr>
            <w:tcW w:w="548" w:type="pct"/>
            <w:tcBorders>
              <w:tl2br w:val="nil"/>
              <w:tr2bl w:val="nil"/>
            </w:tcBorders>
            <w:vAlign w:val="center"/>
          </w:tcPr>
          <w:p w14:paraId="282A2295">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lang w:val="en-US" w:eastAsia="zh-CN"/>
              </w:rPr>
            </w:pPr>
            <w:bookmarkStart w:id="5498" w:name="_Toc26116"/>
            <w:bookmarkStart w:id="5499" w:name="_Toc9689"/>
            <w:bookmarkStart w:id="5500" w:name="_Toc1610"/>
            <w:bookmarkStart w:id="5501" w:name="_Toc29542"/>
            <w:bookmarkStart w:id="5502" w:name="_Toc18645"/>
            <w:r>
              <w:rPr>
                <w:rFonts w:hint="default" w:ascii="Times New Roman" w:hAnsi="Times New Roman" w:cs="Times New Roman"/>
                <w:color w:val="auto"/>
                <w:sz w:val="21"/>
                <w:szCs w:val="21"/>
                <w:highlight w:val="none"/>
                <w:lang w:val="en-US" w:eastAsia="zh-CN"/>
              </w:rPr>
              <w:t>+++</w:t>
            </w:r>
            <w:bookmarkEnd w:id="5498"/>
            <w:bookmarkEnd w:id="5499"/>
            <w:bookmarkEnd w:id="5500"/>
            <w:bookmarkEnd w:id="5501"/>
            <w:bookmarkEnd w:id="5502"/>
          </w:p>
        </w:tc>
        <w:tc>
          <w:tcPr>
            <w:tcW w:w="416" w:type="pct"/>
            <w:tcBorders>
              <w:tl2br w:val="nil"/>
              <w:tr2bl w:val="nil"/>
            </w:tcBorders>
            <w:vAlign w:val="center"/>
          </w:tcPr>
          <w:p w14:paraId="171CBF29">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lang w:val="en-US" w:eastAsia="zh-CN"/>
              </w:rPr>
            </w:pPr>
          </w:p>
        </w:tc>
      </w:tr>
      <w:tr w14:paraId="45F77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000" w:type="pct"/>
            <w:gridSpan w:val="7"/>
            <w:tcBorders>
              <w:tl2br w:val="nil"/>
              <w:tr2bl w:val="nil"/>
            </w:tcBorders>
            <w:vAlign w:val="center"/>
          </w:tcPr>
          <w:p w14:paraId="1C35A73E">
            <w:pPr>
              <w:pStyle w:val="6"/>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highlight w:val="none"/>
                <w:lang w:val="en-US" w:eastAsia="zh-CN"/>
              </w:rPr>
            </w:pPr>
            <w:bookmarkStart w:id="5503" w:name="_Toc24536"/>
            <w:bookmarkStart w:id="5504" w:name="_Toc8140"/>
            <w:bookmarkStart w:id="5505" w:name="_Toc22867"/>
            <w:r>
              <w:rPr>
                <w:rFonts w:hint="default" w:ascii="Times New Roman" w:hAnsi="Times New Roman" w:eastAsia="宋体" w:cs="Times New Roman"/>
                <w:b w:val="0"/>
                <w:color w:val="auto"/>
                <w:kern w:val="0"/>
                <w:sz w:val="21"/>
                <w:szCs w:val="21"/>
                <w:highlight w:val="none"/>
                <w:lang w:val="en-US" w:eastAsia="zh-CN" w:bidi="ar-SA"/>
              </w:rPr>
              <w:t>注：居留型：R</w:t>
            </w:r>
            <w:r>
              <w:rPr>
                <w:rFonts w:hint="default" w:ascii="Times New Roman" w:hAnsi="Times New Roman" w:cs="Times New Roman"/>
                <w:b w:val="0"/>
                <w:color w:val="auto"/>
                <w:kern w:val="0"/>
                <w:sz w:val="21"/>
                <w:szCs w:val="21"/>
                <w:highlight w:val="none"/>
                <w:lang w:val="en-US" w:eastAsia="zh-CN" w:bidi="ar-SA"/>
              </w:rPr>
              <w:t>：</w:t>
            </w:r>
            <w:r>
              <w:rPr>
                <w:rFonts w:hint="default" w:ascii="Times New Roman" w:hAnsi="Times New Roman" w:eastAsia="宋体" w:cs="Times New Roman"/>
                <w:b w:val="0"/>
                <w:color w:val="auto"/>
                <w:kern w:val="0"/>
                <w:sz w:val="21"/>
                <w:szCs w:val="21"/>
                <w:highlight w:val="none"/>
                <w:lang w:val="en-US" w:eastAsia="zh-CN" w:bidi="ar-SA"/>
              </w:rPr>
              <w:t>留鸟；S</w:t>
            </w:r>
            <w:r>
              <w:rPr>
                <w:rFonts w:hint="default" w:ascii="Times New Roman" w:hAnsi="Times New Roman" w:cs="Times New Roman"/>
                <w:b w:val="0"/>
                <w:color w:val="auto"/>
                <w:kern w:val="0"/>
                <w:sz w:val="21"/>
                <w:szCs w:val="21"/>
                <w:highlight w:val="none"/>
                <w:lang w:val="en-US" w:eastAsia="zh-CN" w:bidi="ar-SA"/>
              </w:rPr>
              <w:t>：</w:t>
            </w:r>
            <w:r>
              <w:rPr>
                <w:rFonts w:hint="default" w:ascii="Times New Roman" w:hAnsi="Times New Roman" w:eastAsia="宋体" w:cs="Times New Roman"/>
                <w:b w:val="0"/>
                <w:color w:val="auto"/>
                <w:kern w:val="0"/>
                <w:sz w:val="21"/>
                <w:szCs w:val="21"/>
                <w:highlight w:val="none"/>
                <w:lang w:val="en-US" w:eastAsia="zh-CN" w:bidi="ar-SA"/>
              </w:rPr>
              <w:t>夏候鸟；P</w:t>
            </w:r>
            <w:r>
              <w:rPr>
                <w:rFonts w:hint="default" w:ascii="Times New Roman" w:hAnsi="Times New Roman" w:cs="Times New Roman"/>
                <w:b w:val="0"/>
                <w:color w:val="auto"/>
                <w:kern w:val="0"/>
                <w:sz w:val="21"/>
                <w:szCs w:val="21"/>
                <w:highlight w:val="none"/>
                <w:lang w:val="en-US" w:eastAsia="zh-CN" w:bidi="ar-SA"/>
              </w:rPr>
              <w:t>：</w:t>
            </w:r>
            <w:r>
              <w:rPr>
                <w:rFonts w:hint="default" w:ascii="Times New Roman" w:hAnsi="Times New Roman" w:eastAsia="宋体" w:cs="Times New Roman"/>
                <w:b w:val="0"/>
                <w:color w:val="auto"/>
                <w:kern w:val="0"/>
                <w:sz w:val="21"/>
                <w:szCs w:val="21"/>
                <w:highlight w:val="none"/>
                <w:lang w:val="en-US" w:eastAsia="zh-CN" w:bidi="ar-SA"/>
              </w:rPr>
              <w:t>旅鸟；W：冬候鸟。种群数量：++++为优势种，+++为常见种，++为少见种，+为罕见种</w:t>
            </w:r>
            <w:bookmarkEnd w:id="5503"/>
            <w:bookmarkEnd w:id="5504"/>
            <w:r>
              <w:rPr>
                <w:rFonts w:hint="eastAsia" w:cs="Times New Roman"/>
                <w:b w:val="0"/>
                <w:color w:val="auto"/>
                <w:kern w:val="0"/>
                <w:sz w:val="21"/>
                <w:szCs w:val="21"/>
                <w:highlight w:val="none"/>
                <w:lang w:val="en-US" w:eastAsia="zh-CN" w:bidi="ar-SA"/>
              </w:rPr>
              <w:t>。</w:t>
            </w:r>
            <w:bookmarkEnd w:id="5505"/>
          </w:p>
        </w:tc>
      </w:tr>
    </w:tbl>
    <w:p w14:paraId="32565FA0">
      <w:pPr>
        <w:pStyle w:val="6"/>
        <w:bidi w:val="0"/>
        <w:rPr>
          <w:rFonts w:hint="default" w:ascii="Times New Roman" w:hAnsi="Times New Roman" w:cs="Times New Roman"/>
          <w:color w:val="auto"/>
          <w:sz w:val="28"/>
          <w:szCs w:val="28"/>
          <w:highlight w:val="none"/>
          <w:lang w:val="en-US" w:eastAsia="zh-CN"/>
        </w:rPr>
      </w:pPr>
      <w:bookmarkStart w:id="5506" w:name="_Toc19412"/>
      <w:bookmarkStart w:id="5507" w:name="_Toc2199"/>
      <w:bookmarkStart w:id="5508" w:name="_Toc7024"/>
      <w:r>
        <w:rPr>
          <w:rFonts w:hint="default" w:ascii="Times New Roman" w:hAnsi="Times New Roman" w:cs="Times New Roman"/>
          <w:color w:val="auto"/>
          <w:sz w:val="28"/>
          <w:szCs w:val="28"/>
          <w:highlight w:val="none"/>
          <w:lang w:val="en-US" w:eastAsia="zh-CN"/>
        </w:rPr>
        <w:t>5.6.3水生生态环境现状调查与评价</w:t>
      </w:r>
      <w:bookmarkEnd w:id="5506"/>
      <w:bookmarkEnd w:id="5507"/>
      <w:bookmarkEnd w:id="5508"/>
    </w:p>
    <w:p w14:paraId="2DB6BB3A">
      <w:pPr>
        <w:pStyle w:val="13"/>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本工程在茹河石头崾岘水库及川口河、小河段施工</w:t>
      </w:r>
      <w:r>
        <w:rPr>
          <w:rFonts w:hint="default" w:ascii="Times New Roman" w:hAnsi="Times New Roman" w:cs="Times New Roman"/>
          <w:color w:val="auto"/>
          <w:sz w:val="24"/>
          <w:szCs w:val="24"/>
          <w:highlight w:val="none"/>
          <w:lang w:val="en-US" w:eastAsia="zh-CN"/>
        </w:rPr>
        <w:t>。</w:t>
      </w:r>
    </w:p>
    <w:p w14:paraId="28E74FD6">
      <w:pPr>
        <w:pStyle w:val="7"/>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val="en-US" w:eastAsia="zh-CN"/>
        </w:rPr>
        <w:t>5.6.3.1</w:t>
      </w:r>
      <w:r>
        <w:rPr>
          <w:rFonts w:hint="default" w:ascii="Times New Roman" w:hAnsi="Times New Roman" w:cs="Times New Roman"/>
          <w:color w:val="auto"/>
          <w:sz w:val="28"/>
          <w:szCs w:val="28"/>
          <w:highlight w:val="none"/>
        </w:rPr>
        <w:t>调查内容与方法</w:t>
      </w:r>
    </w:p>
    <w:p w14:paraId="36EC8D41">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cs="Times New Roman"/>
          <w:color w:val="auto"/>
          <w:sz w:val="24"/>
          <w:szCs w:val="24"/>
          <w:highlight w:val="none"/>
        </w:rPr>
      </w:pPr>
      <w:bookmarkStart w:id="5509" w:name="_Toc4492"/>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调查方法</w:t>
      </w:r>
      <w:bookmarkEnd w:id="5509"/>
    </w:p>
    <w:p w14:paraId="6CF0F703">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按照《环境影响评价技术导则总纲、大气环境、地面水环境》（HJ/T2.1～2.3-93）、《环境影响评价技术导则水利水电工程》（HJ/T88-2003）、《水利水电工程环境影响评价规范（试行）》（SDJ302-88）、《环境监测技术规范》（国家环境保护总局1986年）、《地表水和污水监测技术规范》（HJ/T91-2002）、《水库渔业资源调查规范》（SL167-96）、《内陆水域渔业自然资源调查手册</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淡水浮游生物研究方法》进行采样和检测。采用现场调查为主，资料收集和走访调查为辅的方法开展。</w:t>
      </w:r>
    </w:p>
    <w:p w14:paraId="493EA70F">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cs="Times New Roman"/>
          <w:color w:val="auto"/>
          <w:sz w:val="24"/>
          <w:szCs w:val="24"/>
          <w:highlight w:val="none"/>
        </w:rPr>
      </w:pPr>
      <w:bookmarkStart w:id="5510" w:name="_Toc17605"/>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调查时间</w:t>
      </w:r>
      <w:bookmarkEnd w:id="5510"/>
    </w:p>
    <w:p w14:paraId="542F9DB9">
      <w:pPr>
        <w:pStyle w:val="13"/>
        <w:keepNext w:val="0"/>
        <w:keepLines w:val="0"/>
        <w:pageBreakBefore w:val="0"/>
        <w:widowControl w:val="0"/>
        <w:kinsoku/>
        <w:wordWrap/>
        <w:overflowPunct/>
        <w:topLinePunct w:val="0"/>
        <w:autoSpaceDE/>
        <w:autoSpaceDN/>
        <w:bidi w:val="0"/>
        <w:adjustRightInd w:val="0"/>
        <w:snapToGrid w:val="0"/>
        <w:spacing w:after="0"/>
        <w:ind w:left="0" w:firstLine="0" w:firstLineChars="0"/>
        <w:jc w:val="both"/>
        <w:textAlignment w:val="auto"/>
        <w:outlineLvl w:val="9"/>
        <w:rPr>
          <w:rFonts w:hint="default" w:ascii="Times New Roman" w:hAnsi="Times New Roman" w:eastAsia="宋体" w:cs="Times New Roman"/>
          <w:color w:val="auto"/>
          <w:sz w:val="24"/>
          <w:szCs w:val="24"/>
          <w:highlight w:val="none"/>
          <w:lang w:val="en-US" w:eastAsia="zh-CN"/>
        </w:rPr>
      </w:pPr>
      <w:bookmarkStart w:id="5511" w:name="_Toc31165"/>
      <w:r>
        <w:rPr>
          <w:rFonts w:hint="default" w:ascii="Times New Roman" w:hAnsi="Times New Roman" w:cs="Times New Roman"/>
          <w:color w:val="auto"/>
          <w:sz w:val="24"/>
          <w:szCs w:val="24"/>
          <w:highlight w:val="none"/>
          <w:lang w:val="en-US" w:eastAsia="zh-CN"/>
        </w:rPr>
        <w:t>（1）调查断面、时间及单位</w:t>
      </w:r>
      <w:bookmarkEnd w:id="5511"/>
    </w:p>
    <w:p w14:paraId="724932BE">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通过资料收集，</w:t>
      </w:r>
      <w:r>
        <w:rPr>
          <w:rFonts w:hint="default" w:ascii="Times New Roman" w:hAnsi="Times New Roman" w:eastAsia="宋体" w:cs="Times New Roman"/>
          <w:color w:val="auto"/>
          <w:sz w:val="24"/>
          <w:szCs w:val="24"/>
          <w:highlight w:val="none"/>
          <w:lang w:val="en-US" w:eastAsia="zh-CN"/>
        </w:rPr>
        <w:t>茹</w:t>
      </w:r>
      <w:r>
        <w:rPr>
          <w:rFonts w:hint="default" w:ascii="Times New Roman" w:hAnsi="Times New Roman" w:eastAsia="宋体" w:cs="Times New Roman"/>
          <w:color w:val="auto"/>
          <w:sz w:val="24"/>
          <w:szCs w:val="24"/>
          <w:highlight w:val="none"/>
        </w:rPr>
        <w:t>河流域资料较详实，基本可满足评价需求，依据生态保护优先的原则，在充分考虑调查损害的情况下，</w:t>
      </w:r>
      <w:r>
        <w:rPr>
          <w:rFonts w:hint="default" w:ascii="Times New Roman" w:hAnsi="Times New Roman" w:eastAsia="宋体" w:cs="Times New Roman"/>
          <w:color w:val="auto"/>
          <w:sz w:val="24"/>
          <w:szCs w:val="24"/>
          <w:highlight w:val="none"/>
          <w:lang w:val="en-US" w:eastAsia="zh-CN"/>
        </w:rPr>
        <w:t>茹</w:t>
      </w:r>
      <w:r>
        <w:rPr>
          <w:rFonts w:hint="default" w:ascii="Times New Roman" w:hAnsi="Times New Roman" w:eastAsia="宋体" w:cs="Times New Roman"/>
          <w:color w:val="auto"/>
          <w:sz w:val="24"/>
          <w:szCs w:val="24"/>
          <w:highlight w:val="none"/>
        </w:rPr>
        <w:t>河流域采用已有调查资料进行评价分析。主要引用资料</w:t>
      </w:r>
      <w:r>
        <w:rPr>
          <w:rFonts w:hint="default" w:ascii="Times New Roman" w:hAnsi="Times New Roman" w:eastAsia="宋体" w:cs="Times New Roman"/>
          <w:color w:val="auto"/>
          <w:sz w:val="24"/>
          <w:szCs w:val="24"/>
          <w:highlight w:val="none"/>
          <w:lang w:val="en-US" w:eastAsia="zh-CN"/>
        </w:rPr>
        <w:t>为宁夏大学2023年7月调查结果</w:t>
      </w:r>
      <w:r>
        <w:rPr>
          <w:rFonts w:hint="default" w:ascii="Times New Roman" w:hAnsi="Times New Roman" w:eastAsia="宋体" w:cs="Times New Roman"/>
          <w:color w:val="auto"/>
          <w:sz w:val="24"/>
          <w:szCs w:val="24"/>
          <w:highlight w:val="none"/>
          <w:lang w:eastAsia="zh-CN"/>
        </w:rPr>
        <w:t>。</w:t>
      </w:r>
    </w:p>
    <w:p w14:paraId="562A482E">
      <w:pPr>
        <w:pStyle w:val="7"/>
        <w:bidi w:val="0"/>
        <w:rPr>
          <w:rFonts w:hint="default" w:ascii="Times New Roman" w:hAnsi="Times New Roman" w:cs="Times New Roman"/>
          <w:color w:val="auto"/>
          <w:sz w:val="28"/>
          <w:szCs w:val="28"/>
          <w:highlight w:val="none"/>
          <w:lang w:val="zh-CN"/>
        </w:rPr>
      </w:pPr>
      <w:r>
        <w:rPr>
          <w:rFonts w:hint="default" w:ascii="Times New Roman" w:hAnsi="Times New Roman" w:cs="Times New Roman"/>
          <w:color w:val="auto"/>
          <w:sz w:val="28"/>
          <w:szCs w:val="28"/>
          <w:highlight w:val="none"/>
          <w:lang w:val="en-US" w:eastAsia="zh-CN"/>
        </w:rPr>
        <w:t>5.6.3.2</w:t>
      </w:r>
      <w:r>
        <w:rPr>
          <w:rFonts w:hint="default" w:ascii="Times New Roman" w:hAnsi="Times New Roman" w:cs="Times New Roman"/>
          <w:color w:val="auto"/>
          <w:sz w:val="28"/>
          <w:szCs w:val="28"/>
          <w:highlight w:val="none"/>
          <w:lang w:val="zh-CN"/>
        </w:rPr>
        <w:t>水生生物资源调查情况</w:t>
      </w:r>
    </w:p>
    <w:p w14:paraId="2474914F">
      <w:pPr>
        <w:bidi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茹河地处西北黄土高原东部黄土丘陵区，海拔1292～2416m，地形由西北向东南呈坡状倾斜，地形复杂，地貌破碎，沟壑纵横，属黄土高原丘陵及沟壑区第二副区，水土流失严重。茹河两岸阶地地势平坦，川塬相向，塬间平坦。</w:t>
      </w:r>
    </w:p>
    <w:p w14:paraId="6E716BF3">
      <w:pPr>
        <w:bidi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茹河山沟发育，多呈长条形，垂直于山脊平行排列，除发洪水外，多为干沟。茹河河床比降较陡，为1/50～1/400，河道宽20～150m，河谷深切，局部形成高达3～15m的阶地陡坎，属地下河流。</w:t>
      </w:r>
    </w:p>
    <w:p w14:paraId="1D184274">
      <w:pPr>
        <w:bidi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流域的径流特点是年内分配不均，与降水的年内变化关系十分密切，由于70%的降水集中在6～9月，因此68.9%的径流集中在汛期6～9月，7～8月占49.7%，8月份径流最大，占26.4％，平水期流量小，12月至次年1月连底冻。径流的年际变化很大，不仅有丰枯交替的特点，更为严重的是存在连续干旱的情况。</w:t>
      </w:r>
    </w:p>
    <w:p w14:paraId="6E24850C">
      <w:pPr>
        <w:pStyle w:val="30"/>
        <w:numPr>
          <w:ilvl w:val="0"/>
          <w:numId w:val="8"/>
        </w:numPr>
        <w:outlineLvl w:val="9"/>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茹河鱼类</w:t>
      </w:r>
      <w:r>
        <w:rPr>
          <w:rFonts w:hint="default" w:ascii="Times New Roman" w:hAnsi="Times New Roman" w:cs="Times New Roman"/>
          <w:b/>
          <w:bCs/>
          <w:color w:val="auto"/>
          <w:sz w:val="24"/>
          <w:szCs w:val="24"/>
          <w:highlight w:val="none"/>
          <w:lang w:eastAsia="zh-CN"/>
        </w:rPr>
        <w:t>资源状况</w:t>
      </w:r>
    </w:p>
    <w:p w14:paraId="7891EFDD">
      <w:pPr>
        <w:bidi w:val="0"/>
        <w:jc w:val="both"/>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流域的鱼类中，土著鱼类种类不多，</w:t>
      </w:r>
      <w:r>
        <w:rPr>
          <w:rFonts w:hint="default" w:ascii="Times New Roman" w:hAnsi="Times New Roman" w:cs="Times New Roman"/>
          <w:color w:val="auto"/>
          <w:sz w:val="24"/>
          <w:szCs w:val="24"/>
          <w:highlight w:val="none"/>
          <w:lang w:val="en-US" w:eastAsia="zh-CN"/>
        </w:rPr>
        <w:t>调查期间未捕获到鱼类。根据走访调查，流域内鱼类主要来自增殖放流。</w:t>
      </w:r>
      <w:r>
        <w:rPr>
          <w:rFonts w:hint="default" w:ascii="Times New Roman" w:hAnsi="Times New Roman" w:cs="Times New Roman"/>
          <w:color w:val="auto"/>
          <w:sz w:val="24"/>
          <w:szCs w:val="24"/>
          <w:highlight w:val="none"/>
          <w:lang w:eastAsia="zh-CN"/>
        </w:rPr>
        <w:t>主要有鲫Carassusauratus、草鱼C.idellus、鲢H.molitrix、鳙A.nobilis、鲤C.carpio，但草鱼、鲢、鳙均不能在本流域内自然繁殖。</w:t>
      </w:r>
    </w:p>
    <w:p w14:paraId="2991CA51">
      <w:pPr>
        <w:pStyle w:val="30"/>
        <w:numPr>
          <w:ilvl w:val="0"/>
          <w:numId w:val="8"/>
        </w:numPr>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茹河流域浮游动物资源状况</w:t>
      </w:r>
    </w:p>
    <w:p w14:paraId="12249B7C">
      <w:pPr>
        <w:keepNext w:val="0"/>
        <w:keepLines w:val="0"/>
        <w:widowControl/>
        <w:suppressLineNumbers w:val="0"/>
        <w:jc w:val="both"/>
        <w:outlineLvl w:val="9"/>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调查期间，共发现五种浮游动物，详见表</w:t>
      </w:r>
      <w:r>
        <w:rPr>
          <w:rFonts w:hint="eastAsia" w:cs="Times New Roman"/>
          <w:b w:val="0"/>
          <w:bCs w:val="0"/>
          <w:color w:val="auto"/>
          <w:kern w:val="0"/>
          <w:sz w:val="24"/>
          <w:szCs w:val="24"/>
          <w:highlight w:val="none"/>
          <w:lang w:val="en-US" w:eastAsia="zh-CN" w:bidi="ar"/>
        </w:rPr>
        <w:t>5.6-1</w:t>
      </w:r>
      <w:r>
        <w:rPr>
          <w:rFonts w:hint="default" w:ascii="Times New Roman" w:hAnsi="Times New Roman" w:eastAsia="宋体" w:cs="Times New Roman"/>
          <w:b w:val="0"/>
          <w:bCs w:val="0"/>
          <w:color w:val="auto"/>
          <w:kern w:val="0"/>
          <w:sz w:val="24"/>
          <w:szCs w:val="24"/>
          <w:highlight w:val="none"/>
          <w:lang w:val="en-US" w:eastAsia="zh-CN" w:bidi="ar"/>
        </w:rPr>
        <w:t>。</w:t>
      </w:r>
    </w:p>
    <w:p w14:paraId="4A845826">
      <w:pPr>
        <w:keepNext w:val="0"/>
        <w:keepLines w:val="0"/>
        <w:widowControl/>
        <w:suppressLineNumbers w:val="0"/>
        <w:jc w:val="center"/>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cs="Times New Roman"/>
          <w:b/>
          <w:bCs/>
          <w:color w:val="auto"/>
          <w:kern w:val="0"/>
          <w:sz w:val="24"/>
          <w:szCs w:val="24"/>
          <w:highlight w:val="none"/>
          <w:lang w:val="en-US" w:eastAsia="zh-CN" w:bidi="ar"/>
        </w:rPr>
        <w:t>5.6</w:t>
      </w:r>
      <w:r>
        <w:rPr>
          <w:rFonts w:hint="eastAsia" w:cs="Times New Roman"/>
          <w:b/>
          <w:bCs/>
          <w:color w:val="auto"/>
          <w:kern w:val="0"/>
          <w:sz w:val="24"/>
          <w:szCs w:val="24"/>
          <w:highlight w:val="none"/>
          <w:lang w:val="en-US" w:eastAsia="zh-CN" w:bidi="ar"/>
        </w:rPr>
        <w:t>-1</w:t>
      </w:r>
      <w:r>
        <w:rPr>
          <w:rFonts w:hint="default" w:ascii="Times New Roman" w:hAnsi="Times New Roman" w:cs="Times New Roman"/>
          <w:b/>
          <w:bCs/>
          <w:color w:val="auto"/>
          <w:sz w:val="24"/>
          <w:szCs w:val="24"/>
          <w:highlight w:val="none"/>
          <w:lang w:val="en-US" w:eastAsia="zh-CN"/>
        </w:rPr>
        <w:t>茹河</w:t>
      </w:r>
      <w:r>
        <w:rPr>
          <w:rFonts w:hint="default" w:ascii="Times New Roman" w:hAnsi="Times New Roman" w:eastAsia="宋体" w:cs="Times New Roman"/>
          <w:b/>
          <w:bCs/>
          <w:color w:val="auto"/>
          <w:kern w:val="0"/>
          <w:sz w:val="24"/>
          <w:szCs w:val="24"/>
          <w:highlight w:val="none"/>
          <w:lang w:val="en-US" w:eastAsia="zh-CN" w:bidi="ar"/>
        </w:rPr>
        <w:t>流域浮游动物检出种类</w:t>
      </w:r>
    </w:p>
    <w:tbl>
      <w:tblPr>
        <w:tblStyle w:val="3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47"/>
        <w:gridCol w:w="5375"/>
      </w:tblGrid>
      <w:tr w14:paraId="7741E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7" w:type="dxa"/>
            <w:tcBorders>
              <w:tl2br w:val="nil"/>
              <w:tr2bl w:val="nil"/>
            </w:tcBorders>
            <w:noWrap w:val="0"/>
            <w:vAlign w:val="center"/>
          </w:tcPr>
          <w:p w14:paraId="0A83455A">
            <w:pPr>
              <w:keepNext w:val="0"/>
              <w:keepLines w:val="0"/>
              <w:suppressLineNumbers w:val="0"/>
              <w:spacing w:before="0" w:beforeAutospacing="0" w:after="0" w:afterAutospacing="0" w:line="240" w:lineRule="auto"/>
              <w:ind w:left="0" w:leftChars="0" w:right="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5375" w:type="dxa"/>
            <w:tcBorders>
              <w:tl2br w:val="nil"/>
              <w:tr2bl w:val="nil"/>
            </w:tcBorders>
            <w:noWrap w:val="0"/>
            <w:vAlign w:val="center"/>
          </w:tcPr>
          <w:p w14:paraId="0DF6F0CC">
            <w:pPr>
              <w:keepNext w:val="0"/>
              <w:keepLines w:val="0"/>
              <w:suppressLineNumbers w:val="0"/>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种（属）</w:t>
            </w:r>
          </w:p>
        </w:tc>
      </w:tr>
      <w:tr w14:paraId="122ED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7" w:type="dxa"/>
            <w:vMerge w:val="restart"/>
            <w:tcBorders>
              <w:tl2br w:val="nil"/>
              <w:tr2bl w:val="nil"/>
            </w:tcBorders>
            <w:noWrap w:val="0"/>
            <w:vAlign w:val="center"/>
          </w:tcPr>
          <w:p w14:paraId="434BFF27">
            <w:pPr>
              <w:keepNext w:val="0"/>
              <w:keepLines w:val="0"/>
              <w:suppressLineNumbers w:val="0"/>
              <w:spacing w:before="0" w:beforeAutospacing="0" w:after="0" w:afterAutospacing="0" w:line="240" w:lineRule="auto"/>
              <w:ind w:left="0" w:leftChars="0" w:right="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原生动物</w:t>
            </w:r>
            <w:r>
              <w:rPr>
                <w:rFonts w:hint="default" w:ascii="Times New Roman" w:hAnsi="Times New Roman" w:eastAsia="宋体" w:cs="Times New Roman"/>
                <w:bCs/>
                <w:color w:val="auto"/>
                <w:sz w:val="21"/>
                <w:szCs w:val="21"/>
                <w:highlight w:val="none"/>
              </w:rPr>
              <w:t>Protozoa</w:t>
            </w:r>
          </w:p>
        </w:tc>
        <w:tc>
          <w:tcPr>
            <w:tcW w:w="5375" w:type="dxa"/>
            <w:tcBorders>
              <w:tl2br w:val="nil"/>
              <w:tr2bl w:val="nil"/>
            </w:tcBorders>
            <w:noWrap w:val="0"/>
            <w:vAlign w:val="center"/>
          </w:tcPr>
          <w:p w14:paraId="52E9A12B">
            <w:pPr>
              <w:keepNext w:val="0"/>
              <w:keepLines w:val="0"/>
              <w:suppressLineNumbers w:val="0"/>
              <w:spacing w:before="0" w:beforeAutospacing="0" w:after="0" w:afterAutospacing="0" w:line="240" w:lineRule="auto"/>
              <w:ind w:left="0" w:right="0"/>
              <w:jc w:val="left"/>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钟虫</w:t>
            </w:r>
            <w:r>
              <w:rPr>
                <w:rFonts w:hint="default" w:ascii="Times New Roman" w:hAnsi="Times New Roman" w:eastAsia="宋体" w:cs="Times New Roman"/>
                <w:bCs/>
                <w:color w:val="auto"/>
                <w:sz w:val="21"/>
                <w:szCs w:val="21"/>
                <w:highlight w:val="none"/>
                <w:lang w:val="en-US" w:eastAsia="zh-CN"/>
              </w:rPr>
              <w:t>科</w:t>
            </w:r>
            <w:r>
              <w:rPr>
                <w:rFonts w:hint="default" w:ascii="Times New Roman" w:hAnsi="Times New Roman" w:eastAsia="宋体" w:cs="Times New Roman"/>
                <w:bCs/>
                <w:i/>
                <w:iCs/>
                <w:color w:val="auto"/>
                <w:sz w:val="21"/>
                <w:szCs w:val="21"/>
                <w:highlight w:val="none"/>
              </w:rPr>
              <w:t>Vorticella</w:t>
            </w:r>
          </w:p>
        </w:tc>
      </w:tr>
      <w:tr w14:paraId="1CA13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7" w:type="dxa"/>
            <w:vMerge w:val="continue"/>
            <w:tcBorders>
              <w:tl2br w:val="nil"/>
              <w:tr2bl w:val="nil"/>
            </w:tcBorders>
            <w:noWrap w:val="0"/>
            <w:vAlign w:val="center"/>
          </w:tcPr>
          <w:p w14:paraId="1238B7ED">
            <w:pPr>
              <w:keepNext w:val="0"/>
              <w:keepLines w:val="0"/>
              <w:suppressLineNumbers w:val="0"/>
              <w:spacing w:before="0" w:beforeAutospacing="0" w:after="0" w:afterAutospacing="0" w:line="240" w:lineRule="auto"/>
              <w:ind w:left="0" w:leftChars="0" w:right="0" w:firstLine="0" w:firstLineChars="0"/>
              <w:jc w:val="center"/>
              <w:outlineLvl w:val="9"/>
              <w:rPr>
                <w:rFonts w:hint="default" w:ascii="Times New Roman" w:hAnsi="Times New Roman" w:eastAsia="宋体" w:cs="Times New Roman"/>
                <w:b/>
                <w:bCs/>
                <w:color w:val="auto"/>
                <w:sz w:val="21"/>
                <w:szCs w:val="21"/>
                <w:highlight w:val="none"/>
              </w:rPr>
            </w:pPr>
          </w:p>
        </w:tc>
        <w:tc>
          <w:tcPr>
            <w:tcW w:w="5375" w:type="dxa"/>
            <w:tcBorders>
              <w:tl2br w:val="nil"/>
              <w:tr2bl w:val="nil"/>
            </w:tcBorders>
            <w:noWrap w:val="0"/>
            <w:vAlign w:val="center"/>
          </w:tcPr>
          <w:p w14:paraId="4B9CB302">
            <w:pPr>
              <w:keepNext w:val="0"/>
              <w:keepLines w:val="0"/>
              <w:suppressLineNumbers w:val="0"/>
              <w:spacing w:before="0" w:beforeAutospacing="0" w:after="0" w:afterAutospacing="0" w:line="240" w:lineRule="auto"/>
              <w:ind w:left="0" w:right="0"/>
              <w:jc w:val="left"/>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rPr>
              <w:t>表壳虫</w:t>
            </w:r>
            <w:r>
              <w:rPr>
                <w:rFonts w:hint="default" w:ascii="Times New Roman" w:hAnsi="Times New Roman" w:eastAsia="宋体" w:cs="Times New Roman"/>
                <w:bCs/>
                <w:i/>
                <w:iCs/>
                <w:color w:val="auto"/>
                <w:sz w:val="21"/>
                <w:szCs w:val="21"/>
                <w:highlight w:val="none"/>
              </w:rPr>
              <w:t>Arcella</w:t>
            </w:r>
          </w:p>
        </w:tc>
      </w:tr>
      <w:tr w14:paraId="732F2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7" w:type="dxa"/>
            <w:vMerge w:val="restart"/>
            <w:tcBorders>
              <w:tl2br w:val="nil"/>
              <w:tr2bl w:val="nil"/>
            </w:tcBorders>
            <w:noWrap w:val="0"/>
            <w:vAlign w:val="center"/>
          </w:tcPr>
          <w:p w14:paraId="1E74DCE0">
            <w:pPr>
              <w:keepNext w:val="0"/>
              <w:keepLines w:val="0"/>
              <w:widowControl/>
              <w:suppressLineNumbers w:val="0"/>
              <w:spacing w:before="0" w:beforeAutospacing="0" w:after="0" w:afterAutospacing="0" w:line="240" w:lineRule="auto"/>
              <w:ind w:left="0" w:leftChars="0" w:right="0" w:firstLine="0" w:firstLineChars="0"/>
              <w:jc w:val="center"/>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轮虫</w:t>
            </w:r>
            <w:r>
              <w:rPr>
                <w:rFonts w:hint="default" w:ascii="Times New Roman" w:hAnsi="Times New Roman" w:eastAsia="宋体" w:cs="Times New Roman"/>
                <w:bCs/>
                <w:color w:val="auto"/>
                <w:sz w:val="21"/>
                <w:szCs w:val="21"/>
                <w:highlight w:val="none"/>
              </w:rPr>
              <w:t xml:space="preserve"> Rotifera</w:t>
            </w:r>
          </w:p>
        </w:tc>
        <w:tc>
          <w:tcPr>
            <w:tcW w:w="5375" w:type="dxa"/>
            <w:tcBorders>
              <w:tl2br w:val="nil"/>
              <w:tr2bl w:val="nil"/>
            </w:tcBorders>
            <w:noWrap w:val="0"/>
            <w:vAlign w:val="center"/>
          </w:tcPr>
          <w:p w14:paraId="2DC01106">
            <w:pPr>
              <w:keepNext w:val="0"/>
              <w:keepLines w:val="0"/>
              <w:suppressLineNumbers w:val="0"/>
              <w:spacing w:before="0" w:beforeAutospacing="0" w:after="0" w:afterAutospacing="0" w:line="240" w:lineRule="exact"/>
              <w:ind w:left="0" w:right="0"/>
              <w:jc w:val="both"/>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rPr>
              <w:t>臂尾轮科</w:t>
            </w:r>
            <w:r>
              <w:rPr>
                <w:rFonts w:hint="default" w:ascii="Times New Roman" w:hAnsi="Times New Roman" w:eastAsia="宋体" w:cs="Times New Roman"/>
                <w:bCs/>
                <w:i/>
                <w:iCs/>
                <w:color w:val="auto"/>
                <w:sz w:val="21"/>
                <w:szCs w:val="21"/>
                <w:highlight w:val="none"/>
              </w:rPr>
              <w:t>Brachionidae</w:t>
            </w:r>
          </w:p>
        </w:tc>
      </w:tr>
      <w:tr w14:paraId="702EA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47" w:type="dxa"/>
            <w:vMerge w:val="continue"/>
            <w:tcBorders>
              <w:tl2br w:val="nil"/>
              <w:tr2bl w:val="nil"/>
            </w:tcBorders>
            <w:noWrap w:val="0"/>
            <w:vAlign w:val="center"/>
          </w:tcPr>
          <w:p w14:paraId="1955C88F">
            <w:pPr>
              <w:keepNext w:val="0"/>
              <w:keepLines w:val="0"/>
              <w:widowControl/>
              <w:suppressLineNumbers w:val="0"/>
              <w:spacing w:before="0" w:beforeAutospacing="0" w:after="0" w:afterAutospacing="0" w:line="240" w:lineRule="auto"/>
              <w:ind w:left="0" w:right="0"/>
              <w:jc w:val="center"/>
              <w:outlineLvl w:val="9"/>
              <w:rPr>
                <w:rFonts w:hint="default" w:ascii="Times New Roman" w:hAnsi="Times New Roman" w:eastAsia="宋体" w:cs="Times New Roman"/>
                <w:color w:val="auto"/>
                <w:kern w:val="0"/>
                <w:sz w:val="21"/>
                <w:szCs w:val="21"/>
                <w:highlight w:val="none"/>
              </w:rPr>
            </w:pPr>
          </w:p>
        </w:tc>
        <w:tc>
          <w:tcPr>
            <w:tcW w:w="5375" w:type="dxa"/>
            <w:tcBorders>
              <w:tl2br w:val="nil"/>
              <w:tr2bl w:val="nil"/>
            </w:tcBorders>
            <w:noWrap w:val="0"/>
            <w:vAlign w:val="center"/>
          </w:tcPr>
          <w:p w14:paraId="2F6583F8">
            <w:pPr>
              <w:keepNext w:val="0"/>
              <w:keepLines w:val="0"/>
              <w:suppressLineNumbers w:val="0"/>
              <w:spacing w:before="0" w:beforeAutospacing="0" w:after="0" w:afterAutospacing="0" w:line="240" w:lineRule="auto"/>
              <w:ind w:left="0" w:right="0"/>
              <w:jc w:val="left"/>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台杯鬼轮虫Trichotria pocillum</w:t>
            </w:r>
          </w:p>
        </w:tc>
      </w:tr>
      <w:tr w14:paraId="16DF7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7" w:type="dxa"/>
            <w:noWrap w:val="0"/>
            <w:vAlign w:val="center"/>
          </w:tcPr>
          <w:p w14:paraId="41263E56">
            <w:pPr>
              <w:keepNext w:val="0"/>
              <w:keepLines w:val="0"/>
              <w:suppressLineNumbers w:val="0"/>
              <w:spacing w:before="0" w:beforeAutospacing="0" w:after="0" w:afterAutospacing="0" w:line="240" w:lineRule="auto"/>
              <w:ind w:left="0" w:leftChars="0" w:right="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节肢动物Arthropoda</w:t>
            </w:r>
          </w:p>
        </w:tc>
        <w:tc>
          <w:tcPr>
            <w:tcW w:w="5375" w:type="dxa"/>
            <w:noWrap w:val="0"/>
            <w:vAlign w:val="center"/>
          </w:tcPr>
          <w:p w14:paraId="35AD0222">
            <w:pPr>
              <w:keepNext w:val="0"/>
              <w:keepLines w:val="0"/>
              <w:suppressLineNumbers w:val="0"/>
              <w:spacing w:before="0" w:beforeAutospacing="0" w:after="0" w:afterAutospacing="0" w:line="240" w:lineRule="auto"/>
              <w:ind w:left="0" w:right="0"/>
              <w:jc w:val="left"/>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盘肠溞科Chydoridae</w:t>
            </w:r>
          </w:p>
        </w:tc>
      </w:tr>
    </w:tbl>
    <w:p w14:paraId="03E9868F">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浮游动物密度与生物量</w:t>
      </w:r>
    </w:p>
    <w:p w14:paraId="397E6E14">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2023年7月茹河流域的浮游动物密度变化范围为0.94</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4.2个/L，浮游动物生物量变化范围为，0.00-0.20mg/L。各监测点浮游动物的密度与生物量详情见表5.6.3-18。</w:t>
      </w:r>
    </w:p>
    <w:p w14:paraId="23DD13F4">
      <w:pPr>
        <w:keepNext w:val="0"/>
        <w:keepLines w:val="0"/>
        <w:widowControl/>
        <w:suppressLineNumbers w:val="0"/>
        <w:jc w:val="center"/>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cs="Times New Roman"/>
          <w:b/>
          <w:bCs/>
          <w:color w:val="auto"/>
          <w:kern w:val="0"/>
          <w:sz w:val="24"/>
          <w:szCs w:val="24"/>
          <w:highlight w:val="none"/>
          <w:lang w:val="en-US" w:eastAsia="zh-CN" w:bidi="ar"/>
        </w:rPr>
        <w:t>5.6</w:t>
      </w:r>
      <w:r>
        <w:rPr>
          <w:rFonts w:hint="eastAsia" w:cs="Times New Roman"/>
          <w:b/>
          <w:bCs/>
          <w:color w:val="auto"/>
          <w:kern w:val="0"/>
          <w:sz w:val="24"/>
          <w:szCs w:val="24"/>
          <w:highlight w:val="none"/>
          <w:lang w:val="en-US" w:eastAsia="zh-CN" w:bidi="ar"/>
        </w:rPr>
        <w:t>-2</w:t>
      </w:r>
      <w:r>
        <w:rPr>
          <w:rFonts w:hint="default" w:ascii="Times New Roman" w:hAnsi="Times New Roman" w:cs="Times New Roman"/>
          <w:b/>
          <w:bCs/>
          <w:color w:val="auto"/>
          <w:sz w:val="24"/>
          <w:szCs w:val="24"/>
          <w:highlight w:val="none"/>
          <w:lang w:val="en-US" w:eastAsia="zh-CN"/>
        </w:rPr>
        <w:t>茹河</w:t>
      </w:r>
      <w:r>
        <w:rPr>
          <w:rFonts w:hint="default" w:ascii="Times New Roman" w:hAnsi="Times New Roman" w:eastAsia="宋体" w:cs="Times New Roman"/>
          <w:b/>
          <w:bCs/>
          <w:color w:val="auto"/>
          <w:kern w:val="0"/>
          <w:sz w:val="24"/>
          <w:szCs w:val="24"/>
          <w:highlight w:val="none"/>
          <w:lang w:val="en-US" w:eastAsia="zh-CN" w:bidi="ar"/>
        </w:rPr>
        <w:t>流域浮游</w:t>
      </w:r>
      <w:r>
        <w:rPr>
          <w:rFonts w:hint="default" w:ascii="Times New Roman" w:hAnsi="Times New Roman" w:cs="Times New Roman"/>
          <w:b/>
          <w:bCs/>
          <w:color w:val="auto"/>
          <w:kern w:val="0"/>
          <w:sz w:val="24"/>
          <w:szCs w:val="24"/>
          <w:highlight w:val="none"/>
          <w:lang w:val="en-US" w:eastAsia="zh-CN" w:bidi="ar"/>
        </w:rPr>
        <w:t>动</w:t>
      </w:r>
      <w:r>
        <w:rPr>
          <w:rFonts w:hint="default" w:ascii="Times New Roman" w:hAnsi="Times New Roman" w:eastAsia="宋体" w:cs="Times New Roman"/>
          <w:b/>
          <w:bCs/>
          <w:color w:val="auto"/>
          <w:kern w:val="0"/>
          <w:sz w:val="24"/>
          <w:szCs w:val="24"/>
          <w:highlight w:val="none"/>
          <w:lang w:val="en-US" w:eastAsia="zh-CN" w:bidi="ar"/>
        </w:rPr>
        <w:t>物密度与生物量</w:t>
      </w:r>
    </w:p>
    <w:tbl>
      <w:tblPr>
        <w:tblStyle w:val="3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2964"/>
        <w:gridCol w:w="2836"/>
      </w:tblGrid>
      <w:tr w14:paraId="1863C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blHeader/>
        </w:trPr>
        <w:tc>
          <w:tcPr>
            <w:tcW w:w="2722" w:type="dxa"/>
            <w:tcBorders>
              <w:tl2br w:val="nil"/>
              <w:tr2bl w:val="nil"/>
            </w:tcBorders>
            <w:noWrap w:val="0"/>
            <w:vAlign w:val="center"/>
          </w:tcPr>
          <w:p w14:paraId="42BE3CD8">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rPr>
              <w:t>密度</w:t>
            </w:r>
          </w:p>
        </w:tc>
        <w:tc>
          <w:tcPr>
            <w:tcW w:w="2964" w:type="dxa"/>
            <w:tcBorders>
              <w:tl2br w:val="nil"/>
              <w:tr2bl w:val="nil"/>
            </w:tcBorders>
            <w:noWrap w:val="0"/>
            <w:vAlign w:val="center"/>
          </w:tcPr>
          <w:p w14:paraId="57E8437E">
            <w:pPr>
              <w:keepNext w:val="0"/>
              <w:keepLines w:val="0"/>
              <w:suppressLineNumbers w:val="0"/>
              <w:spacing w:before="0" w:beforeAutospacing="0" w:after="0" w:afterAutospacing="0" w:line="260" w:lineRule="exact"/>
              <w:ind w:left="0" w:right="0"/>
              <w:jc w:val="center"/>
              <w:outlineLvl w:val="9"/>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（个/L）</w:t>
            </w:r>
          </w:p>
        </w:tc>
        <w:tc>
          <w:tcPr>
            <w:tcW w:w="2836" w:type="dxa"/>
            <w:tcBorders>
              <w:tl2br w:val="nil"/>
              <w:tr2bl w:val="nil"/>
            </w:tcBorders>
            <w:noWrap w:val="0"/>
            <w:vAlign w:val="center"/>
          </w:tcPr>
          <w:p w14:paraId="7E27815F">
            <w:pPr>
              <w:keepNext w:val="0"/>
              <w:keepLines w:val="0"/>
              <w:suppressLineNumbers w:val="0"/>
              <w:spacing w:before="0" w:beforeAutospacing="0" w:after="0" w:afterAutospacing="0" w:line="260" w:lineRule="exact"/>
              <w:ind w:left="0" w:right="0"/>
              <w:jc w:val="center"/>
              <w:outlineLvl w:val="9"/>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生物量/ mg·L</w:t>
            </w:r>
            <w:r>
              <w:rPr>
                <w:rFonts w:hint="default" w:ascii="Times New Roman" w:hAnsi="Times New Roman" w:eastAsia="宋体" w:cs="Times New Roman"/>
                <w:b/>
                <w:bCs/>
                <w:color w:val="auto"/>
                <w:kern w:val="0"/>
                <w:sz w:val="21"/>
                <w:szCs w:val="21"/>
                <w:highlight w:val="none"/>
                <w:vertAlign w:val="superscript"/>
              </w:rPr>
              <w:t>-1</w:t>
            </w:r>
          </w:p>
        </w:tc>
      </w:tr>
      <w:tr w14:paraId="68C1A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722" w:type="dxa"/>
            <w:tcBorders>
              <w:tl2br w:val="nil"/>
              <w:tr2bl w:val="nil"/>
            </w:tcBorders>
            <w:noWrap w:val="0"/>
            <w:vAlign w:val="center"/>
          </w:tcPr>
          <w:p w14:paraId="5234CCD8">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b w:val="0"/>
                <w:bCs w:val="0"/>
                <w:color w:val="auto"/>
                <w:kern w:val="0"/>
                <w:sz w:val="21"/>
                <w:szCs w:val="21"/>
                <w:highlight w:val="none"/>
                <w:lang w:val="en-US" w:eastAsia="zh-CN"/>
              </w:rPr>
              <w:t>S1</w:t>
            </w:r>
          </w:p>
        </w:tc>
        <w:tc>
          <w:tcPr>
            <w:tcW w:w="2964" w:type="dxa"/>
            <w:tcBorders>
              <w:tl2br w:val="nil"/>
              <w:tr2bl w:val="nil"/>
            </w:tcBorders>
            <w:noWrap w:val="0"/>
            <w:vAlign w:val="center"/>
          </w:tcPr>
          <w:p w14:paraId="52D0AF71">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3.00 </w:t>
            </w:r>
          </w:p>
        </w:tc>
        <w:tc>
          <w:tcPr>
            <w:tcW w:w="2836" w:type="dxa"/>
            <w:tcBorders>
              <w:tl2br w:val="nil"/>
              <w:tr2bl w:val="nil"/>
            </w:tcBorders>
            <w:noWrap w:val="0"/>
            <w:vAlign w:val="center"/>
          </w:tcPr>
          <w:p w14:paraId="7EF312B6">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0.01 </w:t>
            </w:r>
          </w:p>
        </w:tc>
      </w:tr>
      <w:tr w14:paraId="507D9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2" w:type="dxa"/>
            <w:tcBorders>
              <w:tl2br w:val="nil"/>
              <w:tr2bl w:val="nil"/>
            </w:tcBorders>
            <w:noWrap w:val="0"/>
            <w:vAlign w:val="center"/>
          </w:tcPr>
          <w:p w14:paraId="61A32C22">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S2</w:t>
            </w:r>
          </w:p>
        </w:tc>
        <w:tc>
          <w:tcPr>
            <w:tcW w:w="2964" w:type="dxa"/>
            <w:tcBorders>
              <w:tl2br w:val="nil"/>
              <w:tr2bl w:val="nil"/>
            </w:tcBorders>
            <w:noWrap w:val="0"/>
            <w:vAlign w:val="center"/>
          </w:tcPr>
          <w:p w14:paraId="11641E31">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0.94 </w:t>
            </w:r>
          </w:p>
        </w:tc>
        <w:tc>
          <w:tcPr>
            <w:tcW w:w="2836" w:type="dxa"/>
            <w:tcBorders>
              <w:tl2br w:val="nil"/>
              <w:tr2bl w:val="nil"/>
            </w:tcBorders>
            <w:noWrap w:val="0"/>
            <w:vAlign w:val="center"/>
          </w:tcPr>
          <w:p w14:paraId="0F7128DD">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0.00 </w:t>
            </w:r>
          </w:p>
        </w:tc>
      </w:tr>
      <w:tr w14:paraId="3709A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2" w:type="dxa"/>
            <w:tcBorders>
              <w:tl2br w:val="nil"/>
              <w:tr2bl w:val="nil"/>
            </w:tcBorders>
            <w:noWrap w:val="0"/>
            <w:vAlign w:val="center"/>
          </w:tcPr>
          <w:p w14:paraId="43EDAC37">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S3</w:t>
            </w:r>
          </w:p>
        </w:tc>
        <w:tc>
          <w:tcPr>
            <w:tcW w:w="2964" w:type="dxa"/>
            <w:tcBorders>
              <w:tl2br w:val="nil"/>
              <w:tr2bl w:val="nil"/>
            </w:tcBorders>
            <w:noWrap w:val="0"/>
            <w:vAlign w:val="center"/>
          </w:tcPr>
          <w:p w14:paraId="2453C693">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3.70 </w:t>
            </w:r>
          </w:p>
        </w:tc>
        <w:tc>
          <w:tcPr>
            <w:tcW w:w="2836" w:type="dxa"/>
            <w:tcBorders>
              <w:tl2br w:val="nil"/>
              <w:tr2bl w:val="nil"/>
            </w:tcBorders>
            <w:noWrap w:val="0"/>
            <w:vAlign w:val="center"/>
          </w:tcPr>
          <w:p w14:paraId="42F11110">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0.11 </w:t>
            </w:r>
          </w:p>
        </w:tc>
      </w:tr>
      <w:tr w14:paraId="71059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2" w:type="dxa"/>
            <w:tcBorders>
              <w:tl2br w:val="nil"/>
              <w:tr2bl w:val="nil"/>
            </w:tcBorders>
            <w:noWrap w:val="0"/>
            <w:vAlign w:val="center"/>
          </w:tcPr>
          <w:p w14:paraId="23A47AB6">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S4</w:t>
            </w:r>
          </w:p>
        </w:tc>
        <w:tc>
          <w:tcPr>
            <w:tcW w:w="2964" w:type="dxa"/>
            <w:tcBorders>
              <w:tl2br w:val="nil"/>
              <w:tr2bl w:val="nil"/>
            </w:tcBorders>
            <w:noWrap w:val="0"/>
            <w:vAlign w:val="center"/>
          </w:tcPr>
          <w:p w14:paraId="7AE9F278">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4.20 </w:t>
            </w:r>
          </w:p>
        </w:tc>
        <w:tc>
          <w:tcPr>
            <w:tcW w:w="2836" w:type="dxa"/>
            <w:tcBorders>
              <w:tl2br w:val="nil"/>
              <w:tr2bl w:val="nil"/>
            </w:tcBorders>
            <w:noWrap w:val="0"/>
            <w:vAlign w:val="center"/>
          </w:tcPr>
          <w:p w14:paraId="19108989">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0.02 </w:t>
            </w:r>
          </w:p>
        </w:tc>
      </w:tr>
      <w:tr w14:paraId="48C86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2" w:type="dxa"/>
            <w:tcBorders>
              <w:tl2br w:val="nil"/>
              <w:tr2bl w:val="nil"/>
            </w:tcBorders>
            <w:noWrap w:val="0"/>
            <w:vAlign w:val="center"/>
          </w:tcPr>
          <w:p w14:paraId="7A52A046">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S5</w:t>
            </w:r>
          </w:p>
        </w:tc>
        <w:tc>
          <w:tcPr>
            <w:tcW w:w="2964" w:type="dxa"/>
            <w:tcBorders>
              <w:tl2br w:val="nil"/>
              <w:tr2bl w:val="nil"/>
            </w:tcBorders>
            <w:noWrap w:val="0"/>
            <w:vAlign w:val="center"/>
          </w:tcPr>
          <w:p w14:paraId="7AFDF8A9">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4.00 </w:t>
            </w:r>
          </w:p>
        </w:tc>
        <w:tc>
          <w:tcPr>
            <w:tcW w:w="2836" w:type="dxa"/>
            <w:tcBorders>
              <w:tl2br w:val="nil"/>
              <w:tr2bl w:val="nil"/>
            </w:tcBorders>
            <w:noWrap w:val="0"/>
            <w:vAlign w:val="center"/>
          </w:tcPr>
          <w:p w14:paraId="42E19DE9">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0.20 </w:t>
            </w:r>
          </w:p>
        </w:tc>
      </w:tr>
      <w:tr w14:paraId="4825F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2" w:type="dxa"/>
            <w:tcBorders>
              <w:tl2br w:val="nil"/>
              <w:tr2bl w:val="nil"/>
            </w:tcBorders>
            <w:noWrap w:val="0"/>
            <w:vAlign w:val="center"/>
          </w:tcPr>
          <w:p w14:paraId="030A0A20">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均值</w:t>
            </w:r>
          </w:p>
        </w:tc>
        <w:tc>
          <w:tcPr>
            <w:tcW w:w="2964" w:type="dxa"/>
            <w:tcBorders>
              <w:tl2br w:val="nil"/>
              <w:tr2bl w:val="nil"/>
            </w:tcBorders>
            <w:noWrap w:val="0"/>
            <w:vAlign w:val="center"/>
          </w:tcPr>
          <w:p w14:paraId="6459200B">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3.17 </w:t>
            </w:r>
          </w:p>
        </w:tc>
        <w:tc>
          <w:tcPr>
            <w:tcW w:w="2836" w:type="dxa"/>
            <w:tcBorders>
              <w:tl2br w:val="nil"/>
              <w:tr2bl w:val="nil"/>
            </w:tcBorders>
            <w:noWrap w:val="0"/>
            <w:vAlign w:val="center"/>
          </w:tcPr>
          <w:p w14:paraId="5B49C2CB">
            <w:pPr>
              <w:keepNext w:val="0"/>
              <w:keepLines w:val="0"/>
              <w:suppressLineNumbers w:val="0"/>
              <w:spacing w:before="0" w:beforeAutospacing="0" w:after="0" w:afterAutospacing="0" w:line="240" w:lineRule="exact"/>
              <w:ind w:left="0" w:leftChars="0" w:right="0" w:firstLine="0" w:firstLineChars="0"/>
              <w:jc w:val="center"/>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 xml:space="preserve">0.07 </w:t>
            </w:r>
          </w:p>
        </w:tc>
      </w:tr>
    </w:tbl>
    <w:p w14:paraId="1CBF02D0">
      <w:pPr>
        <w:pStyle w:val="30"/>
        <w:numPr>
          <w:ilvl w:val="0"/>
          <w:numId w:val="8"/>
        </w:numPr>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茹河流域浮游植物资源状况</w:t>
      </w:r>
    </w:p>
    <w:p w14:paraId="24185F27">
      <w:pPr>
        <w:widowControl/>
        <w:jc w:val="center"/>
        <w:outlineLvl w:val="9"/>
        <w:rPr>
          <w:rFonts w:hint="default" w:ascii="Times New Roman" w:hAnsi="Times New Roman" w:cs="Times New Roman"/>
          <w:b/>
          <w:bCs/>
          <w:color w:val="auto"/>
          <w:kern w:val="0"/>
          <w:sz w:val="24"/>
          <w:szCs w:val="24"/>
          <w:highlight w:val="none"/>
          <w:lang w:bidi="ar"/>
        </w:rPr>
      </w:pPr>
      <w:r>
        <w:rPr>
          <w:rFonts w:hint="default" w:ascii="Times New Roman" w:hAnsi="Times New Roman" w:cs="Times New Roman"/>
          <w:b/>
          <w:bCs/>
          <w:color w:val="auto"/>
          <w:kern w:val="0"/>
          <w:sz w:val="24"/>
          <w:szCs w:val="24"/>
          <w:highlight w:val="none"/>
          <w:lang w:bidi="ar"/>
        </w:rPr>
        <w:t>表</w:t>
      </w:r>
      <w:r>
        <w:rPr>
          <w:rFonts w:hint="default" w:ascii="Times New Roman" w:hAnsi="Times New Roman" w:cs="Times New Roman"/>
          <w:b/>
          <w:bCs/>
          <w:color w:val="auto"/>
          <w:kern w:val="0"/>
          <w:sz w:val="24"/>
          <w:szCs w:val="24"/>
          <w:highlight w:val="none"/>
          <w:lang w:val="en-US" w:eastAsia="zh-CN" w:bidi="ar"/>
        </w:rPr>
        <w:t>5.6</w:t>
      </w:r>
      <w:r>
        <w:rPr>
          <w:rFonts w:hint="eastAsia" w:cs="Times New Roman"/>
          <w:b/>
          <w:bCs/>
          <w:color w:val="auto"/>
          <w:kern w:val="0"/>
          <w:sz w:val="24"/>
          <w:szCs w:val="24"/>
          <w:highlight w:val="none"/>
          <w:lang w:val="en-US" w:eastAsia="zh-CN" w:bidi="ar"/>
        </w:rPr>
        <w:t>-3</w:t>
      </w:r>
      <w:r>
        <w:rPr>
          <w:rFonts w:hint="default" w:ascii="Times New Roman" w:hAnsi="Times New Roman" w:cs="Times New Roman"/>
          <w:b/>
          <w:bCs/>
          <w:color w:val="auto"/>
          <w:kern w:val="0"/>
          <w:sz w:val="24"/>
          <w:szCs w:val="24"/>
          <w:highlight w:val="none"/>
          <w:lang w:val="en-US" w:eastAsia="zh-CN" w:bidi="ar"/>
        </w:rPr>
        <w:t xml:space="preserve">   2022年7月</w:t>
      </w:r>
      <w:r>
        <w:rPr>
          <w:rFonts w:hint="default" w:ascii="Times New Roman" w:hAnsi="Times New Roman" w:cs="Times New Roman"/>
          <w:b/>
          <w:bCs/>
          <w:color w:val="auto"/>
          <w:kern w:val="0"/>
          <w:sz w:val="24"/>
          <w:szCs w:val="24"/>
          <w:highlight w:val="none"/>
          <w:lang w:bidi="ar"/>
        </w:rPr>
        <w:t>浮游植物种类</w:t>
      </w:r>
    </w:p>
    <w:tbl>
      <w:tblPr>
        <w:tblStyle w:val="3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5142"/>
      </w:tblGrid>
      <w:tr w14:paraId="2275C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tcBorders>
              <w:tl2br w:val="nil"/>
              <w:tr2bl w:val="nil"/>
            </w:tcBorders>
            <w:noWrap w:val="0"/>
            <w:vAlign w:val="center"/>
          </w:tcPr>
          <w:p w14:paraId="79109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门类</w:t>
            </w:r>
          </w:p>
        </w:tc>
        <w:tc>
          <w:tcPr>
            <w:tcW w:w="3017" w:type="pct"/>
            <w:tcBorders>
              <w:tl2br w:val="nil"/>
              <w:tr2bl w:val="nil"/>
            </w:tcBorders>
            <w:noWrap/>
            <w:vAlign w:val="center"/>
          </w:tcPr>
          <w:p w14:paraId="4EE0A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种（属）</w:t>
            </w:r>
          </w:p>
        </w:tc>
      </w:tr>
      <w:tr w14:paraId="0B6FD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tcBorders>
              <w:tl2br w:val="nil"/>
              <w:tr2bl w:val="nil"/>
            </w:tcBorders>
            <w:noWrap w:val="0"/>
            <w:vAlign w:val="center"/>
          </w:tcPr>
          <w:p w14:paraId="7CDAF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隐藻门</w:t>
            </w:r>
          </w:p>
        </w:tc>
        <w:tc>
          <w:tcPr>
            <w:tcW w:w="3017" w:type="pct"/>
            <w:tcBorders>
              <w:tl2br w:val="nil"/>
              <w:tr2bl w:val="nil"/>
            </w:tcBorders>
            <w:noWrap/>
            <w:vAlign w:val="center"/>
          </w:tcPr>
          <w:p w14:paraId="5BDC9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隐藻Cryptomonas</w:t>
            </w:r>
          </w:p>
        </w:tc>
      </w:tr>
      <w:tr w14:paraId="38CB6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restart"/>
            <w:tcBorders>
              <w:tl2br w:val="nil"/>
              <w:tr2bl w:val="nil"/>
            </w:tcBorders>
            <w:noWrap w:val="0"/>
            <w:vAlign w:val="center"/>
          </w:tcPr>
          <w:p w14:paraId="42C0B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硅藻门</w:t>
            </w:r>
          </w:p>
        </w:tc>
        <w:tc>
          <w:tcPr>
            <w:tcW w:w="3017" w:type="pct"/>
            <w:tcBorders>
              <w:tl2br w:val="nil"/>
              <w:tr2bl w:val="nil"/>
            </w:tcBorders>
            <w:noWrap/>
            <w:vAlign w:val="center"/>
          </w:tcPr>
          <w:p w14:paraId="407FA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等片藻Diatom aelongaturn</w:t>
            </w:r>
          </w:p>
        </w:tc>
      </w:tr>
      <w:tr w14:paraId="71A9F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3E727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64D41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茧形藻</w:t>
            </w:r>
            <w:r>
              <w:rPr>
                <w:rFonts w:hint="default" w:ascii="Times New Roman" w:hAnsi="Times New Roman" w:eastAsia="Arial" w:cs="Times New Roman"/>
                <w:i w:val="0"/>
                <w:iCs w:val="0"/>
                <w:caps w:val="0"/>
                <w:color w:val="auto"/>
                <w:spacing w:val="0"/>
                <w:sz w:val="21"/>
                <w:szCs w:val="21"/>
                <w:highlight w:val="none"/>
                <w:shd w:val="clear" w:fill="FFFFFF"/>
              </w:rPr>
              <w:t> </w:t>
            </w:r>
            <w:r>
              <w:rPr>
                <w:rFonts w:hint="default" w:ascii="Times New Roman" w:hAnsi="Times New Roman" w:eastAsia="宋体" w:cs="Times New Roman"/>
                <w:color w:val="auto"/>
                <w:kern w:val="0"/>
                <w:sz w:val="21"/>
                <w:szCs w:val="21"/>
                <w:highlight w:val="none"/>
                <w:lang w:val="en-US" w:eastAsia="zh-CN"/>
              </w:rPr>
              <w:t>Amphiprora</w:t>
            </w:r>
          </w:p>
        </w:tc>
      </w:tr>
      <w:tr w14:paraId="786E2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60031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1CC3F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棍形藻Bacillaria paradoxa Gmelin</w:t>
            </w:r>
          </w:p>
        </w:tc>
      </w:tr>
      <w:tr w14:paraId="22E91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46158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465BF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小环藻</w:t>
            </w:r>
            <w:r>
              <w:rPr>
                <w:rFonts w:hint="default" w:ascii="Times New Roman" w:hAnsi="Times New Roman" w:eastAsia="宋体" w:cs="Times New Roman"/>
                <w:color w:val="auto"/>
                <w:kern w:val="0"/>
                <w:sz w:val="21"/>
                <w:szCs w:val="21"/>
                <w:highlight w:val="none"/>
              </w:rPr>
              <w:t>Cyclotella stelligera</w:t>
            </w:r>
          </w:p>
        </w:tc>
      </w:tr>
      <w:tr w14:paraId="73F50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3EC09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40662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舟形藻</w:t>
            </w:r>
            <w:r>
              <w:rPr>
                <w:rFonts w:hint="default" w:ascii="Times New Roman" w:hAnsi="Times New Roman" w:eastAsia="宋体" w:cs="Times New Roman"/>
                <w:color w:val="auto"/>
                <w:kern w:val="0"/>
                <w:sz w:val="21"/>
                <w:szCs w:val="21"/>
                <w:highlight w:val="none"/>
              </w:rPr>
              <w:t>Navicula</w:t>
            </w:r>
          </w:p>
        </w:tc>
      </w:tr>
      <w:tr w14:paraId="19D06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735C0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0E46D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尖针杆藻</w:t>
            </w:r>
            <w:r>
              <w:rPr>
                <w:rFonts w:hint="default" w:ascii="Times New Roman" w:hAnsi="Times New Roman" w:eastAsia="宋体" w:cs="Times New Roman"/>
                <w:color w:val="auto"/>
                <w:kern w:val="0"/>
                <w:sz w:val="21"/>
                <w:szCs w:val="21"/>
                <w:highlight w:val="none"/>
              </w:rPr>
              <w:t>Synedra acus</w:t>
            </w:r>
          </w:p>
        </w:tc>
      </w:tr>
      <w:tr w14:paraId="5D626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7C353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78BDB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曲壳藻Achnanthes sp.</w:t>
            </w:r>
          </w:p>
        </w:tc>
      </w:tr>
      <w:tr w14:paraId="7C7D1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3CCAB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461A9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尖布纹藻</w:t>
            </w:r>
            <w:r>
              <w:rPr>
                <w:rFonts w:hint="default" w:ascii="Times New Roman" w:hAnsi="Times New Roman" w:eastAsia="宋体" w:cs="Times New Roman"/>
                <w:color w:val="auto"/>
                <w:kern w:val="0"/>
                <w:sz w:val="21"/>
                <w:szCs w:val="21"/>
                <w:highlight w:val="none"/>
              </w:rPr>
              <w:t>Gyrosigma acuminatum</w:t>
            </w:r>
          </w:p>
        </w:tc>
      </w:tr>
      <w:tr w14:paraId="53C6A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02819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6F56B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羽纹藻Pinnulaira</w:t>
            </w:r>
          </w:p>
        </w:tc>
      </w:tr>
      <w:tr w14:paraId="780E3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75E6A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6386B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辐节藻Stauronei sacuta</w:t>
            </w:r>
          </w:p>
        </w:tc>
      </w:tr>
      <w:tr w14:paraId="54B11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278FF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7A044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衣藻Chlamydomonas</w:t>
            </w:r>
          </w:p>
        </w:tc>
      </w:tr>
      <w:tr w14:paraId="434D3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786EF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1313E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双菱藻Surirella</w:t>
            </w:r>
          </w:p>
        </w:tc>
      </w:tr>
      <w:tr w14:paraId="52634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410CC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10EFB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脆杆藻</w:t>
            </w:r>
            <w:r>
              <w:rPr>
                <w:rFonts w:hint="default" w:ascii="Times New Roman" w:hAnsi="Times New Roman" w:eastAsia="宋体" w:cs="Times New Roman"/>
                <w:color w:val="auto"/>
                <w:kern w:val="0"/>
                <w:sz w:val="21"/>
                <w:szCs w:val="21"/>
                <w:highlight w:val="none"/>
              </w:rPr>
              <w:t>Fragilaria construens</w:t>
            </w:r>
          </w:p>
        </w:tc>
      </w:tr>
      <w:tr w14:paraId="0AA64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46469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2B61E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波缘藻Cymatopleura</w:t>
            </w:r>
          </w:p>
        </w:tc>
      </w:tr>
      <w:tr w14:paraId="3EEE5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7A7A5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29E1E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异极藻 Gomphonema sp</w:t>
            </w:r>
          </w:p>
        </w:tc>
      </w:tr>
      <w:tr w14:paraId="220C3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restart"/>
            <w:tcBorders>
              <w:tl2br w:val="nil"/>
              <w:tr2bl w:val="nil"/>
            </w:tcBorders>
            <w:noWrap w:val="0"/>
            <w:vAlign w:val="center"/>
          </w:tcPr>
          <w:p w14:paraId="1BAE3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绿藻门</w:t>
            </w:r>
          </w:p>
        </w:tc>
        <w:tc>
          <w:tcPr>
            <w:tcW w:w="3017" w:type="pct"/>
            <w:tcBorders>
              <w:tl2br w:val="nil"/>
              <w:tr2bl w:val="nil"/>
            </w:tcBorders>
            <w:noWrap/>
            <w:vAlign w:val="center"/>
          </w:tcPr>
          <w:p w14:paraId="361CC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卵囊藻Oocystis. Lacustris</w:t>
            </w:r>
          </w:p>
        </w:tc>
      </w:tr>
      <w:tr w14:paraId="430F4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272AC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218B1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十字藻Crucigenia</w:t>
            </w:r>
          </w:p>
        </w:tc>
      </w:tr>
      <w:tr w14:paraId="1B919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0C308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52CDA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鼓藻Cosmarium quadrifarium Lund</w:t>
            </w:r>
          </w:p>
        </w:tc>
      </w:tr>
      <w:tr w14:paraId="6DF7F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073EF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0FBCEC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胶网藻Gloiophloea chinensis Tseng</w:t>
            </w:r>
          </w:p>
        </w:tc>
      </w:tr>
      <w:tr w14:paraId="1BCE6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598B4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683F43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茧形藻Amphiprora sp</w:t>
            </w:r>
          </w:p>
        </w:tc>
      </w:tr>
      <w:tr w14:paraId="2D7A7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6586B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63DF9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韦斯藻</w:t>
            </w:r>
            <w:r>
              <w:rPr>
                <w:rFonts w:hint="default" w:ascii="Times New Roman" w:hAnsi="Times New Roman" w:eastAsia="宋体" w:cs="Times New Roman"/>
                <w:i w:val="0"/>
                <w:iCs w:val="0"/>
                <w:caps w:val="0"/>
                <w:color w:val="auto"/>
                <w:spacing w:val="0"/>
                <w:sz w:val="19"/>
                <w:szCs w:val="19"/>
                <w:highlight w:val="none"/>
                <w:shd w:val="clear" w:fill="FFFFFF"/>
              </w:rPr>
              <w:t>Westellopsis</w:t>
            </w:r>
          </w:p>
        </w:tc>
      </w:tr>
      <w:tr w14:paraId="4FA9D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47BFB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rPr>
            </w:pPr>
          </w:p>
        </w:tc>
        <w:tc>
          <w:tcPr>
            <w:tcW w:w="3017" w:type="pct"/>
            <w:tcBorders>
              <w:tl2br w:val="nil"/>
              <w:tr2bl w:val="nil"/>
            </w:tcBorders>
            <w:noWrap/>
            <w:vAlign w:val="center"/>
          </w:tcPr>
          <w:p w14:paraId="65EC6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四尾栅藻Scenedesmus quadricauda</w:t>
            </w:r>
          </w:p>
        </w:tc>
      </w:tr>
      <w:tr w14:paraId="33D0C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restart"/>
            <w:tcBorders>
              <w:tl2br w:val="nil"/>
              <w:tr2bl w:val="nil"/>
            </w:tcBorders>
            <w:noWrap w:val="0"/>
            <w:vAlign w:val="center"/>
          </w:tcPr>
          <w:p w14:paraId="6376E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蓝藻门</w:t>
            </w:r>
          </w:p>
        </w:tc>
        <w:tc>
          <w:tcPr>
            <w:tcW w:w="3017" w:type="pct"/>
            <w:tcBorders>
              <w:tl2br w:val="nil"/>
              <w:tr2bl w:val="nil"/>
            </w:tcBorders>
            <w:noWrap/>
            <w:vAlign w:val="center"/>
          </w:tcPr>
          <w:p w14:paraId="2861D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史氏棒胶藻Rhabdogloeasmithii</w:t>
            </w:r>
          </w:p>
        </w:tc>
      </w:tr>
      <w:tr w14:paraId="50330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vMerge w:val="continue"/>
            <w:tcBorders>
              <w:tl2br w:val="nil"/>
              <w:tr2bl w:val="nil"/>
            </w:tcBorders>
            <w:noWrap w:val="0"/>
            <w:vAlign w:val="center"/>
          </w:tcPr>
          <w:p w14:paraId="477FA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c>
          <w:tcPr>
            <w:tcW w:w="3017" w:type="pct"/>
            <w:tcBorders>
              <w:tl2br w:val="nil"/>
              <w:tr2bl w:val="nil"/>
            </w:tcBorders>
            <w:noWrap/>
            <w:vAlign w:val="center"/>
          </w:tcPr>
          <w:p w14:paraId="2608C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颤藻</w:t>
            </w:r>
            <w:r>
              <w:rPr>
                <w:rFonts w:hint="default" w:ascii="Times New Roman" w:hAnsi="Times New Roman" w:eastAsia="宋体" w:cs="Times New Roman"/>
                <w:color w:val="auto"/>
                <w:kern w:val="0"/>
                <w:sz w:val="21"/>
                <w:szCs w:val="21"/>
                <w:highlight w:val="none"/>
              </w:rPr>
              <w:t>Oscillatoriaceae</w:t>
            </w:r>
          </w:p>
        </w:tc>
      </w:tr>
      <w:tr w14:paraId="0C6CA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82" w:type="pct"/>
            <w:tcBorders>
              <w:tl2br w:val="nil"/>
              <w:tr2bl w:val="nil"/>
            </w:tcBorders>
            <w:noWrap w:val="0"/>
            <w:vAlign w:val="center"/>
          </w:tcPr>
          <w:p w14:paraId="58D64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金藻门</w:t>
            </w:r>
          </w:p>
        </w:tc>
        <w:tc>
          <w:tcPr>
            <w:tcW w:w="3017" w:type="pct"/>
            <w:tcBorders>
              <w:tl2br w:val="nil"/>
              <w:tr2bl w:val="nil"/>
            </w:tcBorders>
            <w:noWrap/>
            <w:vAlign w:val="center"/>
          </w:tcPr>
          <w:p w14:paraId="672FE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锥囊藻</w:t>
            </w:r>
            <w:r>
              <w:rPr>
                <w:rFonts w:hint="default" w:ascii="Times New Roman" w:hAnsi="Times New Roman" w:eastAsia="宋体" w:cs="Times New Roman"/>
                <w:color w:val="auto"/>
                <w:kern w:val="0"/>
                <w:sz w:val="21"/>
                <w:szCs w:val="21"/>
                <w:highlight w:val="none"/>
                <w:lang w:val="en-US" w:eastAsia="zh-CN"/>
              </w:rPr>
              <w:fldChar w:fldCharType="begin"/>
            </w:r>
            <w:r>
              <w:rPr>
                <w:rFonts w:hint="default" w:ascii="Times New Roman" w:hAnsi="Times New Roman" w:eastAsia="宋体" w:cs="Times New Roman"/>
                <w:color w:val="auto"/>
                <w:kern w:val="0"/>
                <w:sz w:val="21"/>
                <w:szCs w:val="21"/>
                <w:highlight w:val="none"/>
                <w:lang w:val="en-US" w:eastAsia="zh-CN"/>
              </w:rPr>
              <w:instrText xml:space="preserve"> HYPERLINK "https://www.baidu.com/s?ch=22&amp;tn=98010089_dg&amp;wd=Dinobryon sertularia&amp;ie=utf-8&amp;rsv_pq=979c13700002cdef&amp;oq=%E9%94%A5%E5%9B%8A%E8%97%BB%E6%8B%89%E4%B8%81%E6%96%87%E5%90%8D&amp;rsv_t=4e98UlAFIEZ/mGq3yKV/kFKPR1O8dhFW7pAjfMIFq2JWTHpb6Pemn4YMa7dARZS8TG0&amp;sa=re_dqa_zy&amp;icon=1" \t "https://www.baidu.com/_self" </w:instrText>
            </w:r>
            <w:r>
              <w:rPr>
                <w:rFonts w:hint="default" w:ascii="Times New Roman" w:hAnsi="Times New Roman" w:eastAsia="宋体" w:cs="Times New Roman"/>
                <w:color w:val="auto"/>
                <w:kern w:val="0"/>
                <w:sz w:val="21"/>
                <w:szCs w:val="21"/>
                <w:highlight w:val="none"/>
                <w:lang w:val="en-US" w:eastAsia="zh-CN"/>
              </w:rPr>
              <w:fldChar w:fldCharType="separate"/>
            </w:r>
            <w:r>
              <w:rPr>
                <w:rFonts w:hint="default" w:ascii="Times New Roman" w:hAnsi="Times New Roman" w:eastAsia="宋体" w:cs="Times New Roman"/>
                <w:color w:val="auto"/>
                <w:kern w:val="0"/>
                <w:sz w:val="21"/>
                <w:szCs w:val="21"/>
                <w:highlight w:val="none"/>
                <w:lang w:val="en-US" w:eastAsia="zh-CN"/>
              </w:rPr>
              <w:t>Dinobryon sertularia</w:t>
            </w:r>
            <w:r>
              <w:rPr>
                <w:rFonts w:hint="default" w:ascii="Times New Roman" w:hAnsi="Times New Roman" w:eastAsia="宋体" w:cs="Times New Roman"/>
                <w:color w:val="auto"/>
                <w:kern w:val="0"/>
                <w:sz w:val="21"/>
                <w:szCs w:val="21"/>
                <w:highlight w:val="none"/>
                <w:lang w:val="en-US" w:eastAsia="zh-CN"/>
              </w:rPr>
              <w:fldChar w:fldCharType="end"/>
            </w:r>
          </w:p>
        </w:tc>
      </w:tr>
    </w:tbl>
    <w:p w14:paraId="16482E09">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浮游植物密度与生物量</w:t>
      </w:r>
    </w:p>
    <w:p w14:paraId="41447A3C">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2023年7月茹河各监测点浮游植物密度变化范围为15.83-116.88×10</w:t>
      </w:r>
      <w:r>
        <w:rPr>
          <w:rFonts w:hint="default" w:ascii="Times New Roman" w:hAnsi="Times New Roman" w:cs="Times New Roman"/>
          <w:color w:val="auto"/>
          <w:sz w:val="24"/>
          <w:szCs w:val="24"/>
          <w:highlight w:val="none"/>
          <w:vertAlign w:val="superscript"/>
          <w:lang w:val="en-US" w:eastAsia="zh-CN"/>
        </w:rPr>
        <w:t>4</w:t>
      </w:r>
      <w:r>
        <w:rPr>
          <w:rFonts w:hint="default" w:ascii="Times New Roman" w:hAnsi="Times New Roman" w:cs="Times New Roman"/>
          <w:color w:val="auto"/>
          <w:sz w:val="24"/>
          <w:szCs w:val="24"/>
          <w:highlight w:val="none"/>
          <w:lang w:val="en-US" w:eastAsia="zh-CN"/>
        </w:rPr>
        <w:t>个/L。浮游植物生物量变化范围为00354-1.83mg/L。</w:t>
      </w:r>
    </w:p>
    <w:p w14:paraId="4E72CBE2">
      <w:pPr>
        <w:keepNext w:val="0"/>
        <w:keepLines w:val="0"/>
        <w:widowControl/>
        <w:suppressLineNumbers w:val="0"/>
        <w:jc w:val="center"/>
        <w:outlineLvl w:val="9"/>
        <w:rPr>
          <w:rFonts w:hint="default" w:ascii="Times New Roman" w:hAnsi="Times New Roman" w:eastAsia="宋体" w:cs="Times New Roman"/>
          <w:b/>
          <w:bCs/>
          <w:color w:val="auto"/>
          <w:kern w:val="0"/>
          <w:sz w:val="24"/>
          <w:szCs w:val="24"/>
          <w:highlight w:val="none"/>
          <w:lang w:val="en-US" w:eastAsia="zh-CN" w:bidi="ar"/>
        </w:rPr>
      </w:pPr>
    </w:p>
    <w:p w14:paraId="452CCA54">
      <w:pPr>
        <w:keepNext w:val="0"/>
        <w:keepLines w:val="0"/>
        <w:widowControl/>
        <w:suppressLineNumbers w:val="0"/>
        <w:jc w:val="center"/>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cs="Times New Roman"/>
          <w:b/>
          <w:bCs/>
          <w:color w:val="auto"/>
          <w:kern w:val="0"/>
          <w:sz w:val="24"/>
          <w:szCs w:val="24"/>
          <w:highlight w:val="none"/>
          <w:lang w:val="en-US" w:eastAsia="zh-CN" w:bidi="ar"/>
        </w:rPr>
        <w:t>5.6</w:t>
      </w:r>
      <w:r>
        <w:rPr>
          <w:rFonts w:hint="eastAsia"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各监测点浮游植物密度与生物量</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2964"/>
        <w:gridCol w:w="2836"/>
      </w:tblGrid>
      <w:tr w14:paraId="16DBE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96" w:type="pct"/>
            <w:tcBorders>
              <w:tl2br w:val="nil"/>
              <w:tr2bl w:val="nil"/>
            </w:tcBorders>
            <w:noWrap w:val="0"/>
            <w:vAlign w:val="center"/>
          </w:tcPr>
          <w:p w14:paraId="2D645E4A">
            <w:pPr>
              <w:keepNext w:val="0"/>
              <w:keepLines w:val="0"/>
              <w:suppressLineNumbers w:val="0"/>
              <w:spacing w:before="0" w:beforeAutospacing="0" w:after="0" w:afterAutospacing="0" w:line="240" w:lineRule="exact"/>
              <w:ind w:left="0" w:right="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地点</w:t>
            </w:r>
          </w:p>
        </w:tc>
        <w:tc>
          <w:tcPr>
            <w:tcW w:w="1739" w:type="pct"/>
            <w:tcBorders>
              <w:tl2br w:val="nil"/>
              <w:tr2bl w:val="nil"/>
            </w:tcBorders>
            <w:noWrap w:val="0"/>
            <w:vAlign w:val="center"/>
          </w:tcPr>
          <w:p w14:paraId="585D148A">
            <w:pPr>
              <w:keepNext w:val="0"/>
              <w:keepLines w:val="0"/>
              <w:suppressLineNumbers w:val="0"/>
              <w:spacing w:before="0" w:beforeAutospacing="0" w:after="0" w:afterAutospacing="0" w:line="240" w:lineRule="exact"/>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密度/ 10</w:t>
            </w:r>
            <w:r>
              <w:rPr>
                <w:rFonts w:hint="default" w:ascii="Times New Roman" w:hAnsi="Times New Roman" w:eastAsia="宋体" w:cs="Times New Roman"/>
                <w:b/>
                <w:bCs/>
                <w:color w:val="auto"/>
                <w:sz w:val="21"/>
                <w:szCs w:val="21"/>
                <w:highlight w:val="none"/>
                <w:vertAlign w:val="superscript"/>
              </w:rPr>
              <w:t>4</w:t>
            </w:r>
            <w:r>
              <w:rPr>
                <w:rFonts w:hint="default" w:ascii="Times New Roman" w:hAnsi="Times New Roman" w:cs="Times New Roman"/>
                <w:b/>
                <w:bCs/>
                <w:color w:val="auto"/>
                <w:sz w:val="21"/>
                <w:szCs w:val="21"/>
                <w:highlight w:val="none"/>
                <w:lang w:eastAsia="zh-CN"/>
              </w:rPr>
              <w:t>ind.</w:t>
            </w:r>
            <w:r>
              <w:rPr>
                <w:rFonts w:hint="default" w:ascii="Times New Roman" w:hAnsi="Times New Roman" w:eastAsia="宋体" w:cs="Times New Roman"/>
                <w:b/>
                <w:bCs/>
                <w:color w:val="auto"/>
                <w:sz w:val="21"/>
                <w:szCs w:val="21"/>
                <w:highlight w:val="none"/>
              </w:rPr>
              <w:t>·L</w:t>
            </w:r>
            <w:r>
              <w:rPr>
                <w:rFonts w:hint="default" w:ascii="Times New Roman" w:hAnsi="Times New Roman" w:eastAsia="宋体" w:cs="Times New Roman"/>
                <w:b/>
                <w:bCs/>
                <w:color w:val="auto"/>
                <w:sz w:val="21"/>
                <w:szCs w:val="21"/>
                <w:highlight w:val="none"/>
                <w:vertAlign w:val="superscript"/>
              </w:rPr>
              <w:t>-1</w:t>
            </w:r>
          </w:p>
        </w:tc>
        <w:tc>
          <w:tcPr>
            <w:tcW w:w="1664" w:type="pct"/>
            <w:tcBorders>
              <w:tl2br w:val="nil"/>
              <w:tr2bl w:val="nil"/>
            </w:tcBorders>
            <w:noWrap w:val="0"/>
            <w:vAlign w:val="center"/>
          </w:tcPr>
          <w:p w14:paraId="0FD333FA">
            <w:pPr>
              <w:keepNext w:val="0"/>
              <w:keepLines w:val="0"/>
              <w:suppressLineNumbers w:val="0"/>
              <w:spacing w:before="0" w:beforeAutospacing="0" w:after="0" w:afterAutospacing="0" w:line="240" w:lineRule="exact"/>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生物量/ mg·L</w:t>
            </w:r>
            <w:r>
              <w:rPr>
                <w:rFonts w:hint="default" w:ascii="Times New Roman" w:hAnsi="Times New Roman" w:eastAsia="宋体" w:cs="Times New Roman"/>
                <w:b/>
                <w:bCs/>
                <w:color w:val="auto"/>
                <w:sz w:val="21"/>
                <w:szCs w:val="21"/>
                <w:highlight w:val="none"/>
                <w:vertAlign w:val="superscript"/>
              </w:rPr>
              <w:t>-1</w:t>
            </w:r>
          </w:p>
        </w:tc>
      </w:tr>
      <w:tr w14:paraId="02427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96" w:type="pct"/>
            <w:tcBorders>
              <w:tl2br w:val="nil"/>
              <w:tr2bl w:val="nil"/>
            </w:tcBorders>
            <w:noWrap w:val="0"/>
            <w:vAlign w:val="center"/>
          </w:tcPr>
          <w:p w14:paraId="1DBEEEC1">
            <w:pPr>
              <w:keepNext w:val="0"/>
              <w:keepLines w:val="0"/>
              <w:suppressLineNumbers w:val="0"/>
              <w:spacing w:before="0" w:beforeAutospacing="0" w:after="0" w:afterAutospacing="0" w:line="240" w:lineRule="exact"/>
              <w:ind w:left="0" w:leftChars="0" w:right="0" w:rightChars="0"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S1</w:t>
            </w:r>
          </w:p>
        </w:tc>
        <w:tc>
          <w:tcPr>
            <w:tcW w:w="1739" w:type="pct"/>
            <w:tcBorders>
              <w:tl2br w:val="nil"/>
              <w:tr2bl w:val="nil"/>
            </w:tcBorders>
            <w:noWrap w:val="0"/>
            <w:vAlign w:val="center"/>
          </w:tcPr>
          <w:p w14:paraId="65CBC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15.83 </w:t>
            </w:r>
          </w:p>
        </w:tc>
        <w:tc>
          <w:tcPr>
            <w:tcW w:w="1664" w:type="pct"/>
            <w:tcBorders>
              <w:tl2br w:val="nil"/>
              <w:tr2bl w:val="nil"/>
            </w:tcBorders>
            <w:noWrap w:val="0"/>
            <w:vAlign w:val="center"/>
          </w:tcPr>
          <w:p w14:paraId="780DF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0.34 </w:t>
            </w:r>
          </w:p>
        </w:tc>
      </w:tr>
      <w:tr w14:paraId="6FF34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6" w:type="pct"/>
            <w:tcBorders>
              <w:tl2br w:val="nil"/>
              <w:tr2bl w:val="nil"/>
            </w:tcBorders>
            <w:noWrap w:val="0"/>
            <w:vAlign w:val="center"/>
          </w:tcPr>
          <w:p w14:paraId="0EA6D189">
            <w:pPr>
              <w:keepNext w:val="0"/>
              <w:keepLines w:val="0"/>
              <w:suppressLineNumbers w:val="0"/>
              <w:spacing w:before="0" w:beforeAutospacing="0" w:after="0" w:afterAutospacing="0" w:line="240" w:lineRule="exact"/>
              <w:ind w:left="0" w:leftChars="0" w:right="0" w:rightChars="0"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S2</w:t>
            </w:r>
          </w:p>
        </w:tc>
        <w:tc>
          <w:tcPr>
            <w:tcW w:w="1739" w:type="pct"/>
            <w:tcBorders>
              <w:tl2br w:val="nil"/>
              <w:tr2bl w:val="nil"/>
            </w:tcBorders>
            <w:noWrap w:val="0"/>
            <w:vAlign w:val="center"/>
          </w:tcPr>
          <w:p w14:paraId="6445A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88.00 </w:t>
            </w:r>
          </w:p>
        </w:tc>
        <w:tc>
          <w:tcPr>
            <w:tcW w:w="1664" w:type="pct"/>
            <w:tcBorders>
              <w:tl2br w:val="nil"/>
              <w:tr2bl w:val="nil"/>
            </w:tcBorders>
            <w:noWrap w:val="0"/>
            <w:vAlign w:val="center"/>
          </w:tcPr>
          <w:p w14:paraId="77E9C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1.83 </w:t>
            </w:r>
          </w:p>
        </w:tc>
      </w:tr>
      <w:tr w14:paraId="79164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6" w:type="pct"/>
            <w:tcBorders>
              <w:tl2br w:val="nil"/>
              <w:tr2bl w:val="nil"/>
            </w:tcBorders>
            <w:noWrap w:val="0"/>
            <w:vAlign w:val="center"/>
          </w:tcPr>
          <w:p w14:paraId="203DD803">
            <w:pPr>
              <w:keepNext w:val="0"/>
              <w:keepLines w:val="0"/>
              <w:suppressLineNumbers w:val="0"/>
              <w:spacing w:before="0" w:beforeAutospacing="0" w:after="0" w:afterAutospacing="0" w:line="240" w:lineRule="exact"/>
              <w:ind w:left="0" w:leftChars="0" w:right="0" w:rightChars="0"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S3</w:t>
            </w:r>
          </w:p>
        </w:tc>
        <w:tc>
          <w:tcPr>
            <w:tcW w:w="1739" w:type="pct"/>
            <w:tcBorders>
              <w:tl2br w:val="nil"/>
              <w:tr2bl w:val="nil"/>
            </w:tcBorders>
            <w:noWrap w:val="0"/>
            <w:vAlign w:val="center"/>
          </w:tcPr>
          <w:p w14:paraId="184A3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116.88 </w:t>
            </w:r>
          </w:p>
        </w:tc>
        <w:tc>
          <w:tcPr>
            <w:tcW w:w="1664" w:type="pct"/>
            <w:tcBorders>
              <w:tl2br w:val="nil"/>
              <w:tr2bl w:val="nil"/>
            </w:tcBorders>
            <w:noWrap w:val="0"/>
            <w:vAlign w:val="center"/>
          </w:tcPr>
          <w:p w14:paraId="466BA5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1.03 </w:t>
            </w:r>
          </w:p>
        </w:tc>
      </w:tr>
      <w:tr w14:paraId="5284F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6" w:type="pct"/>
            <w:tcBorders>
              <w:tl2br w:val="nil"/>
              <w:tr2bl w:val="nil"/>
            </w:tcBorders>
            <w:noWrap w:val="0"/>
            <w:vAlign w:val="center"/>
          </w:tcPr>
          <w:p w14:paraId="1D7DE6BA">
            <w:pPr>
              <w:keepNext w:val="0"/>
              <w:keepLines w:val="0"/>
              <w:suppressLineNumbers w:val="0"/>
              <w:spacing w:before="0" w:beforeAutospacing="0" w:after="0" w:afterAutospacing="0" w:line="240" w:lineRule="exact"/>
              <w:ind w:left="0" w:leftChars="0" w:right="0" w:rightChars="0"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S4</w:t>
            </w:r>
          </w:p>
        </w:tc>
        <w:tc>
          <w:tcPr>
            <w:tcW w:w="1739" w:type="pct"/>
            <w:tcBorders>
              <w:tl2br w:val="nil"/>
              <w:tr2bl w:val="nil"/>
            </w:tcBorders>
            <w:noWrap w:val="0"/>
            <w:vAlign w:val="center"/>
          </w:tcPr>
          <w:p w14:paraId="5E126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95.63 </w:t>
            </w:r>
          </w:p>
        </w:tc>
        <w:tc>
          <w:tcPr>
            <w:tcW w:w="1664" w:type="pct"/>
            <w:tcBorders>
              <w:tl2br w:val="nil"/>
              <w:tr2bl w:val="nil"/>
            </w:tcBorders>
            <w:noWrap w:val="0"/>
            <w:vAlign w:val="center"/>
          </w:tcPr>
          <w:p w14:paraId="358643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1.03 </w:t>
            </w:r>
          </w:p>
        </w:tc>
      </w:tr>
      <w:tr w14:paraId="213FA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6" w:type="pct"/>
            <w:tcBorders>
              <w:tl2br w:val="nil"/>
              <w:tr2bl w:val="nil"/>
            </w:tcBorders>
            <w:noWrap w:val="0"/>
            <w:vAlign w:val="center"/>
          </w:tcPr>
          <w:p w14:paraId="25A8A6E9">
            <w:pPr>
              <w:keepNext w:val="0"/>
              <w:keepLines w:val="0"/>
              <w:suppressLineNumbers w:val="0"/>
              <w:spacing w:before="0" w:beforeAutospacing="0" w:after="0" w:afterAutospacing="0" w:line="240" w:lineRule="exact"/>
              <w:ind w:left="0" w:leftChars="0" w:right="0" w:rightChars="0" w:firstLine="0" w:firstLineChars="0"/>
              <w:jc w:val="center"/>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S5</w:t>
            </w:r>
          </w:p>
        </w:tc>
        <w:tc>
          <w:tcPr>
            <w:tcW w:w="1739" w:type="pct"/>
            <w:tcBorders>
              <w:tl2br w:val="nil"/>
              <w:tr2bl w:val="nil"/>
            </w:tcBorders>
            <w:noWrap w:val="0"/>
            <w:vAlign w:val="center"/>
          </w:tcPr>
          <w:p w14:paraId="33809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72.08 </w:t>
            </w:r>
          </w:p>
        </w:tc>
        <w:tc>
          <w:tcPr>
            <w:tcW w:w="1664" w:type="pct"/>
            <w:tcBorders>
              <w:tl2br w:val="nil"/>
              <w:tr2bl w:val="nil"/>
            </w:tcBorders>
            <w:noWrap w:val="0"/>
            <w:vAlign w:val="center"/>
          </w:tcPr>
          <w:p w14:paraId="21071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1.40 </w:t>
            </w:r>
          </w:p>
        </w:tc>
      </w:tr>
      <w:tr w14:paraId="0810A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6" w:type="pct"/>
            <w:tcBorders>
              <w:tl2br w:val="nil"/>
              <w:tr2bl w:val="nil"/>
            </w:tcBorders>
            <w:noWrap w:val="0"/>
            <w:vAlign w:val="center"/>
          </w:tcPr>
          <w:p w14:paraId="06F49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S6</w:t>
            </w:r>
          </w:p>
        </w:tc>
        <w:tc>
          <w:tcPr>
            <w:tcW w:w="1739" w:type="pct"/>
            <w:tcBorders>
              <w:tl2br w:val="nil"/>
              <w:tr2bl w:val="nil"/>
            </w:tcBorders>
            <w:noWrap w:val="0"/>
            <w:vAlign w:val="center"/>
          </w:tcPr>
          <w:p w14:paraId="4C361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86.63 </w:t>
            </w:r>
          </w:p>
        </w:tc>
        <w:tc>
          <w:tcPr>
            <w:tcW w:w="1664" w:type="pct"/>
            <w:tcBorders>
              <w:tl2br w:val="nil"/>
              <w:tr2bl w:val="nil"/>
            </w:tcBorders>
            <w:noWrap w:val="0"/>
            <w:vAlign w:val="center"/>
          </w:tcPr>
          <w:p w14:paraId="1A6DB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1.16 </w:t>
            </w:r>
          </w:p>
        </w:tc>
      </w:tr>
      <w:tr w14:paraId="4F6DA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6" w:type="pct"/>
            <w:tcBorders>
              <w:tl2br w:val="nil"/>
              <w:tr2bl w:val="nil"/>
            </w:tcBorders>
            <w:noWrap w:val="0"/>
            <w:vAlign w:val="bottom"/>
          </w:tcPr>
          <w:p w14:paraId="543A4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均值</w:t>
            </w:r>
          </w:p>
        </w:tc>
        <w:tc>
          <w:tcPr>
            <w:tcW w:w="1739" w:type="pct"/>
            <w:tcBorders>
              <w:tl2br w:val="nil"/>
              <w:tr2bl w:val="nil"/>
            </w:tcBorders>
            <w:noWrap w:val="0"/>
            <w:vAlign w:val="bottom"/>
          </w:tcPr>
          <w:p w14:paraId="215A9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79.17 </w:t>
            </w:r>
          </w:p>
        </w:tc>
        <w:tc>
          <w:tcPr>
            <w:tcW w:w="1664" w:type="pct"/>
            <w:tcBorders>
              <w:tl2br w:val="nil"/>
              <w:tr2bl w:val="nil"/>
            </w:tcBorders>
            <w:noWrap w:val="0"/>
            <w:vAlign w:val="bottom"/>
          </w:tcPr>
          <w:p w14:paraId="779E7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1.13 </w:t>
            </w:r>
          </w:p>
        </w:tc>
      </w:tr>
    </w:tbl>
    <w:p w14:paraId="60136288">
      <w:pPr>
        <w:pStyle w:val="7"/>
        <w:bidi w:val="0"/>
        <w:rPr>
          <w:rFonts w:hint="default"/>
          <w:color w:val="auto"/>
          <w:highlight w:val="none"/>
          <w:lang w:val="en-US" w:eastAsia="zh-CN"/>
        </w:rPr>
      </w:pPr>
      <w:r>
        <w:rPr>
          <w:rFonts w:hint="eastAsia"/>
          <w:color w:val="auto"/>
          <w:highlight w:val="none"/>
          <w:lang w:val="en-US" w:eastAsia="zh-CN"/>
        </w:rPr>
        <w:t>5.6.3.3水文情势调查</w:t>
      </w:r>
    </w:p>
    <w:p w14:paraId="442EDFEE">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生态流量‌</w:t>
      </w:r>
    </w:p>
    <w:p w14:paraId="71B10AD1">
      <w:pPr>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lang w:eastAsia="zh-CN"/>
        </w:rPr>
        <w:t>①</w:t>
      </w:r>
      <w:r>
        <w:rPr>
          <w:rFonts w:hint="default" w:ascii="Times New Roman" w:hAnsi="Times New Roman" w:cs="Times New Roman"/>
          <w:b w:val="0"/>
          <w:bCs w:val="0"/>
          <w:color w:val="auto"/>
          <w:sz w:val="24"/>
          <w:highlight w:val="none"/>
        </w:rPr>
        <w:t>黄家河站实测径流量</w:t>
      </w:r>
    </w:p>
    <w:p w14:paraId="03CB79F4">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黄家河水文站1981年设站至2022年，实测多年平均径流量为1011万m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，径流深14.6mm，最大径流量3031万m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（1996年），最小213.1万m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（2011年），极值比14.2；年平均流量0.321m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/s，年最大洪峰流量1180 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/s（1997年7月30日），最小流量0.002m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/s（1999年8月24日）。</w:t>
      </w:r>
    </w:p>
    <w:p w14:paraId="25D2EE0A">
      <w:pPr>
        <w:spacing w:line="360" w:lineRule="auto"/>
        <w:ind w:firstLine="480" w:firstLineChars="200"/>
        <w:rPr>
          <w:rFonts w:hint="default" w:ascii="Times New Roman" w:hAnsi="Times New Roman" w:cs="Times New Roman"/>
          <w:b w:val="0"/>
          <w:bCs w:val="0"/>
          <w:color w:val="auto"/>
          <w:sz w:val="24"/>
          <w:highlight w:val="none"/>
        </w:rPr>
      </w:pPr>
      <w:bookmarkStart w:id="5512" w:name="_Toc318986444"/>
      <w:r>
        <w:rPr>
          <w:rFonts w:hint="default" w:ascii="Times New Roman" w:hAnsi="Times New Roman" w:cs="Times New Roman"/>
          <w:b w:val="0"/>
          <w:bCs w:val="0"/>
          <w:color w:val="auto"/>
          <w:sz w:val="24"/>
          <w:highlight w:val="none"/>
          <w:lang w:eastAsia="zh-CN"/>
        </w:rPr>
        <w:t>②</w:t>
      </w:r>
      <w:r>
        <w:rPr>
          <w:rFonts w:hint="default" w:ascii="Times New Roman" w:hAnsi="Times New Roman" w:cs="Times New Roman"/>
          <w:b w:val="0"/>
          <w:bCs w:val="0"/>
          <w:color w:val="auto"/>
          <w:sz w:val="24"/>
          <w:highlight w:val="none"/>
        </w:rPr>
        <w:t>区间径流量</w:t>
      </w:r>
      <w:bookmarkEnd w:id="5512"/>
    </w:p>
    <w:p w14:paraId="2D3ED613">
      <w:pPr>
        <w:autoSpaceDE w:val="0"/>
        <w:autoSpaceDN w:val="0"/>
        <w:adjustRightIn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黄家河水文站至石头崾岘水库区间面积为407km</w:t>
      </w:r>
      <w:r>
        <w:rPr>
          <w:rFonts w:hint="default" w:ascii="Times New Roman" w:hAnsi="Times New Roman" w:cs="Times New Roman"/>
          <w:b w:val="0"/>
          <w:bCs w:val="0"/>
          <w:color w:val="auto"/>
          <w:sz w:val="24"/>
          <w:highlight w:val="none"/>
          <w:vertAlign w:val="superscript"/>
        </w:rPr>
        <w:t>2</w:t>
      </w:r>
      <w:r>
        <w:rPr>
          <w:rFonts w:hint="default" w:ascii="Times New Roman" w:hAnsi="Times New Roman" w:cs="Times New Roman"/>
          <w:b w:val="0"/>
          <w:bCs w:val="0"/>
          <w:color w:val="auto"/>
          <w:sz w:val="24"/>
          <w:highlight w:val="none"/>
        </w:rPr>
        <w:t>，扣除区间已建水库、淤地坝面积240.4km</w:t>
      </w:r>
      <w:r>
        <w:rPr>
          <w:rFonts w:hint="default" w:ascii="Times New Roman" w:hAnsi="Times New Roman" w:cs="Times New Roman"/>
          <w:b w:val="0"/>
          <w:bCs w:val="0"/>
          <w:color w:val="auto"/>
          <w:sz w:val="24"/>
          <w:highlight w:val="none"/>
          <w:vertAlign w:val="superscript"/>
        </w:rPr>
        <w:t>2</w:t>
      </w:r>
      <w:r>
        <w:rPr>
          <w:rFonts w:hint="default" w:ascii="Times New Roman" w:hAnsi="Times New Roman" w:cs="Times New Roman"/>
          <w:b w:val="0"/>
          <w:bCs w:val="0"/>
          <w:color w:val="auto"/>
          <w:sz w:val="24"/>
          <w:highlight w:val="none"/>
        </w:rPr>
        <w:t>后为166.6km</w:t>
      </w:r>
      <w:r>
        <w:rPr>
          <w:rFonts w:hint="default" w:ascii="Times New Roman" w:hAnsi="Times New Roman" w:cs="Times New Roman"/>
          <w:b w:val="0"/>
          <w:bCs w:val="0"/>
          <w:color w:val="auto"/>
          <w:sz w:val="24"/>
          <w:highlight w:val="none"/>
          <w:vertAlign w:val="superscript"/>
        </w:rPr>
        <w:t>2</w:t>
      </w:r>
      <w:r>
        <w:rPr>
          <w:rFonts w:hint="default" w:ascii="Times New Roman" w:hAnsi="Times New Roman" w:cs="Times New Roman"/>
          <w:b w:val="0"/>
          <w:bCs w:val="0"/>
          <w:color w:val="auto"/>
          <w:sz w:val="24"/>
          <w:highlight w:val="none"/>
        </w:rPr>
        <w:t>，在多年平均径流深等值线图查得区间径流深22.5mm，计算的径流量为375万m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w:t>
      </w:r>
    </w:p>
    <w:p w14:paraId="3B79A291">
      <w:pPr>
        <w:spacing w:line="360" w:lineRule="auto"/>
        <w:ind w:firstLine="480" w:firstLineChars="200"/>
        <w:rPr>
          <w:rFonts w:hint="default" w:ascii="Times New Roman" w:hAnsi="Times New Roman" w:cs="Times New Roman"/>
          <w:b w:val="0"/>
          <w:bCs w:val="0"/>
          <w:color w:val="auto"/>
          <w:sz w:val="24"/>
          <w:highlight w:val="none"/>
        </w:rPr>
      </w:pPr>
      <w:bookmarkStart w:id="5513" w:name="_Toc3066"/>
      <w:bookmarkStart w:id="5514" w:name="_Toc318986445"/>
      <w:r>
        <w:rPr>
          <w:rFonts w:hint="default" w:ascii="Times New Roman" w:hAnsi="Times New Roman" w:cs="Times New Roman"/>
          <w:b w:val="0"/>
          <w:bCs w:val="0"/>
          <w:color w:val="auto"/>
          <w:sz w:val="24"/>
          <w:highlight w:val="none"/>
          <w:lang w:eastAsia="zh-CN"/>
        </w:rPr>
        <w:t>③</w:t>
      </w:r>
      <w:r>
        <w:rPr>
          <w:rFonts w:hint="default" w:ascii="Times New Roman" w:hAnsi="Times New Roman" w:cs="Times New Roman"/>
          <w:b w:val="0"/>
          <w:bCs w:val="0"/>
          <w:color w:val="auto"/>
          <w:sz w:val="24"/>
          <w:highlight w:val="none"/>
        </w:rPr>
        <w:t>治理区间径流量</w:t>
      </w:r>
      <w:bookmarkEnd w:id="5513"/>
      <w:bookmarkEnd w:id="5514"/>
    </w:p>
    <w:p w14:paraId="11FC3D80">
      <w:pPr>
        <w:autoSpaceDE w:val="0"/>
        <w:autoSpaceDN w:val="0"/>
        <w:adjustRightIn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治理区间多年平均径流量为黄家河水文站实测径流量与区间扣除已建工程后的径流量之和，即1386万m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7A543E68">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highlight w:val="none"/>
        </w:rPr>
        <w:t>Cv=0.60（采用黄家河站），Cs=2.0Cv，50%、75％、95%频率年径流量分别为1224万m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、775万m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、352万m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，采用黄家河水文站典型年进行月分配</w:t>
      </w:r>
      <w:r>
        <w:rPr>
          <w:rFonts w:hint="default" w:ascii="Times New Roman" w:hAnsi="Times New Roman" w:cs="Times New Roman"/>
          <w:color w:val="auto"/>
          <w:sz w:val="24"/>
          <w:highlight w:val="none"/>
          <w:lang w:eastAsia="zh-CN"/>
        </w:rPr>
        <w:t>。</w:t>
      </w:r>
    </w:p>
    <w:p w14:paraId="3F50857C">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）水资源开发利用</w:t>
      </w:r>
    </w:p>
    <w:p w14:paraId="39B0C9C4">
      <w:pPr>
        <w:rPr>
          <w:color w:val="auto"/>
          <w:szCs w:val="24"/>
          <w:highlight w:val="none"/>
        </w:rPr>
      </w:pPr>
      <w:r>
        <w:rPr>
          <w:rFonts w:hint="eastAsia"/>
          <w:color w:val="auto"/>
          <w:highlight w:val="none"/>
          <w:lang w:eastAsia="zh-CN"/>
        </w:rPr>
        <w:t>石头崾岘</w:t>
      </w:r>
      <w:r>
        <w:rPr>
          <w:color w:val="auto"/>
          <w:highlight w:val="none"/>
        </w:rPr>
        <w:t>水库上游无其他水利设施，</w:t>
      </w:r>
      <w:r>
        <w:rPr>
          <w:rFonts w:hint="eastAsia"/>
          <w:color w:val="auto"/>
          <w:highlight w:val="none"/>
          <w:lang w:eastAsia="zh-CN"/>
        </w:rPr>
        <w:t>且</w:t>
      </w:r>
      <w:r>
        <w:rPr>
          <w:color w:val="auto"/>
          <w:szCs w:val="24"/>
          <w:highlight w:val="none"/>
        </w:rPr>
        <w:t>水库无集中供水功能，无灌溉面积，</w:t>
      </w:r>
      <w:r>
        <w:rPr>
          <w:rFonts w:hint="eastAsia"/>
          <w:color w:val="auto"/>
          <w:szCs w:val="24"/>
          <w:highlight w:val="none"/>
          <w:lang w:eastAsia="zh-CN"/>
        </w:rPr>
        <w:t>主要为调蓄洪水的功能</w:t>
      </w:r>
      <w:r>
        <w:rPr>
          <w:color w:val="auto"/>
          <w:szCs w:val="24"/>
          <w:highlight w:val="none"/>
        </w:rPr>
        <w:t>。</w:t>
      </w:r>
    </w:p>
    <w:p w14:paraId="3B470F9D">
      <w:pPr>
        <w:numPr>
          <w:ilvl w:val="0"/>
          <w:numId w:val="7"/>
        </w:numPr>
        <w:bidi w:val="0"/>
        <w:ind w:left="0" w:leftChars="0" w:firstLine="480" w:firstLineChars="200"/>
        <w:rPr>
          <w:rFonts w:hint="default"/>
          <w:color w:val="auto"/>
          <w:highlight w:val="none"/>
        </w:rPr>
      </w:pPr>
      <w:r>
        <w:rPr>
          <w:rFonts w:hint="eastAsia"/>
          <w:color w:val="auto"/>
          <w:highlight w:val="none"/>
          <w:lang w:eastAsia="zh-CN"/>
        </w:rPr>
        <w:t>石头崾岘水库</w:t>
      </w:r>
      <w:r>
        <w:rPr>
          <w:rFonts w:hint="default"/>
          <w:color w:val="auto"/>
          <w:highlight w:val="none"/>
        </w:rPr>
        <w:t>‌水质现状</w:t>
      </w:r>
    </w:p>
    <w:p w14:paraId="074BA2D2">
      <w:pPr>
        <w:jc w:val="both"/>
        <w:rPr>
          <w:rFonts w:hint="default" w:ascii="Times New Roman" w:hAnsi="Times New Roman" w:eastAsia="宋体" w:cs="Times New Roman"/>
          <w:color w:val="auto"/>
          <w:sz w:val="24"/>
          <w:szCs w:val="24"/>
          <w:highlight w:val="none"/>
          <w:lang w:val="en-US" w:eastAsia="zh-CN"/>
        </w:rPr>
      </w:pPr>
      <w:r>
        <w:rPr>
          <w:rFonts w:hint="eastAsia" w:eastAsia="宋体"/>
          <w:color w:val="auto"/>
          <w:szCs w:val="24"/>
          <w:highlight w:val="none"/>
          <w:lang w:eastAsia="zh-CN"/>
        </w:rPr>
        <w:t>石头崾岘水库为河道型水库，位于茹河河道范围内，水质同茹河水质。</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茹河</w:t>
      </w:r>
      <w:r>
        <w:rPr>
          <w:rFonts w:hint="eastAsia" w:eastAsia="宋体" w:cs="Times New Roman"/>
          <w:color w:val="auto"/>
          <w:sz w:val="24"/>
          <w:szCs w:val="24"/>
          <w:highlight w:val="none"/>
          <w:lang w:eastAsia="zh-CN"/>
        </w:rPr>
        <w:t>上游</w:t>
      </w:r>
      <w:r>
        <w:rPr>
          <w:rFonts w:hint="default" w:ascii="Times New Roman" w:hAnsi="Times New Roman" w:eastAsia="宋体" w:cs="Times New Roman"/>
          <w:color w:val="auto"/>
          <w:sz w:val="24"/>
          <w:szCs w:val="24"/>
          <w:highlight w:val="none"/>
        </w:rPr>
        <w:t>乃家河水库</w:t>
      </w:r>
      <w:r>
        <w:rPr>
          <w:rFonts w:hint="eastAsia" w:ascii="Times New Roman" w:hAnsi="Times New Roman" w:cs="Times New Roman"/>
          <w:color w:val="auto"/>
          <w:sz w:val="24"/>
          <w:szCs w:val="24"/>
          <w:highlight w:val="none"/>
          <w:lang w:eastAsia="zh-CN"/>
        </w:rPr>
        <w:t>水质为</w:t>
      </w:r>
      <w:r>
        <w:rPr>
          <w:rFonts w:hint="eastAsia" w:cs="Times New Roman"/>
          <w:color w:val="auto"/>
          <w:sz w:val="24"/>
          <w:szCs w:val="24"/>
          <w:highlight w:val="none"/>
          <w:lang w:eastAsia="zh-CN"/>
        </w:rPr>
        <w:t>Ⅱ类</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下游</w:t>
      </w:r>
      <w:r>
        <w:rPr>
          <w:rFonts w:hint="default" w:ascii="Times New Roman" w:hAnsi="Times New Roman" w:eastAsia="宋体" w:cs="Times New Roman"/>
          <w:color w:val="auto"/>
          <w:sz w:val="24"/>
          <w:szCs w:val="24"/>
          <w:highlight w:val="none"/>
        </w:rPr>
        <w:t>沟圈</w:t>
      </w:r>
      <w:r>
        <w:rPr>
          <w:rFonts w:hint="default" w:ascii="Times New Roman" w:hAnsi="Times New Roman" w:eastAsia="宋体" w:cs="Times New Roman"/>
          <w:color w:val="auto"/>
          <w:sz w:val="24"/>
          <w:szCs w:val="24"/>
          <w:highlight w:val="none"/>
          <w:lang w:val="en-US" w:eastAsia="zh-CN"/>
        </w:rPr>
        <w:t>断面水质均为</w:t>
      </w:r>
      <w:r>
        <w:rPr>
          <w:rFonts w:hint="eastAsia" w:cs="Times New Roman"/>
          <w:color w:val="auto"/>
          <w:sz w:val="24"/>
          <w:szCs w:val="24"/>
          <w:highlight w:val="none"/>
          <w:lang w:val="en-US" w:eastAsia="zh-CN"/>
        </w:rPr>
        <w:t>Ⅲ类</w:t>
      </w:r>
      <w:r>
        <w:rPr>
          <w:rFonts w:hint="default" w:ascii="Times New Roman" w:hAnsi="Times New Roman" w:eastAsia="宋体" w:cs="Times New Roman"/>
          <w:color w:val="auto"/>
          <w:sz w:val="24"/>
          <w:szCs w:val="24"/>
          <w:highlight w:val="none"/>
          <w:lang w:val="en-US" w:eastAsia="zh-CN"/>
        </w:rPr>
        <w:t>。</w:t>
      </w:r>
    </w:p>
    <w:p w14:paraId="171DEAAA">
      <w:pPr>
        <w:bidi w:val="0"/>
        <w:rPr>
          <w:rFonts w:hint="eastAsia" w:eastAsia="宋体"/>
          <w:b/>
          <w:bCs/>
          <w:color w:val="auto"/>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DDD4BC">
      <w:pPr>
        <w:pStyle w:val="3"/>
        <w:outlineLvl w:val="0"/>
        <w:rPr>
          <w:rFonts w:hint="default" w:ascii="Times New Roman" w:hAnsi="Times New Roman" w:cs="Times New Roman"/>
          <w:snapToGrid w:val="0"/>
          <w:color w:val="auto"/>
          <w:sz w:val="28"/>
          <w:szCs w:val="28"/>
          <w:highlight w:val="none"/>
        </w:rPr>
      </w:pPr>
      <w:bookmarkStart w:id="5515" w:name="_Toc14303"/>
      <w:bookmarkStart w:id="5516" w:name="_Toc23001"/>
      <w:bookmarkStart w:id="5517" w:name="_Toc26165"/>
      <w:bookmarkStart w:id="5518" w:name="_Toc23542"/>
      <w:r>
        <w:rPr>
          <w:rFonts w:hint="default" w:ascii="Times New Roman" w:hAnsi="Times New Roman" w:cs="Times New Roman"/>
          <w:snapToGrid w:val="0"/>
          <w:color w:val="auto"/>
          <w:sz w:val="28"/>
          <w:szCs w:val="28"/>
          <w:highlight w:val="none"/>
        </w:rPr>
        <w:t>6 环境影响预测与评价</w:t>
      </w:r>
      <w:bookmarkEnd w:id="5515"/>
      <w:bookmarkEnd w:id="5516"/>
      <w:bookmarkEnd w:id="5517"/>
      <w:bookmarkEnd w:id="5518"/>
    </w:p>
    <w:p w14:paraId="1E63F03A">
      <w:pPr>
        <w:pStyle w:val="4"/>
        <w:bidi w:val="0"/>
        <w:rPr>
          <w:rFonts w:hint="default" w:ascii="Times New Roman" w:hAnsi="Times New Roman" w:cs="Times New Roman"/>
          <w:color w:val="auto"/>
          <w:sz w:val="28"/>
          <w:szCs w:val="28"/>
          <w:highlight w:val="none"/>
          <w:lang w:val="en-US" w:eastAsia="zh-CN"/>
        </w:rPr>
      </w:pPr>
      <w:bookmarkStart w:id="5519" w:name="_Toc31656"/>
      <w:bookmarkStart w:id="5520" w:name="_Toc32654"/>
      <w:bookmarkStart w:id="5521" w:name="_Toc12033"/>
      <w:bookmarkStart w:id="5522" w:name="_Toc25690"/>
      <w:r>
        <w:rPr>
          <w:rFonts w:hint="default" w:ascii="Times New Roman" w:hAnsi="Times New Roman" w:cs="Times New Roman"/>
          <w:color w:val="auto"/>
          <w:sz w:val="28"/>
          <w:szCs w:val="28"/>
          <w:highlight w:val="none"/>
          <w:lang w:val="en-US" w:eastAsia="zh-CN"/>
        </w:rPr>
        <w:t>6.1大气环境影响分析</w:t>
      </w:r>
      <w:bookmarkEnd w:id="5519"/>
      <w:bookmarkEnd w:id="5520"/>
      <w:bookmarkEnd w:id="5521"/>
      <w:bookmarkEnd w:id="5522"/>
    </w:p>
    <w:p w14:paraId="1CD29C64">
      <w:pPr>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本工程对环境空气的影响集中于施工期，污染主要来源于土石方工程、</w:t>
      </w:r>
      <w:r>
        <w:rPr>
          <w:rFonts w:hint="eastAsia" w:cs="Times New Roman"/>
          <w:color w:val="auto"/>
          <w:sz w:val="24"/>
          <w:szCs w:val="24"/>
          <w:highlight w:val="none"/>
          <w:lang w:val="en-US" w:eastAsia="zh-CN"/>
        </w:rPr>
        <w:t>清淤工程及</w:t>
      </w:r>
      <w:r>
        <w:rPr>
          <w:rFonts w:hint="default" w:ascii="Times New Roman" w:hAnsi="Times New Roman" w:cs="Times New Roman"/>
          <w:color w:val="auto"/>
          <w:sz w:val="24"/>
          <w:szCs w:val="24"/>
          <w:highlight w:val="none"/>
          <w:lang w:val="en-US" w:eastAsia="zh-CN"/>
        </w:rPr>
        <w:t>运输过程等产生的扬尘，车辆运输及燃油等产生的NO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、CO、SO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等。项目运营期无废气产生。</w:t>
      </w:r>
    </w:p>
    <w:p w14:paraId="184BA9EB">
      <w:pPr>
        <w:pStyle w:val="6"/>
        <w:bidi w:val="0"/>
        <w:rPr>
          <w:rFonts w:hint="default" w:ascii="Times New Roman" w:hAnsi="Times New Roman" w:cs="Times New Roman"/>
          <w:color w:val="auto"/>
          <w:sz w:val="28"/>
          <w:szCs w:val="28"/>
          <w:highlight w:val="none"/>
          <w:lang w:val="en-US" w:eastAsia="zh-CN"/>
        </w:rPr>
      </w:pPr>
      <w:bookmarkStart w:id="5523" w:name="_Toc16258"/>
      <w:bookmarkStart w:id="5524" w:name="_Toc14331"/>
      <w:bookmarkStart w:id="5525" w:name="_Toc32406"/>
      <w:r>
        <w:rPr>
          <w:rFonts w:hint="default" w:ascii="Times New Roman" w:hAnsi="Times New Roman" w:cs="Times New Roman"/>
          <w:color w:val="auto"/>
          <w:sz w:val="28"/>
          <w:szCs w:val="28"/>
          <w:highlight w:val="none"/>
          <w:lang w:val="en-US" w:eastAsia="zh-CN"/>
        </w:rPr>
        <w:t>6.1.1施工粉尘</w:t>
      </w:r>
      <w:bookmarkEnd w:id="5523"/>
      <w:bookmarkEnd w:id="5524"/>
      <w:bookmarkEnd w:id="5525"/>
    </w:p>
    <w:p w14:paraId="148EECCF">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工程施工粉尘主要来自施工过程中土方的开挖、堆放、回填，施工建筑材料的装卸、运输、堆放等，主要污染物为TSP。在非雨季施工，尤其是土壤含水率较低情况下，遇风较大时，施工扬尘影响增大。工程施工期扬尘来源分析见表6.1.1-1。</w:t>
      </w:r>
    </w:p>
    <w:p w14:paraId="2628E0A4">
      <w:pPr>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表6.1.1-1施工期扬尘来源</w:t>
      </w:r>
    </w:p>
    <w:tbl>
      <w:tblPr>
        <w:tblStyle w:val="31"/>
        <w:tblW w:w="84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2949"/>
        <w:gridCol w:w="3583"/>
      </w:tblGrid>
      <w:tr w14:paraId="29A42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892" w:type="dxa"/>
            <w:vMerge w:val="restart"/>
            <w:tcBorders>
              <w:tl2br w:val="nil"/>
              <w:tr2bl w:val="nil"/>
            </w:tcBorders>
            <w:noWrap w:val="0"/>
            <w:vAlign w:val="center"/>
          </w:tcPr>
          <w:p w14:paraId="4F36A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工程内容</w:t>
            </w:r>
          </w:p>
        </w:tc>
        <w:tc>
          <w:tcPr>
            <w:tcW w:w="2949" w:type="dxa"/>
            <w:vMerge w:val="restart"/>
            <w:tcBorders>
              <w:tl2br w:val="nil"/>
              <w:tr2bl w:val="nil"/>
            </w:tcBorders>
            <w:noWrap w:val="0"/>
            <w:vAlign w:val="center"/>
          </w:tcPr>
          <w:p w14:paraId="6E602D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扬尘环节</w:t>
            </w:r>
          </w:p>
        </w:tc>
        <w:tc>
          <w:tcPr>
            <w:tcW w:w="3583" w:type="dxa"/>
            <w:vMerge w:val="restart"/>
            <w:tcBorders>
              <w:tl2br w:val="nil"/>
              <w:tr2bl w:val="nil"/>
            </w:tcBorders>
            <w:noWrap w:val="0"/>
            <w:vAlign w:val="center"/>
          </w:tcPr>
          <w:p w14:paraId="384375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cs="Times New Roman"/>
                <w:b/>
                <w:bCs/>
                <w:color w:val="auto"/>
                <w:kern w:val="0"/>
                <w:sz w:val="21"/>
                <w:szCs w:val="21"/>
                <w:highlight w:val="none"/>
                <w:lang w:eastAsia="zh-CN"/>
              </w:rPr>
              <w:t>数量和</w:t>
            </w:r>
            <w:r>
              <w:rPr>
                <w:rFonts w:hint="default" w:ascii="Times New Roman" w:hAnsi="Times New Roman" w:eastAsia="宋体" w:cs="Times New Roman"/>
                <w:b/>
                <w:bCs/>
                <w:color w:val="auto"/>
                <w:kern w:val="0"/>
                <w:sz w:val="21"/>
                <w:szCs w:val="21"/>
                <w:highlight w:val="none"/>
              </w:rPr>
              <w:t>位置</w:t>
            </w:r>
          </w:p>
        </w:tc>
      </w:tr>
      <w:tr w14:paraId="20A7E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892" w:type="dxa"/>
            <w:vMerge w:val="continue"/>
            <w:tcBorders>
              <w:tl2br w:val="nil"/>
              <w:tr2bl w:val="nil"/>
            </w:tcBorders>
            <w:noWrap w:val="0"/>
            <w:vAlign w:val="center"/>
          </w:tcPr>
          <w:p w14:paraId="7B8E44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2949" w:type="dxa"/>
            <w:vMerge w:val="continue"/>
            <w:tcBorders>
              <w:tl2br w:val="nil"/>
              <w:tr2bl w:val="nil"/>
            </w:tcBorders>
            <w:noWrap w:val="0"/>
            <w:vAlign w:val="center"/>
          </w:tcPr>
          <w:p w14:paraId="7F47E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3583" w:type="dxa"/>
            <w:vMerge w:val="continue"/>
            <w:tcBorders>
              <w:tl2br w:val="nil"/>
              <w:tr2bl w:val="nil"/>
            </w:tcBorders>
            <w:noWrap w:val="0"/>
            <w:vAlign w:val="center"/>
          </w:tcPr>
          <w:p w14:paraId="7C81BE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r>
      <w:tr w14:paraId="2CFFF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892" w:type="dxa"/>
            <w:tcBorders>
              <w:tl2br w:val="nil"/>
              <w:tr2bl w:val="nil"/>
            </w:tcBorders>
            <w:noWrap w:val="0"/>
            <w:vAlign w:val="center"/>
          </w:tcPr>
          <w:p w14:paraId="53E8D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eastAsia" w:cs="Times New Roman"/>
                <w:b w:val="0"/>
                <w:bCs w:val="0"/>
                <w:color w:val="auto"/>
                <w:kern w:val="0"/>
                <w:sz w:val="21"/>
                <w:szCs w:val="21"/>
                <w:highlight w:val="none"/>
                <w:lang w:eastAsia="zh-CN"/>
              </w:rPr>
              <w:t>砌护、护坡</w:t>
            </w:r>
          </w:p>
        </w:tc>
        <w:tc>
          <w:tcPr>
            <w:tcW w:w="2949" w:type="dxa"/>
            <w:tcBorders>
              <w:tl2br w:val="nil"/>
              <w:tr2bl w:val="nil"/>
            </w:tcBorders>
            <w:noWrap w:val="0"/>
            <w:vAlign w:val="center"/>
          </w:tcPr>
          <w:p w14:paraId="0F8863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val="en-US" w:eastAsia="zh-CN"/>
              </w:rPr>
              <w:t>土方</w:t>
            </w:r>
            <w:r>
              <w:rPr>
                <w:rFonts w:hint="default" w:ascii="Times New Roman" w:hAnsi="Times New Roman" w:eastAsia="宋体" w:cs="Times New Roman"/>
                <w:b w:val="0"/>
                <w:bCs w:val="0"/>
                <w:color w:val="auto"/>
                <w:kern w:val="0"/>
                <w:sz w:val="21"/>
                <w:szCs w:val="21"/>
                <w:highlight w:val="none"/>
              </w:rPr>
              <w:t>开挖和回填</w:t>
            </w:r>
          </w:p>
        </w:tc>
        <w:tc>
          <w:tcPr>
            <w:tcW w:w="3583" w:type="dxa"/>
            <w:tcBorders>
              <w:tl2br w:val="nil"/>
              <w:tr2bl w:val="nil"/>
            </w:tcBorders>
            <w:noWrap w:val="0"/>
            <w:vAlign w:val="center"/>
          </w:tcPr>
          <w:p w14:paraId="71EA27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次川口河段护岸长11.76km</w:t>
            </w:r>
            <w:r>
              <w:rPr>
                <w:rFonts w:hint="eastAsia" w:cs="Times New Roman"/>
                <w:b w:val="0"/>
                <w:bCs w:val="0"/>
                <w:color w:val="auto"/>
                <w:kern w:val="0"/>
                <w:sz w:val="21"/>
                <w:szCs w:val="21"/>
                <w:highlight w:val="none"/>
                <w:lang w:val="en-US" w:eastAsia="zh-CN"/>
              </w:rPr>
              <w:t>；</w:t>
            </w:r>
          </w:p>
          <w:p w14:paraId="3A534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val="0"/>
                <w:bCs w:val="0"/>
                <w:color w:val="auto"/>
                <w:kern w:val="0"/>
                <w:sz w:val="21"/>
                <w:szCs w:val="21"/>
                <w:highlight w:val="none"/>
                <w:lang w:val="en-US" w:eastAsia="zh-CN"/>
              </w:rPr>
            </w:pPr>
            <w:r>
              <w:rPr>
                <w:rFonts w:hint="default" w:cs="Times New Roman"/>
                <w:b w:val="0"/>
                <w:bCs w:val="0"/>
                <w:color w:val="auto"/>
                <w:kern w:val="0"/>
                <w:sz w:val="21"/>
                <w:szCs w:val="21"/>
                <w:highlight w:val="none"/>
                <w:lang w:val="en-US" w:eastAsia="zh-CN"/>
              </w:rPr>
              <w:t>河河道段护岸总长1.00km</w:t>
            </w:r>
          </w:p>
        </w:tc>
      </w:tr>
      <w:tr w14:paraId="44E72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892" w:type="dxa"/>
            <w:tcBorders>
              <w:tl2br w:val="nil"/>
              <w:tr2bl w:val="nil"/>
            </w:tcBorders>
            <w:noWrap w:val="0"/>
            <w:vAlign w:val="center"/>
          </w:tcPr>
          <w:p w14:paraId="4E1816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eastAsia="zh-CN"/>
              </w:rPr>
            </w:pPr>
            <w:r>
              <w:rPr>
                <w:rFonts w:hint="eastAsia" w:cs="Times New Roman"/>
                <w:b w:val="0"/>
                <w:bCs w:val="0"/>
                <w:color w:val="auto"/>
                <w:kern w:val="0"/>
                <w:sz w:val="21"/>
                <w:szCs w:val="21"/>
                <w:highlight w:val="none"/>
                <w:lang w:eastAsia="zh-CN"/>
              </w:rPr>
              <w:t>水库清淤工程</w:t>
            </w:r>
            <w:r>
              <w:rPr>
                <w:rFonts w:hint="eastAsia" w:cs="Times New Roman"/>
                <w:b w:val="0"/>
                <w:bCs w:val="0"/>
                <w:color w:val="auto"/>
                <w:kern w:val="0"/>
                <w:sz w:val="21"/>
                <w:szCs w:val="21"/>
                <w:highlight w:val="none"/>
                <w:lang w:eastAsia="zh-CN"/>
              </w:rPr>
              <w:br w:type="textWrapping"/>
            </w:r>
            <w:r>
              <w:rPr>
                <w:rFonts w:hint="eastAsia" w:cs="Times New Roman"/>
                <w:b w:val="0"/>
                <w:bCs w:val="0"/>
                <w:color w:val="auto"/>
                <w:kern w:val="0"/>
                <w:sz w:val="21"/>
                <w:szCs w:val="21"/>
                <w:highlight w:val="none"/>
                <w:lang w:eastAsia="zh-CN"/>
              </w:rPr>
              <w:t>河道疏浚工程</w:t>
            </w:r>
          </w:p>
        </w:tc>
        <w:tc>
          <w:tcPr>
            <w:tcW w:w="2949" w:type="dxa"/>
            <w:tcBorders>
              <w:tl2br w:val="nil"/>
              <w:tr2bl w:val="nil"/>
            </w:tcBorders>
            <w:noWrap w:val="0"/>
            <w:vAlign w:val="center"/>
          </w:tcPr>
          <w:p w14:paraId="48AF8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eastAsia" w:cs="Times New Roman"/>
                <w:b w:val="0"/>
                <w:bCs w:val="0"/>
                <w:color w:val="auto"/>
                <w:kern w:val="0"/>
                <w:sz w:val="21"/>
                <w:szCs w:val="21"/>
                <w:highlight w:val="none"/>
                <w:lang w:val="en-US" w:eastAsia="zh-CN"/>
              </w:rPr>
              <w:t>土方、淤泥开挖</w:t>
            </w:r>
          </w:p>
        </w:tc>
        <w:tc>
          <w:tcPr>
            <w:tcW w:w="3583" w:type="dxa"/>
            <w:tcBorders>
              <w:tl2br w:val="nil"/>
              <w:tr2bl w:val="nil"/>
            </w:tcBorders>
            <w:noWrap w:val="0"/>
            <w:vAlign w:val="center"/>
          </w:tcPr>
          <w:p w14:paraId="4A5E2C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川口河段、石头崾岘水库</w:t>
            </w:r>
          </w:p>
        </w:tc>
      </w:tr>
      <w:tr w14:paraId="4A399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892" w:type="dxa"/>
            <w:tcBorders>
              <w:tl2br w:val="nil"/>
              <w:tr2bl w:val="nil"/>
            </w:tcBorders>
            <w:noWrap w:val="0"/>
            <w:vAlign w:val="center"/>
          </w:tcPr>
          <w:p w14:paraId="514857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b w:val="0"/>
                <w:bCs w:val="0"/>
                <w:color w:val="auto"/>
                <w:kern w:val="0"/>
                <w:sz w:val="21"/>
                <w:szCs w:val="21"/>
                <w:highlight w:val="none"/>
                <w:lang w:eastAsia="zh-CN"/>
              </w:rPr>
            </w:pPr>
            <w:r>
              <w:rPr>
                <w:rFonts w:hint="eastAsia" w:cs="Times New Roman"/>
                <w:b w:val="0"/>
                <w:bCs w:val="0"/>
                <w:color w:val="auto"/>
                <w:kern w:val="0"/>
                <w:sz w:val="21"/>
                <w:szCs w:val="21"/>
                <w:highlight w:val="none"/>
                <w:lang w:eastAsia="zh-CN"/>
              </w:rPr>
              <w:t>堆场</w:t>
            </w:r>
          </w:p>
        </w:tc>
        <w:tc>
          <w:tcPr>
            <w:tcW w:w="2949" w:type="dxa"/>
            <w:tcBorders>
              <w:tl2br w:val="nil"/>
              <w:tr2bl w:val="nil"/>
            </w:tcBorders>
            <w:noWrap w:val="0"/>
            <w:vAlign w:val="center"/>
          </w:tcPr>
          <w:p w14:paraId="6BA444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淤泥堆积</w:t>
            </w:r>
          </w:p>
        </w:tc>
        <w:tc>
          <w:tcPr>
            <w:tcW w:w="3583" w:type="dxa"/>
            <w:tcBorders>
              <w:tl2br w:val="nil"/>
              <w:tr2bl w:val="nil"/>
            </w:tcBorders>
            <w:noWrap w:val="0"/>
            <w:vAlign w:val="center"/>
          </w:tcPr>
          <w:p w14:paraId="72D2E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7处堆场</w:t>
            </w:r>
          </w:p>
        </w:tc>
      </w:tr>
      <w:tr w14:paraId="19B3E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892" w:type="dxa"/>
            <w:tcBorders>
              <w:tl2br w:val="nil"/>
              <w:tr2bl w:val="nil"/>
            </w:tcBorders>
            <w:noWrap w:val="0"/>
            <w:vAlign w:val="center"/>
          </w:tcPr>
          <w:p w14:paraId="24CC7D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rPr>
              <w:t>施工</w:t>
            </w:r>
            <w:r>
              <w:rPr>
                <w:rFonts w:hint="eastAsia" w:cs="Times New Roman"/>
                <w:b w:val="0"/>
                <w:bCs w:val="0"/>
                <w:color w:val="auto"/>
                <w:kern w:val="0"/>
                <w:sz w:val="21"/>
                <w:szCs w:val="21"/>
                <w:highlight w:val="none"/>
                <w:lang w:eastAsia="zh-CN"/>
              </w:rPr>
              <w:t>营地</w:t>
            </w:r>
          </w:p>
        </w:tc>
        <w:tc>
          <w:tcPr>
            <w:tcW w:w="2949" w:type="dxa"/>
            <w:tcBorders>
              <w:tl2br w:val="nil"/>
              <w:tr2bl w:val="nil"/>
            </w:tcBorders>
            <w:noWrap w:val="0"/>
            <w:vAlign w:val="center"/>
          </w:tcPr>
          <w:p w14:paraId="02D5F3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原材料运输</w:t>
            </w:r>
          </w:p>
        </w:tc>
        <w:tc>
          <w:tcPr>
            <w:tcW w:w="3583" w:type="dxa"/>
            <w:tcBorders>
              <w:tl2br w:val="nil"/>
              <w:tr2bl w:val="nil"/>
            </w:tcBorders>
            <w:noWrap w:val="0"/>
            <w:vAlign w:val="center"/>
          </w:tcPr>
          <w:p w14:paraId="0891F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3处施工营地</w:t>
            </w:r>
          </w:p>
        </w:tc>
      </w:tr>
      <w:tr w14:paraId="152444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892" w:type="dxa"/>
            <w:tcBorders>
              <w:tl2br w:val="nil"/>
              <w:tr2bl w:val="nil"/>
            </w:tcBorders>
            <w:noWrap w:val="0"/>
            <w:vAlign w:val="center"/>
          </w:tcPr>
          <w:p w14:paraId="01780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临时交通</w:t>
            </w:r>
          </w:p>
        </w:tc>
        <w:tc>
          <w:tcPr>
            <w:tcW w:w="2949" w:type="dxa"/>
            <w:tcBorders>
              <w:tl2br w:val="nil"/>
              <w:tr2bl w:val="nil"/>
            </w:tcBorders>
            <w:noWrap w:val="0"/>
            <w:vAlign w:val="center"/>
          </w:tcPr>
          <w:p w14:paraId="04AC7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材料及设备运输</w:t>
            </w:r>
          </w:p>
        </w:tc>
        <w:tc>
          <w:tcPr>
            <w:tcW w:w="3583" w:type="dxa"/>
            <w:tcBorders>
              <w:tl2br w:val="nil"/>
              <w:tr2bl w:val="nil"/>
            </w:tcBorders>
            <w:noWrap w:val="0"/>
            <w:vAlign w:val="center"/>
          </w:tcPr>
          <w:p w14:paraId="404835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eastAsia="zh-CN"/>
              </w:rPr>
            </w:pPr>
            <w:r>
              <w:rPr>
                <w:rFonts w:hint="eastAsia" w:cs="Times New Roman"/>
                <w:b w:val="0"/>
                <w:bCs w:val="0"/>
                <w:color w:val="auto"/>
                <w:kern w:val="0"/>
                <w:sz w:val="21"/>
                <w:szCs w:val="21"/>
                <w:highlight w:val="none"/>
                <w:lang w:eastAsia="zh-CN"/>
              </w:rPr>
              <w:t>工程全段</w:t>
            </w:r>
          </w:p>
        </w:tc>
      </w:tr>
    </w:tbl>
    <w:p w14:paraId="0CA27394">
      <w:pPr>
        <w:bidi w:val="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本工程土方开挖量</w:t>
      </w:r>
      <w:r>
        <w:rPr>
          <w:rFonts w:hint="eastAsia" w:cs="Times New Roman"/>
          <w:color w:val="auto"/>
          <w:sz w:val="24"/>
          <w:szCs w:val="24"/>
          <w:highlight w:val="none"/>
          <w:lang w:val="en-US" w:eastAsia="zh-CN"/>
        </w:rPr>
        <w:t>较大</w:t>
      </w:r>
      <w:r>
        <w:rPr>
          <w:rFonts w:hint="default" w:ascii="Times New Roman" w:hAnsi="Times New Roman" w:cs="Times New Roman"/>
          <w:color w:val="auto"/>
          <w:sz w:val="24"/>
          <w:szCs w:val="24"/>
          <w:highlight w:val="none"/>
          <w:lang w:val="en-US" w:eastAsia="zh-CN"/>
        </w:rPr>
        <w:t>，包括</w:t>
      </w:r>
      <w:r>
        <w:rPr>
          <w:rFonts w:hint="eastAsia" w:cs="Times New Roman"/>
          <w:color w:val="auto"/>
          <w:sz w:val="24"/>
          <w:szCs w:val="24"/>
          <w:highlight w:val="none"/>
          <w:lang w:val="en-US" w:eastAsia="zh-CN"/>
        </w:rPr>
        <w:t>河道两侧砌护段、河道底部及石头崾岘水库清淤，临时道路</w:t>
      </w:r>
      <w:r>
        <w:rPr>
          <w:rFonts w:hint="default" w:ascii="Times New Roman" w:hAnsi="Times New Roman" w:cs="Times New Roman"/>
          <w:color w:val="auto"/>
          <w:sz w:val="24"/>
          <w:szCs w:val="24"/>
          <w:highlight w:val="none"/>
          <w:lang w:val="en-US" w:eastAsia="zh-CN"/>
        </w:rPr>
        <w:t>等工程内容，其产生量与作业强度、作业环境及气候条件有密切关系。经类比，一般情况下，施工场地在自然风作用下产生的扬尘对100m范围内的空气质量有影响，因此，主要对施工人员及100m范围内敏感点产生一定影响。评价要求，施工过程中对临时堆土进行苫盖，并对临近村庄的施工现场酌情增加洒水次数和洒水面积；土石方工程采取定时洒水，若每天定时洒水4</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5次，可使扬尘减少</w:t>
      </w:r>
      <w:r>
        <w:rPr>
          <w:rFonts w:hint="eastAsia" w:cs="Times New Roman"/>
          <w:color w:val="auto"/>
          <w:sz w:val="24"/>
          <w:szCs w:val="24"/>
          <w:highlight w:val="none"/>
          <w:lang w:val="en-US" w:eastAsia="zh-CN"/>
        </w:rPr>
        <w:t>70%—80%</w:t>
      </w:r>
      <w:r>
        <w:rPr>
          <w:rFonts w:hint="default" w:ascii="Times New Roman" w:hAnsi="Times New Roman" w:cs="Times New Roman"/>
          <w:color w:val="auto"/>
          <w:sz w:val="24"/>
          <w:szCs w:val="24"/>
          <w:highlight w:val="none"/>
          <w:lang w:val="en-US" w:eastAsia="zh-CN"/>
        </w:rPr>
        <w:t>，可将TSP污染浓度缩小到50m范围内，最大限度地减少扬尘产生量及对周围大气环境的影响。施工场地洒水抑尘的试验结果见表6.1.1-2。</w:t>
      </w:r>
    </w:p>
    <w:p w14:paraId="4B822AF1">
      <w:pPr>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表6.1.1-2施工场地洒水抑尘试验结果</w:t>
      </w:r>
    </w:p>
    <w:tbl>
      <w:tblPr>
        <w:tblStyle w:val="31"/>
        <w:tblW w:w="82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5"/>
        <w:gridCol w:w="1166"/>
        <w:gridCol w:w="1265"/>
        <w:gridCol w:w="857"/>
        <w:gridCol w:w="857"/>
        <w:gridCol w:w="859"/>
      </w:tblGrid>
      <w:tr w14:paraId="2B80E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295" w:type="dxa"/>
            <w:tcBorders>
              <w:tl2br w:val="nil"/>
              <w:tr2bl w:val="nil"/>
            </w:tcBorders>
            <w:noWrap w:val="0"/>
            <w:vAlign w:val="center"/>
          </w:tcPr>
          <w:p w14:paraId="6EDCA7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与施工场地距离（m）</w:t>
            </w:r>
          </w:p>
        </w:tc>
        <w:tc>
          <w:tcPr>
            <w:tcW w:w="1166" w:type="dxa"/>
            <w:tcBorders>
              <w:tl2br w:val="nil"/>
              <w:tr2bl w:val="nil"/>
            </w:tcBorders>
            <w:noWrap w:val="0"/>
            <w:vAlign w:val="center"/>
          </w:tcPr>
          <w:p w14:paraId="675DA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10</w:t>
            </w:r>
          </w:p>
        </w:tc>
        <w:tc>
          <w:tcPr>
            <w:tcW w:w="1265" w:type="dxa"/>
            <w:tcBorders>
              <w:tl2br w:val="nil"/>
              <w:tr2bl w:val="nil"/>
            </w:tcBorders>
            <w:noWrap w:val="0"/>
            <w:vAlign w:val="center"/>
          </w:tcPr>
          <w:p w14:paraId="1768F8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20</w:t>
            </w:r>
          </w:p>
        </w:tc>
        <w:tc>
          <w:tcPr>
            <w:tcW w:w="857" w:type="dxa"/>
            <w:tcBorders>
              <w:tl2br w:val="nil"/>
              <w:tr2bl w:val="nil"/>
            </w:tcBorders>
            <w:noWrap w:val="0"/>
            <w:vAlign w:val="center"/>
          </w:tcPr>
          <w:p w14:paraId="51D085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30</w:t>
            </w:r>
          </w:p>
        </w:tc>
        <w:tc>
          <w:tcPr>
            <w:tcW w:w="857" w:type="dxa"/>
            <w:tcBorders>
              <w:tl2br w:val="nil"/>
              <w:tr2bl w:val="nil"/>
            </w:tcBorders>
            <w:noWrap w:val="0"/>
            <w:vAlign w:val="center"/>
          </w:tcPr>
          <w:p w14:paraId="14B32A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50</w:t>
            </w:r>
          </w:p>
        </w:tc>
        <w:tc>
          <w:tcPr>
            <w:tcW w:w="859" w:type="dxa"/>
            <w:tcBorders>
              <w:tl2br w:val="nil"/>
              <w:tr2bl w:val="nil"/>
            </w:tcBorders>
            <w:noWrap w:val="0"/>
            <w:vAlign w:val="center"/>
          </w:tcPr>
          <w:p w14:paraId="103E0E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100</w:t>
            </w:r>
          </w:p>
        </w:tc>
      </w:tr>
      <w:tr w14:paraId="5E3EA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3295" w:type="dxa"/>
            <w:tcBorders>
              <w:tl2br w:val="nil"/>
              <w:tr2bl w:val="nil"/>
            </w:tcBorders>
            <w:noWrap w:val="0"/>
            <w:vAlign w:val="center"/>
          </w:tcPr>
          <w:p w14:paraId="32D5E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lang w:eastAsia="zh-CN"/>
              </w:rPr>
              <w:t>扬尘产生浓度（mg/m</w:t>
            </w:r>
            <w:r>
              <w:rPr>
                <w:rFonts w:hint="default" w:ascii="Times New Roman" w:hAnsi="Times New Roman" w:eastAsia="宋体" w:cs="Times New Roman"/>
                <w:b w:val="0"/>
                <w:bCs w:val="0"/>
                <w:color w:val="auto"/>
                <w:kern w:val="0"/>
                <w:sz w:val="21"/>
                <w:szCs w:val="21"/>
                <w:highlight w:val="none"/>
                <w:vertAlign w:val="superscript"/>
                <w:lang w:eastAsia="zh-CN"/>
              </w:rPr>
              <w:t>3</w:t>
            </w:r>
            <w:r>
              <w:rPr>
                <w:rFonts w:hint="default" w:ascii="Times New Roman" w:hAnsi="Times New Roman" w:eastAsia="宋体" w:cs="Times New Roman"/>
                <w:b w:val="0"/>
                <w:bCs w:val="0"/>
                <w:color w:val="auto"/>
                <w:kern w:val="0"/>
                <w:sz w:val="21"/>
                <w:szCs w:val="21"/>
                <w:highlight w:val="none"/>
                <w:lang w:eastAsia="zh-CN"/>
              </w:rPr>
              <w:t>）</w:t>
            </w:r>
          </w:p>
        </w:tc>
        <w:tc>
          <w:tcPr>
            <w:tcW w:w="1166" w:type="dxa"/>
            <w:tcBorders>
              <w:tl2br w:val="nil"/>
              <w:tr2bl w:val="nil"/>
            </w:tcBorders>
            <w:noWrap w:val="0"/>
            <w:vAlign w:val="center"/>
          </w:tcPr>
          <w:p w14:paraId="08B31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10.14</w:t>
            </w:r>
          </w:p>
        </w:tc>
        <w:tc>
          <w:tcPr>
            <w:tcW w:w="1265" w:type="dxa"/>
            <w:tcBorders>
              <w:tl2br w:val="nil"/>
              <w:tr2bl w:val="nil"/>
            </w:tcBorders>
            <w:noWrap w:val="0"/>
            <w:vAlign w:val="center"/>
          </w:tcPr>
          <w:p w14:paraId="09C177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2.89</w:t>
            </w:r>
          </w:p>
        </w:tc>
        <w:tc>
          <w:tcPr>
            <w:tcW w:w="857" w:type="dxa"/>
            <w:tcBorders>
              <w:tl2br w:val="nil"/>
              <w:tr2bl w:val="nil"/>
            </w:tcBorders>
            <w:noWrap w:val="0"/>
            <w:vAlign w:val="center"/>
          </w:tcPr>
          <w:p w14:paraId="275F2A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1.15</w:t>
            </w:r>
          </w:p>
        </w:tc>
        <w:tc>
          <w:tcPr>
            <w:tcW w:w="857" w:type="dxa"/>
            <w:tcBorders>
              <w:tl2br w:val="nil"/>
              <w:tr2bl w:val="nil"/>
            </w:tcBorders>
            <w:noWrap w:val="0"/>
            <w:vAlign w:val="center"/>
          </w:tcPr>
          <w:p w14:paraId="761EA8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0.86</w:t>
            </w:r>
          </w:p>
        </w:tc>
        <w:tc>
          <w:tcPr>
            <w:tcW w:w="859" w:type="dxa"/>
            <w:tcBorders>
              <w:tl2br w:val="nil"/>
              <w:tr2bl w:val="nil"/>
            </w:tcBorders>
            <w:noWrap w:val="0"/>
            <w:vAlign w:val="center"/>
          </w:tcPr>
          <w:p w14:paraId="0C701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0.61</w:t>
            </w:r>
          </w:p>
        </w:tc>
      </w:tr>
      <w:tr w14:paraId="209B6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3295" w:type="dxa"/>
            <w:tcBorders>
              <w:tl2br w:val="nil"/>
              <w:tr2bl w:val="nil"/>
            </w:tcBorders>
            <w:noWrap w:val="0"/>
            <w:vAlign w:val="center"/>
          </w:tcPr>
          <w:p w14:paraId="2E977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洒水抑尘后扬尘浓度（mg/m</w:t>
            </w:r>
            <w:r>
              <w:rPr>
                <w:rFonts w:hint="default" w:ascii="Times New Roman" w:hAnsi="Times New Roman" w:eastAsia="宋体" w:cs="Times New Roman"/>
                <w:b w:val="0"/>
                <w:bCs w:val="0"/>
                <w:color w:val="auto"/>
                <w:kern w:val="0"/>
                <w:sz w:val="21"/>
                <w:szCs w:val="21"/>
                <w:highlight w:val="none"/>
                <w:vertAlign w:val="superscript"/>
              </w:rPr>
              <w:t>3</w:t>
            </w:r>
            <w:r>
              <w:rPr>
                <w:rFonts w:hint="default" w:ascii="Times New Roman" w:hAnsi="Times New Roman" w:eastAsia="宋体" w:cs="Times New Roman"/>
                <w:b w:val="0"/>
                <w:bCs w:val="0"/>
                <w:color w:val="auto"/>
                <w:kern w:val="0"/>
                <w:sz w:val="21"/>
                <w:szCs w:val="21"/>
                <w:highlight w:val="none"/>
              </w:rPr>
              <w:t>）</w:t>
            </w:r>
          </w:p>
        </w:tc>
        <w:tc>
          <w:tcPr>
            <w:tcW w:w="1166" w:type="dxa"/>
            <w:tcBorders>
              <w:tl2br w:val="nil"/>
              <w:tr2bl w:val="nil"/>
            </w:tcBorders>
            <w:noWrap w:val="0"/>
            <w:vAlign w:val="center"/>
          </w:tcPr>
          <w:p w14:paraId="685474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2.01</w:t>
            </w:r>
          </w:p>
        </w:tc>
        <w:tc>
          <w:tcPr>
            <w:tcW w:w="1265" w:type="dxa"/>
            <w:tcBorders>
              <w:tl2br w:val="nil"/>
              <w:tr2bl w:val="nil"/>
            </w:tcBorders>
            <w:noWrap w:val="0"/>
            <w:vAlign w:val="center"/>
          </w:tcPr>
          <w:p w14:paraId="5C5224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1.4</w:t>
            </w:r>
          </w:p>
        </w:tc>
        <w:tc>
          <w:tcPr>
            <w:tcW w:w="857" w:type="dxa"/>
            <w:tcBorders>
              <w:tl2br w:val="nil"/>
              <w:tr2bl w:val="nil"/>
            </w:tcBorders>
            <w:noWrap w:val="0"/>
            <w:vAlign w:val="center"/>
          </w:tcPr>
          <w:p w14:paraId="096301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0.67</w:t>
            </w:r>
          </w:p>
        </w:tc>
        <w:tc>
          <w:tcPr>
            <w:tcW w:w="857" w:type="dxa"/>
            <w:tcBorders>
              <w:tl2br w:val="nil"/>
              <w:tr2bl w:val="nil"/>
            </w:tcBorders>
            <w:noWrap w:val="0"/>
            <w:vAlign w:val="center"/>
          </w:tcPr>
          <w:p w14:paraId="47A93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0.27</w:t>
            </w:r>
          </w:p>
        </w:tc>
        <w:tc>
          <w:tcPr>
            <w:tcW w:w="859" w:type="dxa"/>
            <w:tcBorders>
              <w:tl2br w:val="nil"/>
              <w:tr2bl w:val="nil"/>
            </w:tcBorders>
            <w:noWrap w:val="0"/>
            <w:vAlign w:val="center"/>
          </w:tcPr>
          <w:p w14:paraId="35482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0.21</w:t>
            </w:r>
          </w:p>
        </w:tc>
      </w:tr>
    </w:tbl>
    <w:p w14:paraId="06F85DFD">
      <w:pPr>
        <w:bidi w:val="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eastAsia="zh-CN"/>
        </w:rPr>
        <w:t>项目</w:t>
      </w:r>
      <w:r>
        <w:rPr>
          <w:rFonts w:hint="eastAsia" w:cs="Times New Roman"/>
          <w:color w:val="auto"/>
          <w:sz w:val="24"/>
          <w:szCs w:val="24"/>
          <w:highlight w:val="none"/>
          <w:lang w:val="en-US" w:eastAsia="zh-CN"/>
        </w:rPr>
        <w:t>5</w:t>
      </w:r>
      <w:r>
        <w:rPr>
          <w:rFonts w:hint="eastAsia" w:cs="Times New Roman"/>
          <w:color w:val="auto"/>
          <w:sz w:val="24"/>
          <w:szCs w:val="24"/>
          <w:highlight w:val="none"/>
          <w:vertAlign w:val="superscript"/>
          <w:lang w:val="en-US" w:eastAsia="zh-CN"/>
        </w:rPr>
        <w:t>#</w:t>
      </w:r>
      <w:r>
        <w:rPr>
          <w:rFonts w:hint="eastAsia" w:cs="Times New Roman"/>
          <w:color w:val="auto"/>
          <w:sz w:val="24"/>
          <w:szCs w:val="24"/>
          <w:highlight w:val="none"/>
          <w:lang w:eastAsia="zh-CN"/>
        </w:rPr>
        <w:t>清淤堆场距沙河村最近居民点约</w:t>
      </w:r>
      <w:r>
        <w:rPr>
          <w:rFonts w:hint="eastAsia" w:cs="Times New Roman"/>
          <w:color w:val="auto"/>
          <w:sz w:val="24"/>
          <w:szCs w:val="24"/>
          <w:highlight w:val="none"/>
          <w:lang w:val="en-US" w:eastAsia="zh-CN"/>
        </w:rPr>
        <w:t>10m，项目淤泥在库底晾干自然脱水后，表面不易产生大量粉尘；且堆场淤泥堆存后将及时采取覆盖措施，有效减少风力扬尘扩散。同时，10m的近距离虽可能导致少量扬尘影响，但通过加强堆场周边洒水降尘、设置简易防尘围挡、运输车辆加盖篷布及限速行驶等措施，可进一步降低扬尘产生量与扩散范围。不会对居民日常生活造成明显干扰，扬尘影响可接受。</w:t>
      </w:r>
    </w:p>
    <w:p w14:paraId="309BE772">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总体来说，由于本工程</w:t>
      </w:r>
      <w:r>
        <w:rPr>
          <w:rFonts w:hint="eastAsia" w:cs="Times New Roman"/>
          <w:color w:val="auto"/>
          <w:sz w:val="24"/>
          <w:szCs w:val="24"/>
          <w:highlight w:val="none"/>
          <w:lang w:eastAsia="zh-CN"/>
        </w:rPr>
        <w:t>起护段较为分散</w:t>
      </w:r>
      <w:r>
        <w:rPr>
          <w:rFonts w:hint="default" w:ascii="Times New Roman" w:hAnsi="Times New Roman" w:cs="Times New Roman"/>
          <w:color w:val="auto"/>
          <w:sz w:val="24"/>
          <w:szCs w:val="24"/>
          <w:highlight w:val="none"/>
          <w:lang w:eastAsia="zh-CN"/>
        </w:rPr>
        <w:t>，土石方工程施工期短等特点，结合采取的工程措施，施工粉尘对大气环境的影响较小。</w:t>
      </w:r>
    </w:p>
    <w:p w14:paraId="15E72D82">
      <w:pPr>
        <w:pStyle w:val="6"/>
        <w:pageBreakBefore w:val="0"/>
        <w:widowControl w:val="0"/>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8"/>
          <w:szCs w:val="28"/>
          <w:highlight w:val="none"/>
          <w:lang w:val="en-US" w:eastAsia="zh-CN"/>
        </w:rPr>
      </w:pPr>
      <w:bookmarkStart w:id="5526" w:name="_Toc18226"/>
      <w:bookmarkStart w:id="5527" w:name="_Toc3081"/>
      <w:bookmarkStart w:id="5528" w:name="_Toc30987"/>
      <w:r>
        <w:rPr>
          <w:rFonts w:hint="default" w:ascii="Times New Roman" w:hAnsi="Times New Roman" w:cs="Times New Roman"/>
          <w:color w:val="auto"/>
          <w:sz w:val="28"/>
          <w:szCs w:val="28"/>
          <w:highlight w:val="none"/>
          <w:lang w:val="en-US" w:eastAsia="zh-CN"/>
        </w:rPr>
        <w:t>6.1.2机械及车辆燃油废气</w:t>
      </w:r>
      <w:bookmarkEnd w:id="5526"/>
      <w:bookmarkEnd w:id="5527"/>
      <w:bookmarkEnd w:id="5528"/>
    </w:p>
    <w:p w14:paraId="0CEE7542">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施工机械中的大型机械，如挖掘机、推土机、自卸汽车等，燃油</w:t>
      </w:r>
      <w:r>
        <w:rPr>
          <w:rFonts w:hint="eastAsia" w:cs="Times New Roman"/>
          <w:color w:val="auto"/>
          <w:sz w:val="24"/>
          <w:szCs w:val="24"/>
          <w:highlight w:val="none"/>
          <w:lang w:eastAsia="zh-CN"/>
        </w:rPr>
        <w:t>产生</w:t>
      </w:r>
      <w:r>
        <w:rPr>
          <w:rFonts w:hint="default" w:ascii="Times New Roman" w:hAnsi="Times New Roman" w:cs="Times New Roman"/>
          <w:color w:val="auto"/>
          <w:sz w:val="24"/>
          <w:szCs w:val="24"/>
          <w:highlight w:val="none"/>
          <w:lang w:eastAsia="zh-CN"/>
        </w:rPr>
        <w:t>的污染物排放对周边空气会造成一定污染，施工过程中，燃油废气产生量与耗油量、机械设备状况有关。施工单位应选择保养良好的施工机械和运输工具，加强对施工机械的养护，保证施工机械污染物达标排放。</w:t>
      </w:r>
    </w:p>
    <w:p w14:paraId="262A4AA7">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由于工程各施工区域较为分散、多数施工区域处于空旷地带，区域空气流动强，单位面积内机械数量有限，且排放高度不高，影响范围仅限于施工现场及</w:t>
      </w:r>
      <w:r>
        <w:rPr>
          <w:rFonts w:hint="eastAsia" w:cs="Times New Roman"/>
          <w:color w:val="auto"/>
          <w:sz w:val="24"/>
          <w:szCs w:val="24"/>
          <w:highlight w:val="none"/>
          <w:lang w:eastAsia="zh-CN"/>
        </w:rPr>
        <w:t>邻近</w:t>
      </w:r>
      <w:r>
        <w:rPr>
          <w:rFonts w:hint="default" w:ascii="Times New Roman" w:hAnsi="Times New Roman" w:cs="Times New Roman"/>
          <w:color w:val="auto"/>
          <w:sz w:val="24"/>
          <w:szCs w:val="24"/>
          <w:highlight w:val="none"/>
          <w:lang w:eastAsia="zh-CN"/>
        </w:rPr>
        <w:t>区域，且施工期较短，因此施工期机械燃油不</w:t>
      </w:r>
      <w:r>
        <w:rPr>
          <w:rFonts w:hint="eastAsia" w:cs="Times New Roman"/>
          <w:color w:val="auto"/>
          <w:sz w:val="24"/>
          <w:szCs w:val="24"/>
          <w:highlight w:val="none"/>
          <w:lang w:eastAsia="zh-CN"/>
        </w:rPr>
        <w:t>会对</w:t>
      </w:r>
      <w:r>
        <w:rPr>
          <w:rFonts w:hint="default" w:ascii="Times New Roman" w:hAnsi="Times New Roman" w:cs="Times New Roman"/>
          <w:color w:val="auto"/>
          <w:sz w:val="24"/>
          <w:szCs w:val="24"/>
          <w:highlight w:val="none"/>
          <w:lang w:eastAsia="zh-CN"/>
        </w:rPr>
        <w:t>区域环境造成较大不利影响。</w:t>
      </w:r>
    </w:p>
    <w:p w14:paraId="51518437">
      <w:pPr>
        <w:pStyle w:val="6"/>
        <w:pageBreakBefore w:val="0"/>
        <w:widowControl w:val="0"/>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8"/>
          <w:szCs w:val="28"/>
          <w:highlight w:val="none"/>
          <w:lang w:val="en-US" w:eastAsia="zh-CN"/>
        </w:rPr>
      </w:pPr>
      <w:bookmarkStart w:id="5529" w:name="_Toc30107"/>
      <w:bookmarkStart w:id="5530" w:name="_Toc29508"/>
      <w:bookmarkStart w:id="5531" w:name="_Toc31909"/>
      <w:r>
        <w:rPr>
          <w:rFonts w:hint="default" w:ascii="Times New Roman" w:hAnsi="Times New Roman" w:eastAsia="宋体" w:cs="Times New Roman"/>
          <w:color w:val="auto"/>
          <w:sz w:val="28"/>
          <w:szCs w:val="28"/>
          <w:highlight w:val="none"/>
          <w:lang w:val="en-US" w:eastAsia="zh-CN"/>
        </w:rPr>
        <w:t>6.1.3道路扬尘</w:t>
      </w:r>
      <w:bookmarkEnd w:id="5529"/>
      <w:bookmarkEnd w:id="5530"/>
      <w:bookmarkEnd w:id="5531"/>
    </w:p>
    <w:p w14:paraId="295C88A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施工运输中的扬尘主要来自两方面：一是汽车行驶产生的路面二次扬尘；二是装载和运输物料数量较大的土料等产尘物料时，若汽车防护不当，易造成物料失落和飘散。汽车运输过程中的扬尘影响程度与路面种类、天气状况以及汽车运行速度、载重量等因素有关。施工期要充分利用已有公路运输，运输道路尽量避开村庄等敏感点，对临时施工道路要加以修整，限制行车速度和车流量并洒水降尘。为降低运输扬尘对运输路线两侧的居民及植物的影响，各施工单位应以主要物料运输路线为主要降尘区域，采取定期洒水、密封运输或加盖篷布、限制车速、及时维护车辆、加强管理等措施，降低道路扬尘对周围环境的影响。</w:t>
      </w:r>
    </w:p>
    <w:p w14:paraId="32D0A17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综上，因施工区域较为分散，多数区域位于农村，环境背景较好，施工规划中，同一施工区域中不同工程施工时间不同，排放源密度小，且</w:t>
      </w:r>
      <w:r>
        <w:rPr>
          <w:rFonts w:hint="eastAsia" w:cs="Times New Roman"/>
          <w:color w:val="auto"/>
          <w:sz w:val="24"/>
          <w:szCs w:val="24"/>
          <w:highlight w:val="none"/>
          <w:lang w:eastAsia="zh-CN"/>
        </w:rPr>
        <w:t>随着</w:t>
      </w:r>
      <w:r>
        <w:rPr>
          <w:rFonts w:hint="default" w:ascii="Times New Roman" w:hAnsi="Times New Roman" w:cs="Times New Roman"/>
          <w:color w:val="auto"/>
          <w:sz w:val="24"/>
          <w:szCs w:val="24"/>
          <w:highlight w:val="none"/>
          <w:lang w:eastAsia="zh-CN"/>
        </w:rPr>
        <w:t>施工的结束，其环境影响随之消失。因此，工程施工道路扬尘对大气环境的影响较小。</w:t>
      </w:r>
    </w:p>
    <w:p w14:paraId="443E6789">
      <w:pPr>
        <w:pStyle w:val="6"/>
        <w:bidi w:val="0"/>
        <w:rPr>
          <w:rFonts w:hint="default" w:ascii="Times New Roman" w:hAnsi="Times New Roman" w:eastAsia="宋体" w:cs="Times New Roman"/>
          <w:color w:val="auto"/>
          <w:sz w:val="28"/>
          <w:szCs w:val="28"/>
          <w:highlight w:val="none"/>
          <w:lang w:val="en-US" w:eastAsia="zh-CN"/>
        </w:rPr>
      </w:pPr>
      <w:bookmarkStart w:id="5532" w:name="_Toc3033"/>
      <w:r>
        <w:rPr>
          <w:rFonts w:hint="eastAsia" w:ascii="Times New Roman" w:hAnsi="Times New Roman" w:eastAsia="宋体" w:cs="Times New Roman"/>
          <w:color w:val="auto"/>
          <w:sz w:val="28"/>
          <w:szCs w:val="28"/>
          <w:highlight w:val="none"/>
          <w:lang w:val="en-US" w:eastAsia="zh-CN"/>
        </w:rPr>
        <w:t>6.1.4</w:t>
      </w:r>
      <w:r>
        <w:rPr>
          <w:rFonts w:hint="default" w:ascii="Times New Roman" w:hAnsi="Times New Roman" w:eastAsia="宋体" w:cs="Times New Roman"/>
          <w:color w:val="auto"/>
          <w:sz w:val="28"/>
          <w:szCs w:val="28"/>
          <w:highlight w:val="none"/>
          <w:lang w:val="en-US" w:eastAsia="zh-CN"/>
        </w:rPr>
        <w:t>清淤恶臭</w:t>
      </w:r>
      <w:bookmarkEnd w:id="5532"/>
    </w:p>
    <w:p w14:paraId="4379E430">
      <w:pPr>
        <w:spacing w:line="360" w:lineRule="auto"/>
        <w:ind w:firstLine="480" w:firstLineChars="200"/>
        <w:rPr>
          <w:color w:val="auto"/>
          <w:highlight w:val="none"/>
        </w:rPr>
      </w:pPr>
      <w:r>
        <w:rPr>
          <w:color w:val="auto"/>
          <w:highlight w:val="none"/>
        </w:rPr>
        <w:t>工程清淤产生的淤泥，含有腐殖质等，在自然风化过程中会有恶臭气体产生，主要污染物为H</w:t>
      </w:r>
      <w:r>
        <w:rPr>
          <w:color w:val="auto"/>
          <w:highlight w:val="none"/>
          <w:vertAlign w:val="subscript"/>
        </w:rPr>
        <w:t>2</w:t>
      </w:r>
      <w:r>
        <w:rPr>
          <w:color w:val="auto"/>
          <w:highlight w:val="none"/>
        </w:rPr>
        <w:t>S、硫醚类、氨及吲哚类等物质的混合物。但由于清淤工程仅在</w:t>
      </w:r>
      <w:r>
        <w:rPr>
          <w:rFonts w:hint="eastAsia"/>
          <w:color w:val="auto"/>
          <w:highlight w:val="none"/>
          <w:lang w:eastAsia="zh-CN"/>
        </w:rPr>
        <w:t>水库</w:t>
      </w:r>
      <w:r>
        <w:rPr>
          <w:color w:val="auto"/>
          <w:highlight w:val="none"/>
        </w:rPr>
        <w:t>施工，清淤产生的淤泥在</w:t>
      </w:r>
      <w:r>
        <w:rPr>
          <w:rFonts w:hint="eastAsia"/>
          <w:color w:val="auto"/>
          <w:highlight w:val="none"/>
          <w:lang w:eastAsia="zh-CN"/>
        </w:rPr>
        <w:t>水库底部</w:t>
      </w:r>
      <w:r>
        <w:rPr>
          <w:color w:val="auto"/>
          <w:highlight w:val="none"/>
        </w:rPr>
        <w:t>晾晒后，</w:t>
      </w:r>
      <w:r>
        <w:rPr>
          <w:rFonts w:hint="eastAsia"/>
          <w:color w:val="auto"/>
          <w:highlight w:val="none"/>
          <w:lang w:eastAsia="zh-CN"/>
        </w:rPr>
        <w:t>运至堆场堆存</w:t>
      </w:r>
      <w:r>
        <w:rPr>
          <w:rFonts w:hint="eastAsia"/>
          <w:color w:val="auto"/>
          <w:highlight w:val="none"/>
        </w:rPr>
        <w:t>，</w:t>
      </w:r>
      <w:r>
        <w:rPr>
          <w:color w:val="auto"/>
          <w:highlight w:val="none"/>
        </w:rPr>
        <w:t>项目清淤场地远离居民区，产生的恶臭气体经空气自然扩散，至施工边界时，可明显减少。清淤工程结束后，淤泥产生的恶臭对环境的影响即可避免。</w:t>
      </w:r>
    </w:p>
    <w:p w14:paraId="6DDF83DA">
      <w:pPr>
        <w:spacing w:line="360" w:lineRule="auto"/>
        <w:ind w:firstLine="480" w:firstLineChars="200"/>
        <w:rPr>
          <w:color w:val="auto"/>
          <w:highlight w:val="none"/>
        </w:rPr>
      </w:pPr>
      <w:r>
        <w:rPr>
          <w:color w:val="auto"/>
          <w:highlight w:val="none"/>
        </w:rPr>
        <w:t>臭气强度等级：参考日本环境厅的臭气六级分级法，</w:t>
      </w:r>
      <w:r>
        <w:rPr>
          <w:rFonts w:hint="eastAsia"/>
          <w:color w:val="auto"/>
          <w:highlight w:val="none"/>
          <w:lang w:eastAsia="zh-CN"/>
        </w:rPr>
        <w:t>将</w:t>
      </w:r>
      <w:r>
        <w:rPr>
          <w:color w:val="auto"/>
          <w:highlight w:val="none"/>
        </w:rPr>
        <w:t>臭气强度分为6级，详见表</w:t>
      </w:r>
      <w:r>
        <w:rPr>
          <w:rFonts w:hint="eastAsia"/>
          <w:color w:val="auto"/>
          <w:highlight w:val="none"/>
          <w:lang w:val="en-US" w:eastAsia="zh-CN"/>
        </w:rPr>
        <w:t>6.1.1-3</w:t>
      </w:r>
      <w:r>
        <w:rPr>
          <w:color w:val="auto"/>
          <w:highlight w:val="none"/>
        </w:rPr>
        <w:t>。各恶臭污染物的标准限值一般相当于臭气强度2.5~3.5级，超出该强度范围，即认为发生恶臭污染，需要采取防护措施。</w:t>
      </w:r>
    </w:p>
    <w:p w14:paraId="51DB4AEC">
      <w:pPr>
        <w:snapToGrid w:val="0"/>
        <w:spacing w:line="240" w:lineRule="auto"/>
        <w:jc w:val="center"/>
        <w:rPr>
          <w:rFonts w:hint="eastAsia" w:eastAsia="宋体"/>
          <w:b/>
          <w:bCs/>
          <w:color w:val="auto"/>
          <w:highlight w:val="none"/>
          <w:lang w:eastAsia="zh-CN"/>
        </w:rPr>
      </w:pPr>
      <w:r>
        <w:rPr>
          <w:b/>
          <w:bCs/>
          <w:color w:val="auto"/>
          <w:highlight w:val="none"/>
        </w:rPr>
        <w:t>表</w:t>
      </w:r>
      <w:r>
        <w:rPr>
          <w:rFonts w:hint="eastAsia"/>
          <w:b/>
          <w:bCs/>
          <w:color w:val="auto"/>
          <w:highlight w:val="none"/>
          <w:lang w:val="en-US" w:eastAsia="zh-CN"/>
        </w:rPr>
        <w:t>6.1.1-3</w:t>
      </w:r>
      <w:r>
        <w:rPr>
          <w:b/>
          <w:bCs/>
          <w:color w:val="auto"/>
          <w:highlight w:val="none"/>
        </w:rPr>
        <w:t>臭气强度分级表</w:t>
      </w:r>
      <w:r>
        <w:rPr>
          <w:rFonts w:hint="eastAsia"/>
          <w:b/>
          <w:bCs/>
          <w:color w:val="auto"/>
          <w:highlight w:val="none"/>
          <w:lang w:eastAsia="zh-CN"/>
        </w:rPr>
        <w:t>（</w:t>
      </w:r>
      <w:r>
        <w:rPr>
          <w:b/>
          <w:bCs/>
          <w:color w:val="auto"/>
          <w:highlight w:val="none"/>
        </w:rPr>
        <w:t>日本环境厅</w:t>
      </w:r>
      <w:r>
        <w:rPr>
          <w:rFonts w:hint="eastAsia"/>
          <w:b/>
          <w:bCs/>
          <w:color w:val="auto"/>
          <w:highlight w:val="none"/>
          <w:lang w:eastAsia="zh-CN"/>
        </w:rPr>
        <w:t>）</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3329"/>
        <w:gridCol w:w="1537"/>
        <w:gridCol w:w="2511"/>
      </w:tblGrid>
      <w:tr w14:paraId="50812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pct"/>
            <w:vAlign w:val="center"/>
          </w:tcPr>
          <w:p w14:paraId="6E13C0A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强度分级</w:t>
            </w:r>
          </w:p>
        </w:tc>
        <w:tc>
          <w:tcPr>
            <w:tcW w:w="1953" w:type="pct"/>
            <w:vAlign w:val="center"/>
          </w:tcPr>
          <w:p w14:paraId="3FCFC56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感觉强度</w:t>
            </w:r>
            <w:r>
              <w:rPr>
                <w:rFonts w:hint="eastAsia"/>
                <w:b/>
                <w:bCs/>
                <w:color w:val="auto"/>
                <w:sz w:val="21"/>
                <w:szCs w:val="21"/>
                <w:highlight w:val="none"/>
                <w:lang w:eastAsia="zh-CN"/>
              </w:rPr>
              <w:t>描述</w:t>
            </w:r>
          </w:p>
        </w:tc>
        <w:tc>
          <w:tcPr>
            <w:tcW w:w="902" w:type="pct"/>
            <w:vAlign w:val="center"/>
          </w:tcPr>
          <w:p w14:paraId="3F37D7C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强度分级</w:t>
            </w:r>
          </w:p>
        </w:tc>
        <w:tc>
          <w:tcPr>
            <w:tcW w:w="1473" w:type="pct"/>
            <w:vAlign w:val="center"/>
          </w:tcPr>
          <w:p w14:paraId="6FA7FE2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感觉强度描述</w:t>
            </w:r>
          </w:p>
        </w:tc>
      </w:tr>
      <w:tr w14:paraId="70A22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70" w:type="pct"/>
            <w:vAlign w:val="center"/>
          </w:tcPr>
          <w:p w14:paraId="242329B7">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0</w:t>
            </w:r>
          </w:p>
        </w:tc>
        <w:tc>
          <w:tcPr>
            <w:tcW w:w="1953" w:type="pct"/>
            <w:vAlign w:val="center"/>
          </w:tcPr>
          <w:p w14:paraId="73DD84D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无气味</w:t>
            </w:r>
          </w:p>
        </w:tc>
        <w:tc>
          <w:tcPr>
            <w:tcW w:w="902" w:type="pct"/>
            <w:vAlign w:val="center"/>
          </w:tcPr>
          <w:p w14:paraId="0252D2A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1473" w:type="pct"/>
            <w:vAlign w:val="center"/>
          </w:tcPr>
          <w:p w14:paraId="2CEE40D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很容易感觉到气味</w:t>
            </w:r>
          </w:p>
        </w:tc>
      </w:tr>
      <w:tr w14:paraId="0200D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pct"/>
            <w:vAlign w:val="center"/>
          </w:tcPr>
          <w:p w14:paraId="61F76CB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1953" w:type="pct"/>
            <w:vAlign w:val="center"/>
          </w:tcPr>
          <w:p w14:paraId="63D82A34">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勉强感觉到气味</w:t>
            </w:r>
            <w:r>
              <w:rPr>
                <w:rFonts w:hint="eastAsia"/>
                <w:color w:val="auto"/>
                <w:sz w:val="21"/>
                <w:szCs w:val="21"/>
                <w:highlight w:val="none"/>
                <w:lang w:eastAsia="zh-CN"/>
              </w:rPr>
              <w:t>（</w:t>
            </w:r>
            <w:r>
              <w:rPr>
                <w:rFonts w:hint="default"/>
                <w:color w:val="auto"/>
                <w:sz w:val="21"/>
                <w:szCs w:val="21"/>
                <w:highlight w:val="none"/>
              </w:rPr>
              <w:t>感觉阈值</w:t>
            </w:r>
            <w:r>
              <w:rPr>
                <w:rFonts w:hint="eastAsia"/>
                <w:color w:val="auto"/>
                <w:sz w:val="21"/>
                <w:szCs w:val="21"/>
                <w:highlight w:val="none"/>
                <w:lang w:eastAsia="zh-CN"/>
              </w:rPr>
              <w:t>）</w:t>
            </w:r>
          </w:p>
        </w:tc>
        <w:tc>
          <w:tcPr>
            <w:tcW w:w="902" w:type="pct"/>
            <w:vAlign w:val="center"/>
          </w:tcPr>
          <w:p w14:paraId="6D64D53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1473" w:type="pct"/>
            <w:vAlign w:val="center"/>
          </w:tcPr>
          <w:p w14:paraId="59A71C2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强烈的气味</w:t>
            </w:r>
          </w:p>
        </w:tc>
      </w:tr>
      <w:tr w14:paraId="457A7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0" w:type="pct"/>
            <w:vAlign w:val="center"/>
          </w:tcPr>
          <w:p w14:paraId="61A06112">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1953" w:type="pct"/>
            <w:vAlign w:val="center"/>
          </w:tcPr>
          <w:p w14:paraId="65C5609C">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气味很弱但能分辨其性质</w:t>
            </w:r>
            <w:r>
              <w:rPr>
                <w:rFonts w:hint="eastAsia"/>
                <w:color w:val="auto"/>
                <w:sz w:val="21"/>
                <w:szCs w:val="21"/>
                <w:highlight w:val="none"/>
                <w:lang w:eastAsia="zh-CN"/>
              </w:rPr>
              <w:t>（</w:t>
            </w:r>
            <w:r>
              <w:rPr>
                <w:rFonts w:hint="default"/>
                <w:color w:val="auto"/>
                <w:sz w:val="21"/>
                <w:szCs w:val="21"/>
                <w:highlight w:val="none"/>
              </w:rPr>
              <w:t>识别阈值</w:t>
            </w:r>
            <w:r>
              <w:rPr>
                <w:rFonts w:hint="eastAsia"/>
                <w:color w:val="auto"/>
                <w:sz w:val="21"/>
                <w:szCs w:val="21"/>
                <w:highlight w:val="none"/>
                <w:lang w:eastAsia="zh-CN"/>
              </w:rPr>
              <w:t>）</w:t>
            </w:r>
          </w:p>
        </w:tc>
        <w:tc>
          <w:tcPr>
            <w:tcW w:w="902" w:type="pct"/>
            <w:vAlign w:val="center"/>
          </w:tcPr>
          <w:p w14:paraId="3BDEB336">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w:t>
            </w:r>
          </w:p>
        </w:tc>
        <w:tc>
          <w:tcPr>
            <w:tcW w:w="1473" w:type="pct"/>
            <w:vAlign w:val="center"/>
          </w:tcPr>
          <w:p w14:paraId="5D9A372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无法忍受的极强的气味</w:t>
            </w:r>
          </w:p>
        </w:tc>
      </w:tr>
    </w:tbl>
    <w:p w14:paraId="00785E0C">
      <w:pPr>
        <w:spacing w:line="360" w:lineRule="auto"/>
        <w:ind w:firstLine="480" w:firstLineChars="200"/>
        <w:rPr>
          <w:color w:val="auto"/>
          <w:highlight w:val="none"/>
        </w:rPr>
      </w:pPr>
      <w:r>
        <w:rPr>
          <w:color w:val="auto"/>
          <w:highlight w:val="none"/>
        </w:rPr>
        <w:t>类比分析</w:t>
      </w:r>
      <w:r>
        <w:rPr>
          <w:rFonts w:hint="eastAsia"/>
          <w:color w:val="auto"/>
          <w:highlight w:val="none"/>
          <w:lang w:eastAsia="zh-CN"/>
        </w:rPr>
        <w:t>：</w:t>
      </w:r>
      <w:r>
        <w:rPr>
          <w:color w:val="auto"/>
          <w:highlight w:val="none"/>
        </w:rPr>
        <w:t>本次评价采用类比分析法确定</w:t>
      </w:r>
      <w:r>
        <w:rPr>
          <w:rFonts w:hint="eastAsia"/>
          <w:color w:val="auto"/>
          <w:highlight w:val="none"/>
          <w:lang w:eastAsia="zh-CN"/>
        </w:rPr>
        <w:t>本工程</w:t>
      </w:r>
      <w:r>
        <w:rPr>
          <w:color w:val="auto"/>
          <w:highlight w:val="none"/>
        </w:rPr>
        <w:t>的臭气污染强度级别。</w:t>
      </w:r>
    </w:p>
    <w:p w14:paraId="5DA0764A">
      <w:pPr>
        <w:spacing w:line="360" w:lineRule="auto"/>
        <w:ind w:firstLine="480" w:firstLineChars="200"/>
        <w:rPr>
          <w:color w:val="auto"/>
          <w:highlight w:val="none"/>
        </w:rPr>
      </w:pPr>
      <w:r>
        <w:rPr>
          <w:color w:val="auto"/>
          <w:highlight w:val="none"/>
        </w:rPr>
        <w:t>①参考牡丹江南泡子疏挖工程、安徽巢湖疏挖工程和广西南宁朝阳溪环境综合治理工程底泥影响评价结果，该类工程项目底泥疏浚</w:t>
      </w:r>
      <w:r>
        <w:rPr>
          <w:rFonts w:hint="eastAsia"/>
          <w:color w:val="auto"/>
          <w:highlight w:val="none"/>
          <w:lang w:eastAsia="zh-CN"/>
        </w:rPr>
        <w:t>（</w:t>
      </w:r>
      <w:r>
        <w:rPr>
          <w:color w:val="auto"/>
          <w:highlight w:val="none"/>
        </w:rPr>
        <w:t>夏季干挖</w:t>
      </w:r>
      <w:r>
        <w:rPr>
          <w:rFonts w:hint="eastAsia"/>
          <w:color w:val="auto"/>
          <w:highlight w:val="none"/>
          <w:lang w:eastAsia="zh-CN"/>
        </w:rPr>
        <w:t>）</w:t>
      </w:r>
      <w:r>
        <w:rPr>
          <w:color w:val="auto"/>
          <w:highlight w:val="none"/>
        </w:rPr>
        <w:t>产生的臭气强度均约为2~3级，影响范围在30m左右，其污染源臭气级别调查分析结果见表</w:t>
      </w:r>
      <w:r>
        <w:rPr>
          <w:rFonts w:hint="eastAsia"/>
          <w:color w:val="auto"/>
          <w:highlight w:val="none"/>
          <w:lang w:val="en-US" w:eastAsia="zh-CN"/>
        </w:rPr>
        <w:t>6.1.1-4</w:t>
      </w:r>
      <w:r>
        <w:rPr>
          <w:color w:val="auto"/>
          <w:highlight w:val="none"/>
        </w:rPr>
        <w:t>。</w:t>
      </w:r>
    </w:p>
    <w:p w14:paraId="7458568E">
      <w:pPr>
        <w:snapToGrid w:val="0"/>
        <w:spacing w:line="240" w:lineRule="auto"/>
        <w:jc w:val="center"/>
        <w:rPr>
          <w:b/>
          <w:bCs/>
          <w:color w:val="auto"/>
          <w:highlight w:val="none"/>
        </w:rPr>
      </w:pPr>
      <w:r>
        <w:rPr>
          <w:b/>
          <w:bCs/>
          <w:color w:val="auto"/>
          <w:highlight w:val="none"/>
        </w:rPr>
        <w:t>表</w:t>
      </w:r>
      <w:r>
        <w:rPr>
          <w:rFonts w:hint="eastAsia"/>
          <w:b/>
          <w:bCs/>
          <w:color w:val="auto"/>
          <w:highlight w:val="none"/>
          <w:lang w:val="en-US" w:eastAsia="zh-CN"/>
        </w:rPr>
        <w:t>6.1.1</w:t>
      </w:r>
      <w:r>
        <w:rPr>
          <w:b/>
          <w:bCs/>
          <w:color w:val="auto"/>
          <w:highlight w:val="none"/>
        </w:rPr>
        <w:t>-4底泥疏浚臭气强度一览表</w:t>
      </w:r>
    </w:p>
    <w:tbl>
      <w:tblPr>
        <w:tblStyle w:val="3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44"/>
        <w:gridCol w:w="2838"/>
        <w:gridCol w:w="2838"/>
      </w:tblGrid>
      <w:tr w14:paraId="3F553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9" w:type="pct"/>
            <w:vAlign w:val="center"/>
          </w:tcPr>
          <w:p w14:paraId="34B3FAB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距离风化场的距离</w:t>
            </w:r>
          </w:p>
        </w:tc>
        <w:tc>
          <w:tcPr>
            <w:tcW w:w="1665" w:type="pct"/>
            <w:vAlign w:val="center"/>
          </w:tcPr>
          <w:p w14:paraId="26DA6BAF">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臭气感觉强度</w:t>
            </w:r>
          </w:p>
        </w:tc>
        <w:tc>
          <w:tcPr>
            <w:tcW w:w="1665" w:type="pct"/>
            <w:vAlign w:val="center"/>
          </w:tcPr>
          <w:p w14:paraId="6D6509F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级别</w:t>
            </w:r>
          </w:p>
        </w:tc>
      </w:tr>
      <w:tr w14:paraId="6978B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9" w:type="pct"/>
            <w:vAlign w:val="center"/>
          </w:tcPr>
          <w:p w14:paraId="578A617D">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岸边0m</w:t>
            </w:r>
          </w:p>
        </w:tc>
        <w:tc>
          <w:tcPr>
            <w:tcW w:w="1665" w:type="pct"/>
            <w:vAlign w:val="center"/>
          </w:tcPr>
          <w:p w14:paraId="648CA149">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有较明显臭味</w:t>
            </w:r>
          </w:p>
        </w:tc>
        <w:tc>
          <w:tcPr>
            <w:tcW w:w="1665" w:type="pct"/>
            <w:vAlign w:val="center"/>
          </w:tcPr>
          <w:p w14:paraId="21505B64">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3级</w:t>
            </w:r>
          </w:p>
        </w:tc>
      </w:tr>
      <w:tr w14:paraId="3B73D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9" w:type="pct"/>
            <w:vAlign w:val="center"/>
          </w:tcPr>
          <w:p w14:paraId="6FDE459A">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岸边30m</w:t>
            </w:r>
          </w:p>
        </w:tc>
        <w:tc>
          <w:tcPr>
            <w:tcW w:w="1665" w:type="pct"/>
            <w:vAlign w:val="center"/>
          </w:tcPr>
          <w:p w14:paraId="7365D6C6">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轻微</w:t>
            </w:r>
          </w:p>
        </w:tc>
        <w:tc>
          <w:tcPr>
            <w:tcW w:w="1665" w:type="pct"/>
            <w:vAlign w:val="center"/>
          </w:tcPr>
          <w:p w14:paraId="55AA48A3">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2级</w:t>
            </w:r>
          </w:p>
        </w:tc>
      </w:tr>
      <w:tr w14:paraId="050E4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9" w:type="pct"/>
            <w:vAlign w:val="center"/>
          </w:tcPr>
          <w:p w14:paraId="302A8F8E">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岸边80m</w:t>
            </w:r>
          </w:p>
        </w:tc>
        <w:tc>
          <w:tcPr>
            <w:tcW w:w="1665" w:type="pct"/>
            <w:vAlign w:val="center"/>
          </w:tcPr>
          <w:p w14:paraId="193AB306">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极微</w:t>
            </w:r>
          </w:p>
        </w:tc>
        <w:tc>
          <w:tcPr>
            <w:tcW w:w="1665" w:type="pct"/>
            <w:vAlign w:val="center"/>
          </w:tcPr>
          <w:p w14:paraId="56345986">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1级</w:t>
            </w:r>
          </w:p>
        </w:tc>
      </w:tr>
      <w:tr w14:paraId="20C65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9" w:type="pct"/>
            <w:vAlign w:val="center"/>
          </w:tcPr>
          <w:p w14:paraId="42D9AA71">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100m外</w:t>
            </w:r>
          </w:p>
        </w:tc>
        <w:tc>
          <w:tcPr>
            <w:tcW w:w="1665" w:type="pct"/>
            <w:vAlign w:val="center"/>
          </w:tcPr>
          <w:p w14:paraId="58236A3C">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无</w:t>
            </w:r>
          </w:p>
        </w:tc>
        <w:tc>
          <w:tcPr>
            <w:tcW w:w="1665" w:type="pct"/>
            <w:vAlign w:val="center"/>
          </w:tcPr>
          <w:p w14:paraId="6080E6EB">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0级</w:t>
            </w:r>
          </w:p>
        </w:tc>
      </w:tr>
    </w:tbl>
    <w:p w14:paraId="1BA94094">
      <w:pPr>
        <w:pStyle w:val="18"/>
        <w:snapToGrid/>
        <w:spacing w:line="360" w:lineRule="auto"/>
        <w:ind w:firstLine="480" w:firstLineChars="200"/>
        <w:rPr>
          <w:color w:val="auto"/>
          <w:sz w:val="24"/>
          <w:highlight w:val="none"/>
        </w:rPr>
      </w:pPr>
      <w:r>
        <w:rPr>
          <w:color w:val="auto"/>
          <w:sz w:val="24"/>
          <w:highlight w:val="none"/>
        </w:rPr>
        <w:t>由上表可知，河道底泥恶臭影响主要发生在</w:t>
      </w:r>
      <w:r>
        <w:rPr>
          <w:rFonts w:hint="eastAsia"/>
          <w:color w:val="auto"/>
          <w:sz w:val="24"/>
          <w:highlight w:val="none"/>
          <w:lang w:eastAsia="zh-CN"/>
        </w:rPr>
        <w:t>石头崾岘水库</w:t>
      </w:r>
      <w:r>
        <w:rPr>
          <w:color w:val="auto"/>
          <w:sz w:val="24"/>
          <w:highlight w:val="none"/>
        </w:rPr>
        <w:t>。</w:t>
      </w:r>
    </w:p>
    <w:p w14:paraId="701EA5F7">
      <w:pPr>
        <w:pStyle w:val="18"/>
        <w:snapToGrid/>
        <w:spacing w:line="360" w:lineRule="auto"/>
        <w:ind w:firstLine="480" w:firstLineChars="200"/>
        <w:rPr>
          <w:color w:val="auto"/>
          <w:sz w:val="24"/>
          <w:highlight w:val="none"/>
        </w:rPr>
      </w:pPr>
      <w:r>
        <w:rPr>
          <w:color w:val="auto"/>
          <w:sz w:val="24"/>
          <w:highlight w:val="none"/>
        </w:rPr>
        <w:t>②南宁南湖湖泊治理工程采用湿式疏挖，只在湖边有微弱气味，50米之外基本无气味。</w:t>
      </w:r>
    </w:p>
    <w:p w14:paraId="474479DF">
      <w:pPr>
        <w:pStyle w:val="18"/>
        <w:snapToGrid/>
        <w:spacing w:line="360" w:lineRule="auto"/>
        <w:ind w:firstLine="480" w:firstLineChars="200"/>
        <w:rPr>
          <w:color w:val="auto"/>
          <w:sz w:val="24"/>
          <w:highlight w:val="none"/>
        </w:rPr>
      </w:pPr>
      <w:r>
        <w:rPr>
          <w:rFonts w:hint="eastAsia"/>
          <w:color w:val="auto"/>
          <w:sz w:val="24"/>
          <w:highlight w:val="none"/>
          <w:lang w:eastAsia="zh-CN"/>
        </w:rPr>
        <w:t>本工程</w:t>
      </w:r>
      <w:r>
        <w:rPr>
          <w:color w:val="auto"/>
          <w:sz w:val="24"/>
          <w:highlight w:val="none"/>
        </w:rPr>
        <w:t>在</w:t>
      </w:r>
      <w:r>
        <w:rPr>
          <w:rFonts w:hint="eastAsia"/>
          <w:color w:val="auto"/>
          <w:sz w:val="24"/>
          <w:highlight w:val="none"/>
          <w:lang w:eastAsia="zh-CN"/>
        </w:rPr>
        <w:t>石头崾岘水库</w:t>
      </w:r>
      <w:r>
        <w:rPr>
          <w:color w:val="auto"/>
          <w:sz w:val="24"/>
          <w:highlight w:val="none"/>
        </w:rPr>
        <w:t>进行清淤，根据对</w:t>
      </w:r>
      <w:r>
        <w:rPr>
          <w:rFonts w:hint="eastAsia"/>
          <w:color w:val="auto"/>
          <w:sz w:val="24"/>
          <w:highlight w:val="none"/>
          <w:lang w:eastAsia="zh-CN"/>
        </w:rPr>
        <w:t>本工程</w:t>
      </w:r>
      <w:r>
        <w:rPr>
          <w:color w:val="auto"/>
          <w:sz w:val="24"/>
          <w:highlight w:val="none"/>
        </w:rPr>
        <w:t>现场调查和上述类比分析，该区域底泥多年未进行清淤，底泥疏挖过程会有较为明显的臭味，恶臭强度可能会达到表4-3中的3~4级</w:t>
      </w:r>
      <w:r>
        <w:rPr>
          <w:rFonts w:hint="eastAsia"/>
          <w:color w:val="auto"/>
          <w:sz w:val="24"/>
          <w:highlight w:val="none"/>
          <w:lang w:eastAsia="zh-CN"/>
        </w:rPr>
        <w:t>；</w:t>
      </w:r>
      <w:r>
        <w:rPr>
          <w:color w:val="auto"/>
          <w:sz w:val="24"/>
          <w:highlight w:val="none"/>
        </w:rPr>
        <w:t>但由于恶臭气体产生总量较小</w:t>
      </w:r>
      <w:r>
        <w:rPr>
          <w:rFonts w:hint="eastAsia"/>
          <w:color w:val="auto"/>
          <w:sz w:val="24"/>
          <w:highlight w:val="none"/>
          <w:lang w:eastAsia="zh-CN"/>
        </w:rPr>
        <w:t>且</w:t>
      </w:r>
      <w:r>
        <w:rPr>
          <w:color w:val="auto"/>
          <w:sz w:val="24"/>
          <w:highlight w:val="none"/>
        </w:rPr>
        <w:t>向周围环境散发30米之外有轻微臭味，达到2级强度，低于臭气强度的限值标准</w:t>
      </w:r>
      <w:r>
        <w:rPr>
          <w:rFonts w:hint="eastAsia"/>
          <w:color w:val="auto"/>
          <w:sz w:val="24"/>
          <w:highlight w:val="none"/>
          <w:lang w:eastAsia="zh-CN"/>
        </w:rPr>
        <w:t>（</w:t>
      </w:r>
      <w:r>
        <w:rPr>
          <w:color w:val="auto"/>
          <w:sz w:val="24"/>
          <w:highlight w:val="none"/>
        </w:rPr>
        <w:t>2.5~3.5级</w:t>
      </w:r>
      <w:r>
        <w:rPr>
          <w:rFonts w:hint="eastAsia"/>
          <w:color w:val="auto"/>
          <w:sz w:val="24"/>
          <w:highlight w:val="none"/>
          <w:lang w:eastAsia="zh-CN"/>
        </w:rPr>
        <w:t>）</w:t>
      </w:r>
      <w:r>
        <w:rPr>
          <w:color w:val="auto"/>
          <w:sz w:val="24"/>
          <w:highlight w:val="none"/>
        </w:rPr>
        <w:t>；50米以外则基本无气味。</w:t>
      </w:r>
    </w:p>
    <w:p w14:paraId="14173284">
      <w:pPr>
        <w:pStyle w:val="18"/>
        <w:snapToGrid/>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实际施工中，由于本工程水库清淤疏浚在冬季施工，本项目淤泥以水库淤积泥沙为主，库底沉积的含腐殖质淤积物较少，恶臭污染物产生强度弱；且最近村庄位于堆场上风向，淤泥堆存后将及时压实整平，减少暴露面积与空气接触时间，在堆填过程喷洒除臭剂，可有效阻隔恶臭气体散发。此外，恶臭气体浓度随距离衰减较快，10m距离内经大气扩散稀释后，居民点区域恶臭感官强度较低，不会对人体健康造成危害，也不会引发明显不适，恶臭影响处于居民可接受范围。</w:t>
      </w:r>
    </w:p>
    <w:p w14:paraId="2B401054">
      <w:pPr>
        <w:pStyle w:val="18"/>
        <w:snapToGrid/>
        <w:spacing w:line="360" w:lineRule="auto"/>
        <w:ind w:firstLine="480" w:firstLineChars="200"/>
        <w:jc w:val="both"/>
        <w:rPr>
          <w:color w:val="auto"/>
          <w:sz w:val="24"/>
          <w:highlight w:val="none"/>
        </w:rPr>
      </w:pPr>
      <w:r>
        <w:rPr>
          <w:rFonts w:hint="eastAsia"/>
          <w:color w:val="auto"/>
          <w:sz w:val="24"/>
          <w:highlight w:val="none"/>
        </w:rPr>
        <w:t>故</w:t>
      </w:r>
      <w:r>
        <w:rPr>
          <w:rFonts w:hint="eastAsia"/>
          <w:color w:val="auto"/>
          <w:sz w:val="24"/>
          <w:highlight w:val="none"/>
          <w:lang w:eastAsia="zh-CN"/>
        </w:rPr>
        <w:t>本工程</w:t>
      </w:r>
      <w:r>
        <w:rPr>
          <w:rFonts w:hint="eastAsia"/>
          <w:color w:val="auto"/>
          <w:sz w:val="24"/>
          <w:highlight w:val="none"/>
        </w:rPr>
        <w:t>施工期产生的恶臭物质污染源强对比上述工程产生的恶臭物质污染强度相比较低，</w:t>
      </w:r>
      <w:r>
        <w:rPr>
          <w:rFonts w:hint="eastAsia"/>
          <w:color w:val="auto"/>
          <w:sz w:val="24"/>
          <w:highlight w:val="none"/>
          <w:lang w:eastAsia="zh-CN"/>
        </w:rPr>
        <w:t>水库</w:t>
      </w:r>
      <w:r>
        <w:rPr>
          <w:rFonts w:hint="eastAsia"/>
          <w:color w:val="auto"/>
          <w:sz w:val="24"/>
          <w:highlight w:val="none"/>
        </w:rPr>
        <w:t>10m之外恶臭气味轻微，低于恶臭强度的限值标准（2.5~3.5级），30m之外基本无影响</w:t>
      </w:r>
      <w:r>
        <w:rPr>
          <w:rFonts w:hint="eastAsia"/>
          <w:color w:val="auto"/>
          <w:sz w:val="24"/>
          <w:highlight w:val="none"/>
          <w:lang w:eastAsia="zh-CN"/>
        </w:rPr>
        <w:t>，且水库清淤范围附近</w:t>
      </w:r>
      <w:r>
        <w:rPr>
          <w:color w:val="auto"/>
          <w:sz w:val="24"/>
          <w:highlight w:val="none"/>
        </w:rPr>
        <w:t>50m无居民区</w:t>
      </w:r>
      <w:r>
        <w:rPr>
          <w:rFonts w:hint="eastAsia"/>
          <w:color w:val="auto"/>
          <w:sz w:val="24"/>
          <w:highlight w:val="none"/>
        </w:rPr>
        <w:t>。</w:t>
      </w:r>
      <w:r>
        <w:rPr>
          <w:color w:val="auto"/>
          <w:sz w:val="24"/>
          <w:highlight w:val="none"/>
        </w:rPr>
        <w:t>清淤产生的淤泥在</w:t>
      </w:r>
      <w:r>
        <w:rPr>
          <w:rFonts w:hint="eastAsia"/>
          <w:color w:val="auto"/>
          <w:sz w:val="24"/>
          <w:highlight w:val="none"/>
          <w:lang w:eastAsia="zh-CN"/>
        </w:rPr>
        <w:t>库底</w:t>
      </w:r>
      <w:r>
        <w:rPr>
          <w:color w:val="auto"/>
          <w:sz w:val="24"/>
          <w:highlight w:val="none"/>
        </w:rPr>
        <w:t>晾晒后</w:t>
      </w:r>
      <w:r>
        <w:rPr>
          <w:rFonts w:hint="eastAsia"/>
          <w:color w:val="auto"/>
          <w:sz w:val="24"/>
          <w:highlight w:val="none"/>
          <w:lang w:eastAsia="zh-CN"/>
        </w:rPr>
        <w:t>运至堆场堆填</w:t>
      </w:r>
      <w:r>
        <w:rPr>
          <w:color w:val="auto"/>
          <w:sz w:val="24"/>
          <w:highlight w:val="none"/>
        </w:rPr>
        <w:t>，淤泥</w:t>
      </w:r>
      <w:r>
        <w:rPr>
          <w:rFonts w:hint="eastAsia"/>
          <w:color w:val="auto"/>
          <w:sz w:val="24"/>
          <w:highlight w:val="none"/>
          <w:lang w:eastAsia="zh-CN"/>
        </w:rPr>
        <w:t>库底临时</w:t>
      </w:r>
      <w:r>
        <w:rPr>
          <w:color w:val="auto"/>
          <w:sz w:val="24"/>
          <w:highlight w:val="none"/>
        </w:rPr>
        <w:t>堆放时间较短，随着清淤工程的结束，恶臭随之结束。</w:t>
      </w:r>
    </w:p>
    <w:p w14:paraId="35E564F2">
      <w:pPr>
        <w:pStyle w:val="4"/>
        <w:bidi w:val="0"/>
        <w:rPr>
          <w:rFonts w:hint="default" w:ascii="Times New Roman" w:hAnsi="Times New Roman" w:cs="Times New Roman"/>
          <w:color w:val="auto"/>
          <w:sz w:val="28"/>
          <w:szCs w:val="28"/>
          <w:highlight w:val="none"/>
          <w:lang w:val="en-US" w:eastAsia="zh-CN"/>
        </w:rPr>
      </w:pPr>
      <w:bookmarkStart w:id="5533" w:name="_Toc3308"/>
      <w:bookmarkStart w:id="5534" w:name="_Toc9680"/>
      <w:bookmarkStart w:id="5535" w:name="_Toc29735"/>
      <w:bookmarkStart w:id="5536" w:name="_Toc4396"/>
      <w:r>
        <w:rPr>
          <w:rFonts w:hint="default" w:ascii="Times New Roman" w:hAnsi="Times New Roman" w:cs="Times New Roman"/>
          <w:color w:val="auto"/>
          <w:sz w:val="28"/>
          <w:szCs w:val="28"/>
          <w:highlight w:val="none"/>
          <w:lang w:val="en-US" w:eastAsia="zh-CN"/>
        </w:rPr>
        <w:t>6.2水环境影响分析</w:t>
      </w:r>
      <w:bookmarkEnd w:id="5533"/>
      <w:bookmarkEnd w:id="5534"/>
      <w:bookmarkEnd w:id="5535"/>
      <w:bookmarkEnd w:id="5536"/>
    </w:p>
    <w:p w14:paraId="04A7B71A">
      <w:pPr>
        <w:pStyle w:val="6"/>
        <w:bidi w:val="0"/>
        <w:rPr>
          <w:rFonts w:hint="default" w:ascii="Times New Roman" w:hAnsi="Times New Roman" w:cs="Times New Roman"/>
          <w:color w:val="auto"/>
          <w:sz w:val="28"/>
          <w:szCs w:val="28"/>
          <w:highlight w:val="none"/>
          <w:lang w:eastAsia="zh-CN"/>
        </w:rPr>
      </w:pPr>
      <w:bookmarkStart w:id="5537" w:name="_Toc18354"/>
      <w:bookmarkStart w:id="5538" w:name="_Toc25522"/>
      <w:bookmarkStart w:id="5539" w:name="_Toc9846"/>
      <w:r>
        <w:rPr>
          <w:rFonts w:hint="default" w:ascii="Times New Roman" w:hAnsi="Times New Roman" w:cs="Times New Roman"/>
          <w:color w:val="auto"/>
          <w:sz w:val="28"/>
          <w:szCs w:val="28"/>
          <w:highlight w:val="none"/>
          <w:lang w:val="en-US" w:eastAsia="zh-CN"/>
        </w:rPr>
        <w:t>6.2.1</w:t>
      </w:r>
      <w:r>
        <w:rPr>
          <w:rFonts w:hint="default" w:ascii="Times New Roman" w:hAnsi="Times New Roman" w:cs="Times New Roman"/>
          <w:color w:val="auto"/>
          <w:sz w:val="28"/>
          <w:szCs w:val="28"/>
          <w:highlight w:val="none"/>
          <w:lang w:eastAsia="zh-CN"/>
        </w:rPr>
        <w:t>施工期水环境影响分析</w:t>
      </w:r>
      <w:bookmarkEnd w:id="5537"/>
      <w:bookmarkEnd w:id="5538"/>
      <w:bookmarkEnd w:id="5539"/>
    </w:p>
    <w:p w14:paraId="596791B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根据工程特点，施工期地表水环境的影响因素主要来自施工扰动和施工期废水，施工扰动主要是</w:t>
      </w:r>
      <w:r>
        <w:rPr>
          <w:rFonts w:hint="eastAsia" w:cs="Times New Roman"/>
          <w:color w:val="auto"/>
          <w:sz w:val="24"/>
          <w:szCs w:val="24"/>
          <w:highlight w:val="none"/>
          <w:lang w:eastAsia="zh-CN"/>
        </w:rPr>
        <w:t>清淤</w:t>
      </w:r>
      <w:r>
        <w:rPr>
          <w:rFonts w:hint="default" w:ascii="Times New Roman" w:hAnsi="Times New Roman" w:cs="Times New Roman"/>
          <w:color w:val="auto"/>
          <w:sz w:val="24"/>
          <w:szCs w:val="24"/>
          <w:highlight w:val="none"/>
          <w:lang w:eastAsia="zh-CN"/>
        </w:rPr>
        <w:t>工程的施工活动造成局部水体SS升高；施工期废水主要为</w:t>
      </w:r>
      <w:r>
        <w:rPr>
          <w:rFonts w:hint="default" w:ascii="Times New Roman" w:hAnsi="Times New Roman" w:cs="Times New Roman"/>
          <w:color w:val="auto"/>
          <w:sz w:val="24"/>
          <w:szCs w:val="24"/>
          <w:highlight w:val="none"/>
        </w:rPr>
        <w:t>混凝土养护废水、施工机械和车辆冲洗废水</w:t>
      </w:r>
      <w:r>
        <w:rPr>
          <w:rFonts w:hint="eastAsia" w:cs="Times New Roman"/>
          <w:color w:val="auto"/>
          <w:sz w:val="24"/>
          <w:szCs w:val="24"/>
          <w:highlight w:val="none"/>
          <w:lang w:eastAsia="zh-CN"/>
        </w:rPr>
        <w:t>和施工导流</w:t>
      </w:r>
      <w:r>
        <w:rPr>
          <w:rFonts w:hint="default" w:ascii="Times New Roman" w:hAnsi="Times New Roman" w:cs="Times New Roman"/>
          <w:color w:val="auto"/>
          <w:sz w:val="24"/>
          <w:szCs w:val="24"/>
          <w:highlight w:val="none"/>
          <w:lang w:eastAsia="zh-CN"/>
        </w:rPr>
        <w:t>，若不加处理排放到地表水体将会对水环境产生一定影响。项目施工人员租用附近民房，生活污水依托民房旱厕，定期清掏用于</w:t>
      </w:r>
      <w:r>
        <w:rPr>
          <w:rFonts w:hint="eastAsia" w:cs="Times New Roman"/>
          <w:color w:val="auto"/>
          <w:sz w:val="24"/>
          <w:szCs w:val="24"/>
          <w:highlight w:val="none"/>
          <w:lang w:eastAsia="zh-CN"/>
        </w:rPr>
        <w:t>农肥</w:t>
      </w:r>
      <w:r>
        <w:rPr>
          <w:rFonts w:hint="default" w:ascii="Times New Roman" w:hAnsi="Times New Roman" w:cs="Times New Roman"/>
          <w:color w:val="auto"/>
          <w:sz w:val="24"/>
          <w:szCs w:val="24"/>
          <w:highlight w:val="none"/>
          <w:lang w:eastAsia="zh-CN"/>
        </w:rPr>
        <w:t>。</w:t>
      </w:r>
    </w:p>
    <w:p w14:paraId="2627AE1D">
      <w:pPr>
        <w:pStyle w:val="7"/>
        <w:bidi w:val="0"/>
        <w:jc w:val="both"/>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val="en-US" w:eastAsia="zh-CN"/>
        </w:rPr>
        <w:t>6.2.1.1</w:t>
      </w:r>
      <w:r>
        <w:rPr>
          <w:rFonts w:hint="default" w:ascii="Times New Roman" w:hAnsi="Times New Roman" w:cs="Times New Roman"/>
          <w:color w:val="auto"/>
          <w:sz w:val="28"/>
          <w:szCs w:val="28"/>
          <w:highlight w:val="none"/>
          <w:lang w:eastAsia="zh-CN"/>
        </w:rPr>
        <w:t>施工扰动</w:t>
      </w:r>
    </w:p>
    <w:p w14:paraId="7C4C8D5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（1）</w:t>
      </w:r>
      <w:r>
        <w:rPr>
          <w:rFonts w:hint="default" w:ascii="Times New Roman" w:hAnsi="Times New Roman" w:eastAsia="宋体" w:cs="Times New Roman"/>
          <w:color w:val="auto"/>
          <w:sz w:val="24"/>
          <w:szCs w:val="24"/>
          <w:highlight w:val="none"/>
          <w:lang w:eastAsia="zh-CN"/>
        </w:rPr>
        <w:t>施工导流</w:t>
      </w:r>
    </w:p>
    <w:p w14:paraId="35741E6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管线横穿沟道，根据管道沿线所在河流、沟道的地形条件以及施工条件、 工程规模，一泵站管线穿清水河处存在地表水，施工导流均采用</w:t>
      </w:r>
      <w:r>
        <w:rPr>
          <w:rFonts w:hint="eastAsia" w:cs="Times New Roman"/>
          <w:color w:val="auto"/>
          <w:sz w:val="24"/>
          <w:szCs w:val="24"/>
          <w:highlight w:val="none"/>
          <w:lang w:eastAsia="zh-CN"/>
        </w:rPr>
        <w:t>“U”形</w:t>
      </w:r>
      <w:r>
        <w:rPr>
          <w:rFonts w:hint="default" w:ascii="Times New Roman" w:hAnsi="Times New Roman" w:eastAsia="宋体" w:cs="Times New Roman"/>
          <w:color w:val="auto"/>
          <w:sz w:val="24"/>
          <w:szCs w:val="24"/>
          <w:highlight w:val="none"/>
          <w:lang w:eastAsia="zh-CN"/>
        </w:rPr>
        <w:t>围堰、分段导流，先施工一侧河床，待围堰内管道铺设及过沟防护施工完成后，将另一侧围住，将施工完工一侧的拆除，然后进行另一侧的管道及过沟防护施工。</w:t>
      </w:r>
    </w:p>
    <w:p w14:paraId="3B8D9BD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小河段</w:t>
      </w:r>
      <w:r>
        <w:rPr>
          <w:rFonts w:hint="default" w:ascii="Times New Roman" w:hAnsi="Times New Roman" w:eastAsia="宋体" w:cs="Times New Roman"/>
          <w:color w:val="auto"/>
          <w:sz w:val="24"/>
          <w:szCs w:val="24"/>
          <w:highlight w:val="none"/>
          <w:lang w:eastAsia="zh-CN"/>
        </w:rPr>
        <w:t>开挖导流明渠，对于较宽河段可以利用开挖土方挡水</w:t>
      </w:r>
      <w:r>
        <w:rPr>
          <w:rFonts w:hint="eastAsia" w:ascii="Times New Roman" w:hAnsi="Times New Roman" w:eastAsia="宋体" w:cs="Times New Roman"/>
          <w:color w:val="auto"/>
          <w:sz w:val="24"/>
          <w:szCs w:val="24"/>
          <w:highlight w:val="none"/>
          <w:lang w:eastAsia="zh-CN"/>
        </w:rPr>
        <w:t>；石头崾岘水库开挖导流槽（临时道路处埋设DN1200混凝土导流管）。</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施工尽可能安排在</w:t>
      </w:r>
      <w:r>
        <w:rPr>
          <w:rFonts w:hint="eastAsia" w:ascii="Times New Roman" w:hAnsi="Times New Roman" w:eastAsia="宋体" w:cs="Times New Roman"/>
          <w:color w:val="auto"/>
          <w:sz w:val="24"/>
          <w:szCs w:val="24"/>
          <w:highlight w:val="none"/>
          <w:lang w:eastAsia="zh-CN"/>
        </w:rPr>
        <w:t>冬季枯水期</w:t>
      </w:r>
      <w:r>
        <w:rPr>
          <w:rFonts w:hint="default" w:ascii="Times New Roman" w:hAnsi="Times New Roman" w:eastAsia="宋体" w:cs="Times New Roman"/>
          <w:color w:val="auto"/>
          <w:sz w:val="24"/>
          <w:szCs w:val="24"/>
          <w:highlight w:val="none"/>
          <w:lang w:eastAsia="zh-CN"/>
        </w:rPr>
        <w:t>，施工完成后</w:t>
      </w:r>
      <w:r>
        <w:rPr>
          <w:rFonts w:hint="eastAsia" w:ascii="Times New Roman" w:hAnsi="Times New Roman" w:eastAsia="宋体" w:cs="Times New Roman"/>
          <w:color w:val="auto"/>
          <w:sz w:val="24"/>
          <w:szCs w:val="24"/>
          <w:highlight w:val="none"/>
          <w:lang w:eastAsia="zh-CN"/>
        </w:rPr>
        <w:t>拆除明渠、土墙和导流槽</w:t>
      </w:r>
      <w:r>
        <w:rPr>
          <w:rFonts w:hint="default" w:ascii="Times New Roman" w:hAnsi="Times New Roman" w:eastAsia="宋体" w:cs="Times New Roman"/>
          <w:color w:val="auto"/>
          <w:sz w:val="24"/>
          <w:szCs w:val="24"/>
          <w:highlight w:val="none"/>
          <w:lang w:eastAsia="zh-CN"/>
        </w:rPr>
        <w:t>。采用导流后，</w:t>
      </w:r>
      <w:r>
        <w:rPr>
          <w:rFonts w:hint="eastAsia" w:ascii="Times New Roman" w:hAnsi="Times New Roman" w:eastAsia="宋体" w:cs="Times New Roman"/>
          <w:color w:val="auto"/>
          <w:sz w:val="24"/>
          <w:szCs w:val="24"/>
          <w:highlight w:val="none"/>
          <w:lang w:eastAsia="zh-CN"/>
        </w:rPr>
        <w:t>工程施工</w:t>
      </w:r>
      <w:r>
        <w:rPr>
          <w:rFonts w:hint="default" w:ascii="Times New Roman" w:hAnsi="Times New Roman" w:eastAsia="宋体" w:cs="Times New Roman"/>
          <w:color w:val="auto"/>
          <w:sz w:val="24"/>
          <w:szCs w:val="24"/>
          <w:highlight w:val="none"/>
          <w:lang w:eastAsia="zh-CN"/>
        </w:rPr>
        <w:t>对</w:t>
      </w:r>
      <w:r>
        <w:rPr>
          <w:rFonts w:hint="eastAsia" w:ascii="Times New Roman" w:hAnsi="Times New Roman" w:eastAsia="宋体" w:cs="Times New Roman"/>
          <w:color w:val="auto"/>
          <w:sz w:val="24"/>
          <w:szCs w:val="24"/>
          <w:highlight w:val="none"/>
          <w:lang w:eastAsia="zh-CN"/>
        </w:rPr>
        <w:t>该地块</w:t>
      </w:r>
      <w:r>
        <w:rPr>
          <w:rFonts w:hint="default" w:ascii="Times New Roman" w:hAnsi="Times New Roman" w:eastAsia="宋体" w:cs="Times New Roman"/>
          <w:color w:val="auto"/>
          <w:sz w:val="24"/>
          <w:szCs w:val="24"/>
          <w:highlight w:val="none"/>
          <w:lang w:eastAsia="zh-CN"/>
        </w:rPr>
        <w:t>地表水的影响很小。</w:t>
      </w:r>
    </w:p>
    <w:p w14:paraId="3B69F442">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eastAsia="zh-CN"/>
        </w:rPr>
        <w:t>6.2.1.2</w:t>
      </w:r>
      <w:r>
        <w:rPr>
          <w:rFonts w:hint="default" w:ascii="Times New Roman" w:hAnsi="Times New Roman" w:cs="Times New Roman"/>
          <w:color w:val="auto"/>
          <w:sz w:val="28"/>
          <w:szCs w:val="28"/>
          <w:highlight w:val="none"/>
          <w:lang w:val="en-US" w:eastAsia="zh-CN"/>
        </w:rPr>
        <w:t>施工废水</w:t>
      </w:r>
    </w:p>
    <w:p w14:paraId="0605790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混凝土养护废水</w:t>
      </w:r>
    </w:p>
    <w:p w14:paraId="2ACAE08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本工程施工采用商品混凝土，主体工程现浇混凝土养护产生少量废水。本工程混凝土工程量总计</w:t>
      </w:r>
      <w:r>
        <w:rPr>
          <w:rFonts w:hint="default" w:ascii="Times New Roman" w:hAnsi="Times New Roman" w:cs="Times New Roman"/>
          <w:color w:val="auto"/>
          <w:sz w:val="24"/>
          <w:szCs w:val="24"/>
          <w:highlight w:val="none"/>
          <w:lang w:val="en-US" w:eastAsia="zh-CN"/>
        </w:rPr>
        <w:t>99.8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，施工期共产生混凝土养护废水</w:t>
      </w:r>
      <w:r>
        <w:rPr>
          <w:rFonts w:hint="default" w:ascii="Times New Roman" w:hAnsi="Times New Roman" w:cs="Times New Roman"/>
          <w:color w:val="auto"/>
          <w:sz w:val="24"/>
          <w:szCs w:val="24"/>
          <w:highlight w:val="none"/>
          <w:lang w:val="en-US" w:eastAsia="zh-CN"/>
        </w:rPr>
        <w:t>34.93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各混凝土现浇施工区设置沉淀池，沉淀后回用于混凝土养护用水，确保无废水排放。</w:t>
      </w:r>
    </w:p>
    <w:p w14:paraId="7D37D84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施工机械、车辆冲洗废水</w:t>
      </w:r>
    </w:p>
    <w:p w14:paraId="11D4CD7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仅在施工营地设置一般性的机械和车辆保养服务，机械车辆冲洗保养过程中将产生少量含油废水，污染因子主要为石油类、COD和SS，其中石油类浓度为10～30mg/L、COD浓度为25～200mg/L、SS浓度为500～4000mg/L，排放特点为间歇性排放。</w:t>
      </w:r>
      <w:r>
        <w:rPr>
          <w:rFonts w:hint="eastAsia" w:cs="Times New Roman"/>
          <w:color w:val="auto"/>
          <w:sz w:val="24"/>
          <w:szCs w:val="24"/>
          <w:highlight w:val="none"/>
          <w:lang w:eastAsia="zh-CN"/>
        </w:rPr>
        <w:t>经</w:t>
      </w:r>
      <w:r>
        <w:rPr>
          <w:rFonts w:hint="default" w:ascii="Times New Roman" w:hAnsi="Times New Roman" w:cs="Times New Roman"/>
          <w:color w:val="auto"/>
          <w:sz w:val="24"/>
          <w:szCs w:val="24"/>
          <w:highlight w:val="none"/>
          <w:lang w:eastAsia="zh-CN"/>
        </w:rPr>
        <w:t>施工区设置</w:t>
      </w:r>
      <w:r>
        <w:rPr>
          <w:rFonts w:hint="eastAsia" w:cs="Times New Roman"/>
          <w:color w:val="auto"/>
          <w:sz w:val="24"/>
          <w:szCs w:val="24"/>
          <w:highlight w:val="none"/>
          <w:lang w:eastAsia="zh-CN"/>
        </w:rPr>
        <w:t>临时隔油沉淀池沉淀后</w:t>
      </w:r>
      <w:r>
        <w:rPr>
          <w:rFonts w:hint="eastAsia"/>
          <w:snapToGrid w:val="0"/>
          <w:color w:val="auto"/>
          <w:sz w:val="24"/>
          <w:highlight w:val="none"/>
        </w:rPr>
        <w:t>用于洒水抑尘</w:t>
      </w:r>
      <w:r>
        <w:rPr>
          <w:rFonts w:hint="eastAsia"/>
          <w:snapToGrid w:val="0"/>
          <w:color w:val="auto"/>
          <w:sz w:val="24"/>
          <w:highlight w:val="none"/>
          <w:lang w:eastAsia="zh-CN"/>
        </w:rPr>
        <w:t>，</w:t>
      </w:r>
      <w:r>
        <w:rPr>
          <w:rFonts w:hint="default" w:ascii="Times New Roman" w:hAnsi="Times New Roman" w:eastAsia="宋体" w:cs="Times New Roman"/>
          <w:color w:val="auto"/>
          <w:sz w:val="24"/>
          <w:szCs w:val="28"/>
          <w:highlight w:val="none"/>
        </w:rPr>
        <w:t>收集的废油定期交由有资质的单位处理</w:t>
      </w:r>
      <w:r>
        <w:rPr>
          <w:rFonts w:hint="default" w:ascii="Times New Roman" w:hAnsi="Times New Roman" w:cs="Times New Roman"/>
          <w:color w:val="auto"/>
          <w:sz w:val="24"/>
          <w:szCs w:val="24"/>
          <w:highlight w:val="none"/>
          <w:lang w:eastAsia="zh-CN"/>
        </w:rPr>
        <w:t>，保证无废水排放，不会对水环境产生影响。</w:t>
      </w:r>
    </w:p>
    <w:p w14:paraId="4C0F6A3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）施工导流水</w:t>
      </w:r>
    </w:p>
    <w:p w14:paraId="0CFAEE0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工程施工前将水体导流至下游，不改变下游水体水质，对下游水环境影响较小。</w:t>
      </w:r>
    </w:p>
    <w:p w14:paraId="2697F49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生活污水</w:t>
      </w:r>
    </w:p>
    <w:p w14:paraId="620804A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工程施工高峰期每天作业人员约</w:t>
      </w:r>
      <w:r>
        <w:rPr>
          <w:rFonts w:hint="default" w:ascii="Times New Roman" w:hAnsi="Times New Roman"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人，</w:t>
      </w:r>
      <w:r>
        <w:rPr>
          <w:rFonts w:hint="default" w:ascii="Times New Roman" w:hAnsi="Times New Roman" w:cs="Times New Roman"/>
          <w:color w:val="auto"/>
          <w:kern w:val="2"/>
          <w:sz w:val="24"/>
          <w:szCs w:val="24"/>
          <w:highlight w:val="none"/>
        </w:rPr>
        <w:t>则施工人员生活</w:t>
      </w:r>
      <w:r>
        <w:rPr>
          <w:rFonts w:hint="eastAsia" w:cs="Times New Roman"/>
          <w:color w:val="auto"/>
          <w:kern w:val="2"/>
          <w:sz w:val="24"/>
          <w:szCs w:val="24"/>
          <w:highlight w:val="none"/>
          <w:lang w:eastAsia="zh-CN"/>
        </w:rPr>
        <w:t>污水</w:t>
      </w:r>
      <w:r>
        <w:rPr>
          <w:rFonts w:hint="default" w:ascii="Times New Roman" w:hAnsi="Times New Roman" w:cs="Times New Roman"/>
          <w:color w:val="auto"/>
          <w:kern w:val="2"/>
          <w:sz w:val="24"/>
          <w:szCs w:val="24"/>
          <w:highlight w:val="none"/>
        </w:rPr>
        <w:t>量为</w:t>
      </w:r>
      <w:r>
        <w:rPr>
          <w:rFonts w:hint="eastAsia" w:cs="Times New Roman"/>
          <w:color w:val="auto"/>
          <w:kern w:val="2"/>
          <w:sz w:val="24"/>
          <w:szCs w:val="24"/>
          <w:highlight w:val="none"/>
          <w:lang w:val="en-US" w:eastAsia="zh-CN"/>
        </w:rPr>
        <w:t>4.8</w:t>
      </w:r>
      <w:r>
        <w:rPr>
          <w:rFonts w:hint="default" w:ascii="Times New Roman" w:hAnsi="Times New Roman" w:cs="Times New Roman"/>
          <w:color w:val="auto"/>
          <w:kern w:val="2"/>
          <w:sz w:val="24"/>
          <w:szCs w:val="24"/>
          <w:highlight w:val="none"/>
        </w:rPr>
        <w:t>m</w:t>
      </w:r>
      <w:r>
        <w:rPr>
          <w:rFonts w:hint="default" w:ascii="Times New Roman" w:hAnsi="Times New Roman" w:cs="Times New Roman"/>
          <w:color w:val="auto"/>
          <w:kern w:val="2"/>
          <w:sz w:val="24"/>
          <w:szCs w:val="24"/>
          <w:highlight w:val="none"/>
          <w:vertAlign w:val="superscript"/>
        </w:rPr>
        <w:t>3</w:t>
      </w:r>
      <w:r>
        <w:rPr>
          <w:rFonts w:hint="default" w:ascii="Times New Roman" w:hAnsi="Times New Roman" w:cs="Times New Roman"/>
          <w:color w:val="auto"/>
          <w:kern w:val="2"/>
          <w:sz w:val="24"/>
          <w:szCs w:val="24"/>
          <w:highlight w:val="none"/>
        </w:rPr>
        <w:t>/d，污染物浓度COD：400mg/L，BOD</w:t>
      </w:r>
      <w:r>
        <w:rPr>
          <w:rFonts w:hint="default" w:ascii="Times New Roman" w:hAnsi="Times New Roman" w:cs="Times New Roman"/>
          <w:color w:val="auto"/>
          <w:kern w:val="2"/>
          <w:sz w:val="24"/>
          <w:szCs w:val="24"/>
          <w:highlight w:val="none"/>
          <w:vertAlign w:val="subscript"/>
        </w:rPr>
        <w:t>5</w:t>
      </w:r>
      <w:r>
        <w:rPr>
          <w:rFonts w:hint="eastAsia" w:cs="Times New Roman"/>
          <w:color w:val="auto"/>
          <w:kern w:val="2"/>
          <w:sz w:val="24"/>
          <w:szCs w:val="24"/>
          <w:highlight w:val="none"/>
          <w:vertAlign w:val="subscript"/>
          <w:lang w:eastAsia="zh-CN"/>
        </w:rPr>
        <w:t>:</w:t>
      </w:r>
      <w:r>
        <w:rPr>
          <w:rFonts w:hint="default" w:ascii="Times New Roman" w:hAnsi="Times New Roman" w:cs="Times New Roman"/>
          <w:color w:val="auto"/>
          <w:kern w:val="2"/>
          <w:sz w:val="24"/>
          <w:szCs w:val="24"/>
          <w:highlight w:val="none"/>
        </w:rPr>
        <w:t>250mg/L，NH</w:t>
      </w:r>
      <w:r>
        <w:rPr>
          <w:rFonts w:hint="default" w:ascii="Times New Roman" w:hAnsi="Times New Roman" w:cs="Times New Roman"/>
          <w:color w:val="auto"/>
          <w:kern w:val="2"/>
          <w:sz w:val="24"/>
          <w:szCs w:val="24"/>
          <w:highlight w:val="none"/>
          <w:vertAlign w:val="subscript"/>
        </w:rPr>
        <w:t>3</w:t>
      </w:r>
      <w:r>
        <w:rPr>
          <w:rFonts w:hint="default" w:ascii="Times New Roman" w:hAnsi="Times New Roman" w:cs="Times New Roman"/>
          <w:color w:val="auto"/>
          <w:kern w:val="2"/>
          <w:sz w:val="24"/>
          <w:szCs w:val="24"/>
          <w:highlight w:val="none"/>
        </w:rPr>
        <w:t>-N：30 mg/L，SS：220mg/L。</w:t>
      </w:r>
      <w:r>
        <w:rPr>
          <w:rFonts w:hint="default" w:ascii="Times New Roman" w:hAnsi="Times New Roman" w:cs="Times New Roman"/>
          <w:color w:val="auto"/>
          <w:sz w:val="24"/>
          <w:szCs w:val="24"/>
          <w:highlight w:val="none"/>
          <w:lang w:eastAsia="zh-CN"/>
        </w:rPr>
        <w:t>项目施工人员租用附近民房，生活污水依托民房旱厕，定期清掏用于</w:t>
      </w:r>
      <w:r>
        <w:rPr>
          <w:rFonts w:hint="eastAsia" w:cs="Times New Roman"/>
          <w:color w:val="auto"/>
          <w:sz w:val="24"/>
          <w:szCs w:val="24"/>
          <w:highlight w:val="none"/>
          <w:lang w:eastAsia="zh-CN"/>
        </w:rPr>
        <w:t>农肥</w:t>
      </w:r>
      <w:r>
        <w:rPr>
          <w:rFonts w:hint="default" w:ascii="Times New Roman" w:hAnsi="Times New Roman" w:cs="Times New Roman"/>
          <w:color w:val="auto"/>
          <w:sz w:val="24"/>
          <w:szCs w:val="24"/>
          <w:highlight w:val="none"/>
          <w:lang w:eastAsia="zh-CN"/>
        </w:rPr>
        <w:t>。</w:t>
      </w:r>
    </w:p>
    <w:p w14:paraId="69F0723D">
      <w:pPr>
        <w:pStyle w:val="7"/>
        <w:bidi w:val="0"/>
        <w:rPr>
          <w:rFonts w:hint="eastAsia" w:ascii="Times New Roman" w:hAnsi="Times New Roman" w:cs="Times New Roman"/>
          <w:color w:val="auto"/>
          <w:sz w:val="28"/>
          <w:szCs w:val="28"/>
          <w:highlight w:val="none"/>
          <w:lang w:val="en-US" w:eastAsia="zh-CN"/>
        </w:rPr>
      </w:pPr>
      <w:bookmarkStart w:id="5540" w:name="_Toc24251"/>
      <w:bookmarkStart w:id="5541" w:name="_Toc10215"/>
      <w:r>
        <w:rPr>
          <w:rFonts w:hint="default" w:ascii="Times New Roman" w:hAnsi="Times New Roman" w:cs="Times New Roman"/>
          <w:color w:val="auto"/>
          <w:sz w:val="28"/>
          <w:szCs w:val="28"/>
          <w:highlight w:val="none"/>
          <w:lang w:eastAsia="zh-CN"/>
        </w:rPr>
        <w:t>6.2.</w:t>
      </w:r>
      <w:r>
        <w:rPr>
          <w:rFonts w:hint="eastAsia" w:ascii="Times New Roman" w:hAnsi="Times New Roman" w:cs="Times New Roman"/>
          <w:color w:val="auto"/>
          <w:sz w:val="28"/>
          <w:szCs w:val="28"/>
          <w:highlight w:val="none"/>
          <w:lang w:val="en-US" w:eastAsia="zh-CN"/>
        </w:rPr>
        <w:t>1.3对水文情势的影响</w:t>
      </w:r>
    </w:p>
    <w:p w14:paraId="76961AD8">
      <w:pPr>
        <w:keepNext w:val="0"/>
        <w:keepLines w:val="0"/>
        <w:pageBreakBefore w:val="0"/>
        <w:widowControl w:val="0"/>
        <w:numPr>
          <w:ilvl w:val="0"/>
          <w:numId w:val="9"/>
        </w:numPr>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对水质的影响</w:t>
      </w:r>
    </w:p>
    <w:p w14:paraId="3E6BA4B2">
      <w:pPr>
        <w:keepNext w:val="0"/>
        <w:keepLines w:val="0"/>
        <w:pageBreakBefore w:val="0"/>
        <w:widowControl w:val="0"/>
        <w:kinsoku/>
        <w:wordWrap/>
        <w:overflowPunct/>
        <w:topLinePunct w:val="0"/>
        <w:autoSpaceDE/>
        <w:autoSpaceDN/>
        <w:bidi w:val="0"/>
        <w:adjustRightInd w:val="0"/>
        <w:snapToGrid w:val="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工程清淤及河道疏浚将石头崾岘水库及小河段部分河道水体排空并导流至下游。石头崾岘水库为河道型水库，位于茹河河道内，水质与茹河水质相同。导流过程大量水体涌入下游水体，将会短时间对下游水体进行扰动，增加河道水量及流速，部分河底沉积物及泥沙将被搅动，透明度及SS浓度会短暂升高。考虑到排水时间较短，随着河道水流流动趋于平稳，泥沙再次沉淀至河底，影响也将随之消失。</w:t>
      </w:r>
    </w:p>
    <w:p w14:paraId="5B935E40">
      <w:pPr>
        <w:keepNext w:val="0"/>
        <w:keepLines w:val="0"/>
        <w:pageBreakBefore w:val="0"/>
        <w:widowControl w:val="0"/>
        <w:numPr>
          <w:ilvl w:val="0"/>
          <w:numId w:val="9"/>
        </w:numPr>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对水温影响</w:t>
      </w:r>
    </w:p>
    <w:p w14:paraId="5916E31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石头崾岘水库为河道型水库，位于茹河河道内，水温均为当地地表水温度，施工过程茹河小河段及川口河段水温不发生变化。</w:t>
      </w:r>
    </w:p>
    <w:p w14:paraId="08BFC203">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对受水区影响</w:t>
      </w:r>
    </w:p>
    <w:p w14:paraId="5B870153">
      <w:pPr>
        <w:keepNext w:val="0"/>
        <w:keepLines w:val="0"/>
        <w:pageBreakBefore w:val="0"/>
        <w:widowControl/>
        <w:suppressLineNumbers w:val="0"/>
        <w:kinsoku/>
        <w:wordWrap/>
        <w:overflowPunct/>
        <w:topLinePunct w:val="0"/>
        <w:autoSpaceDE/>
        <w:autoSpaceDN/>
        <w:bidi w:val="0"/>
        <w:adjustRightInd w:val="0"/>
        <w:snapToGrid w:val="0"/>
        <w:jc w:val="left"/>
        <w:textAlignment w:val="auto"/>
        <w:rPr>
          <w:color w:val="auto"/>
          <w:highlight w:val="none"/>
        </w:rPr>
      </w:pPr>
      <w:r>
        <w:rPr>
          <w:rFonts w:ascii="宋体" w:hAnsi="宋体" w:eastAsia="宋体" w:cs="宋体"/>
          <w:color w:val="auto"/>
          <w:kern w:val="0"/>
          <w:sz w:val="24"/>
          <w:szCs w:val="24"/>
          <w:highlight w:val="none"/>
          <w:lang w:val="en-US" w:eastAsia="zh-CN" w:bidi="ar"/>
        </w:rPr>
        <w:t>清淤及清空库区主要对受水区产生影响。</w:t>
      </w:r>
      <w:r>
        <w:rPr>
          <w:rFonts w:hint="eastAsia" w:ascii="宋体" w:hAnsi="宋体" w:eastAsia="宋体" w:cs="宋体"/>
          <w:color w:val="auto"/>
          <w:kern w:val="0"/>
          <w:sz w:val="24"/>
          <w:szCs w:val="24"/>
          <w:highlight w:val="none"/>
          <w:lang w:val="en-US" w:eastAsia="zh-CN" w:bidi="ar"/>
        </w:rPr>
        <w:t>目前石头崾岘水库并未承担彭阳县的引用及灌溉功能，不会影响</w:t>
      </w:r>
      <w:r>
        <w:rPr>
          <w:rFonts w:ascii="宋体" w:hAnsi="宋体" w:eastAsia="宋体" w:cs="宋体"/>
          <w:color w:val="auto"/>
          <w:kern w:val="0"/>
          <w:sz w:val="24"/>
          <w:szCs w:val="24"/>
          <w:highlight w:val="none"/>
          <w:lang w:val="en-US" w:eastAsia="zh-CN" w:bidi="ar"/>
        </w:rPr>
        <w:t>下游生活用水、农业灌溉、工业生产</w:t>
      </w:r>
      <w:r>
        <w:rPr>
          <w:rFonts w:hint="eastAsia" w:ascii="宋体" w:hAnsi="宋体" w:eastAsia="宋体" w:cs="宋体"/>
          <w:color w:val="auto"/>
          <w:kern w:val="0"/>
          <w:sz w:val="24"/>
          <w:szCs w:val="24"/>
          <w:highlight w:val="none"/>
          <w:lang w:val="en-US" w:eastAsia="zh-CN" w:bidi="ar"/>
        </w:rPr>
        <w:t>等</w:t>
      </w:r>
      <w:r>
        <w:rPr>
          <w:rFonts w:ascii="宋体" w:hAnsi="宋体" w:eastAsia="宋体" w:cs="宋体"/>
          <w:color w:val="auto"/>
          <w:kern w:val="0"/>
          <w:sz w:val="24"/>
          <w:szCs w:val="24"/>
          <w:highlight w:val="none"/>
          <w:lang w:val="en-US" w:eastAsia="zh-CN" w:bidi="ar"/>
        </w:rPr>
        <w:t>。生态方面，受水区河道生态流量无法得到水库补给，天然径流不足时易出现河道断流、水位走低，导致湿地萎缩、水生生物生存空间压缩，河岸植被枯萎，破坏生态系统完整性，但这种影响</w:t>
      </w:r>
      <w:r>
        <w:rPr>
          <w:rFonts w:hint="eastAsia" w:ascii="宋体" w:hAnsi="宋体" w:eastAsia="宋体" w:cs="宋体"/>
          <w:color w:val="auto"/>
          <w:kern w:val="0"/>
          <w:sz w:val="24"/>
          <w:szCs w:val="24"/>
          <w:highlight w:val="none"/>
          <w:lang w:val="en-US" w:eastAsia="zh-CN" w:bidi="ar"/>
        </w:rPr>
        <w:t>是短暂的，</w:t>
      </w:r>
      <w:r>
        <w:rPr>
          <w:rFonts w:ascii="宋体" w:hAnsi="宋体" w:eastAsia="宋体" w:cs="宋体"/>
          <w:color w:val="auto"/>
          <w:kern w:val="0"/>
          <w:sz w:val="24"/>
          <w:szCs w:val="24"/>
          <w:highlight w:val="none"/>
          <w:lang w:val="en-US" w:eastAsia="zh-CN" w:bidi="ar"/>
        </w:rPr>
        <w:t>随疏浚后过流能力提升、水体自净能力增强而逐步缓解。长期来看，清淤可进一步巩固水库库容，提升调蓄能力与供水稳定性，结合底泥污染清除的正向作用，能持续改善水体水质，同时增强水库调洪削峰能力，降低下游防洪压力，后续通过生态调度可重塑河道水文节律，促进水生生物群落恢复。</w:t>
      </w:r>
    </w:p>
    <w:p w14:paraId="469F8958">
      <w:pPr>
        <w:keepNext w:val="0"/>
        <w:keepLines w:val="0"/>
        <w:pageBreakBefore w:val="0"/>
        <w:widowControl w:val="0"/>
        <w:numPr>
          <w:ilvl w:val="0"/>
          <w:numId w:val="9"/>
        </w:numPr>
        <w:kinsoku/>
        <w:wordWrap/>
        <w:overflowPunct/>
        <w:topLinePunct w:val="0"/>
        <w:autoSpaceDE/>
        <w:autoSpaceDN/>
        <w:bidi w:val="0"/>
        <w:adjustRightInd w:val="0"/>
        <w:snapToGrid w:val="0"/>
        <w:ind w:left="0" w:leftChars="0" w:firstLine="480" w:firstLineChars="20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对退水区影响</w:t>
      </w:r>
    </w:p>
    <w:p w14:paraId="671EBC1A">
      <w:pPr>
        <w:keepNext w:val="0"/>
        <w:keepLines w:val="0"/>
        <w:pageBreakBefore w:val="0"/>
        <w:widowControl/>
        <w:suppressLineNumbers w:val="0"/>
        <w:kinsoku/>
        <w:wordWrap/>
        <w:overflowPunct/>
        <w:topLinePunct w:val="0"/>
        <w:autoSpaceDE/>
        <w:autoSpaceDN/>
        <w:bidi w:val="0"/>
        <w:adjustRightInd w:val="0"/>
        <w:snapToGrid w:val="0"/>
        <w:jc w:val="left"/>
        <w:textAlignment w:val="auto"/>
        <w:rPr>
          <w:color w:val="auto"/>
          <w:highlight w:val="none"/>
        </w:rPr>
      </w:pPr>
      <w:r>
        <w:rPr>
          <w:rFonts w:ascii="宋体" w:hAnsi="宋体" w:eastAsia="宋体" w:cs="宋体"/>
          <w:color w:val="auto"/>
          <w:kern w:val="0"/>
          <w:sz w:val="24"/>
          <w:szCs w:val="24"/>
          <w:highlight w:val="none"/>
          <w:lang w:val="en-US" w:eastAsia="zh-CN" w:bidi="ar"/>
        </w:rPr>
        <w:t>水库清淤施工中，临时将库区内水导流至下游河道，会对退水区域产生短期动态影响，核心源于</w:t>
      </w:r>
      <w:r>
        <w:rPr>
          <w:rFonts w:hint="eastAsia" w:ascii="宋体" w:hAnsi="宋体" w:eastAsia="宋体" w:cs="宋体"/>
          <w:color w:val="auto"/>
          <w:kern w:val="0"/>
          <w:sz w:val="24"/>
          <w:szCs w:val="24"/>
          <w:highlight w:val="none"/>
          <w:lang w:val="en-US" w:eastAsia="zh-CN" w:bidi="ar"/>
        </w:rPr>
        <w:t>河道</w:t>
      </w:r>
      <w:r>
        <w:rPr>
          <w:rFonts w:ascii="宋体" w:hAnsi="宋体" w:eastAsia="宋体" w:cs="宋体"/>
          <w:color w:val="auto"/>
          <w:kern w:val="0"/>
          <w:sz w:val="24"/>
          <w:szCs w:val="24"/>
          <w:highlight w:val="none"/>
          <w:lang w:val="en-US" w:eastAsia="zh-CN" w:bidi="ar"/>
        </w:rPr>
        <w:t>流量、流速的突变。本工程建设对水环境的影响主要表现为施工活动对局部水环境的扰动，影响污染物以悬浮物（SS）为主，河道疏浚仅改变茹河河道局部河势，水库清淤仅对库底进行局部扰动，不会改变石头崾岘水库容积、水深等核心条件。水文情势方面，导流将导致茹河川口河段、小河段上游及下游水流扩散规律发生一定变化，但整体影响非常有限；水质层面，水流扰动携带的底泥颗粒是SS</w:t>
      </w:r>
      <w:r>
        <w:rPr>
          <w:rFonts w:hint="eastAsia" w:ascii="宋体" w:hAnsi="宋体" w:eastAsia="宋体" w:cs="宋体"/>
          <w:color w:val="auto"/>
          <w:kern w:val="0"/>
          <w:sz w:val="24"/>
          <w:szCs w:val="24"/>
          <w:highlight w:val="none"/>
          <w:lang w:val="en-US" w:eastAsia="zh-CN" w:bidi="ar"/>
        </w:rPr>
        <w:t>浓度升高</w:t>
      </w:r>
      <w:r>
        <w:rPr>
          <w:rFonts w:ascii="宋体" w:hAnsi="宋体" w:eastAsia="宋体" w:cs="宋体"/>
          <w:color w:val="auto"/>
          <w:kern w:val="0"/>
          <w:sz w:val="24"/>
          <w:szCs w:val="24"/>
          <w:highlight w:val="none"/>
          <w:lang w:val="en-US" w:eastAsia="zh-CN" w:bidi="ar"/>
        </w:rPr>
        <w:t>的主要原因，促使底泥中富集的氮磷营养盐等污染物重新释放，而库底清淤恰好能减少这类营养物质再悬浮回水库及河流水体，形成正向补偿。</w:t>
      </w:r>
      <w:r>
        <w:rPr>
          <w:rFonts w:hint="eastAsia" w:ascii="宋体" w:hAnsi="宋体" w:eastAsia="宋体" w:cs="宋体"/>
          <w:color w:val="auto"/>
          <w:kern w:val="0"/>
          <w:sz w:val="24"/>
          <w:szCs w:val="24"/>
          <w:highlight w:val="none"/>
          <w:lang w:val="en-US" w:eastAsia="zh-CN" w:bidi="ar"/>
        </w:rPr>
        <w:t>水生态</w:t>
      </w:r>
      <w:r>
        <w:rPr>
          <w:rFonts w:ascii="宋体" w:hAnsi="宋体" w:eastAsia="宋体" w:cs="宋体"/>
          <w:color w:val="auto"/>
          <w:kern w:val="0"/>
          <w:sz w:val="24"/>
          <w:szCs w:val="24"/>
          <w:highlight w:val="none"/>
          <w:lang w:val="en-US" w:eastAsia="zh-CN" w:bidi="ar"/>
        </w:rPr>
        <w:t>方面，流速水质突变会短暂破坏水生生物栖息环境、干扰生物繁殖洄游，同时高流速水流可能造成河道冲刷淤积失衡，冲击沿岸设施，但结合疏浚工程来看，其能提高茹河过流能力，加快水流流速，逐步提升水体自净能力，整体不会对相关河段及水库水文情势产生不利影响。</w:t>
      </w:r>
    </w:p>
    <w:p w14:paraId="69840EFA">
      <w:pPr>
        <w:pStyle w:val="6"/>
        <w:bidi w:val="0"/>
        <w:rPr>
          <w:rFonts w:hint="default" w:ascii="Times New Roman" w:hAnsi="Times New Roman" w:cs="Times New Roman"/>
          <w:color w:val="auto"/>
          <w:sz w:val="28"/>
          <w:szCs w:val="28"/>
          <w:highlight w:val="none"/>
          <w:lang w:eastAsia="zh-CN"/>
        </w:rPr>
      </w:pPr>
      <w:bookmarkStart w:id="5542" w:name="_Toc5522"/>
      <w:r>
        <w:rPr>
          <w:rFonts w:hint="eastAsia" w:cs="Times New Roman"/>
          <w:color w:val="auto"/>
          <w:sz w:val="28"/>
          <w:szCs w:val="28"/>
          <w:highlight w:val="none"/>
          <w:lang w:val="en-US" w:eastAsia="zh-CN"/>
        </w:rPr>
        <w:t>6.2.2</w:t>
      </w:r>
      <w:r>
        <w:rPr>
          <w:rFonts w:hint="default" w:ascii="Times New Roman" w:hAnsi="Times New Roman" w:cs="Times New Roman"/>
          <w:color w:val="auto"/>
          <w:sz w:val="28"/>
          <w:szCs w:val="28"/>
          <w:highlight w:val="none"/>
          <w:lang w:eastAsia="zh-CN"/>
        </w:rPr>
        <w:t>运营期水环境影响评价</w:t>
      </w:r>
      <w:bookmarkEnd w:id="5540"/>
      <w:bookmarkEnd w:id="5541"/>
      <w:bookmarkEnd w:id="5542"/>
    </w:p>
    <w:p w14:paraId="351CAB3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val="en-US" w:eastAsia="zh-CN"/>
        </w:rPr>
      </w:pPr>
      <w:bookmarkStart w:id="5543" w:name="_Toc19379"/>
      <w:bookmarkStart w:id="5544" w:name="_Toc13273"/>
      <w:r>
        <w:rPr>
          <w:rFonts w:hint="eastAsia" w:cs="Times New Roman"/>
          <w:color w:val="auto"/>
          <w:sz w:val="24"/>
          <w:szCs w:val="24"/>
          <w:highlight w:val="none"/>
          <w:lang w:val="en-US" w:eastAsia="zh-CN"/>
        </w:rPr>
        <w:t>（1）水面面积</w:t>
      </w:r>
    </w:p>
    <w:p w14:paraId="28FCB76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①水库水面</w:t>
      </w:r>
    </w:p>
    <w:p w14:paraId="794602B5">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项目对石头崾岘水库进行清淤，不改变水库形状，因此运营期水库蓄水后水面面积不发生变化。</w:t>
      </w:r>
    </w:p>
    <w:p w14:paraId="7834D384">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②河道水面</w:t>
      </w:r>
    </w:p>
    <w:p w14:paraId="0F94717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项目对茹河小河段河道进行疏浚，</w:t>
      </w:r>
      <w:r>
        <w:rPr>
          <w:bCs/>
          <w:color w:val="auto"/>
          <w:sz w:val="24"/>
          <w:highlight w:val="none"/>
        </w:rPr>
        <w:t>疏浚河道9.43km（K7+650-K13+350、K14+500-K18+225）</w:t>
      </w:r>
      <w:r>
        <w:rPr>
          <w:rFonts w:hint="eastAsia"/>
          <w:bCs/>
          <w:color w:val="auto"/>
          <w:sz w:val="24"/>
          <w:highlight w:val="none"/>
          <w:lang w:eastAsia="zh-CN"/>
        </w:rPr>
        <w:t>，</w:t>
      </w:r>
      <w:r>
        <w:rPr>
          <w:rFonts w:hint="eastAsia" w:eastAsia="宋体" w:cs="Times New Roman"/>
          <w:color w:val="auto"/>
          <w:sz w:val="24"/>
          <w:szCs w:val="24"/>
          <w:highlight w:val="none"/>
          <w:lang w:val="en-US" w:eastAsia="zh-CN"/>
        </w:rPr>
        <w:t>部分河道进行修整，修整后河道</w:t>
      </w:r>
      <w:r>
        <w:rPr>
          <w:bCs/>
          <w:color w:val="auto"/>
          <w:sz w:val="24"/>
          <w:highlight w:val="none"/>
        </w:rPr>
        <w:t>平均河宽14m-54m</w:t>
      </w:r>
      <w:r>
        <w:rPr>
          <w:rFonts w:hint="eastAsia"/>
          <w:bCs/>
          <w:color w:val="auto"/>
          <w:sz w:val="24"/>
          <w:highlight w:val="none"/>
          <w:lang w:eastAsia="zh-CN"/>
        </w:rPr>
        <w:t>。河道水面较现状有所增大，但均在河道范围内。</w:t>
      </w:r>
    </w:p>
    <w:p w14:paraId="044674E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（2）水质</w:t>
      </w:r>
    </w:p>
    <w:p w14:paraId="7186213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lang w:val="en-US" w:eastAsia="zh-CN"/>
        </w:rPr>
      </w:pPr>
      <w:r>
        <w:rPr>
          <w:rFonts w:hint="eastAsia"/>
          <w:color w:val="auto"/>
          <w:highlight w:val="none"/>
          <w:lang w:val="en-US" w:eastAsia="zh-CN"/>
        </w:rPr>
        <w:t>施工结束后，上游河水正常流入水库、下游小河段及川口河段，因此水质不发生变化。</w:t>
      </w:r>
    </w:p>
    <w:p w14:paraId="56A7782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（3）水深及库容</w:t>
      </w:r>
    </w:p>
    <w:p w14:paraId="6F84B597">
      <w:pPr>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highlight w:val="none"/>
          <w:lang w:val="en-US" w:eastAsia="zh-CN"/>
        </w:rPr>
      </w:pPr>
      <w:r>
        <w:rPr>
          <w:rFonts w:hint="eastAsia"/>
          <w:color w:val="auto"/>
          <w:highlight w:val="none"/>
          <w:lang w:val="en-US" w:eastAsia="zh-CN"/>
        </w:rPr>
        <w:t>由于水库清淤平均深度为2.5m,清淤后水库有效库容增大120万m</w:t>
      </w:r>
      <w:r>
        <w:rPr>
          <w:rFonts w:hint="eastAsia"/>
          <w:color w:val="auto"/>
          <w:highlight w:val="none"/>
          <w:vertAlign w:val="superscript"/>
          <w:lang w:val="en-US" w:eastAsia="zh-CN"/>
        </w:rPr>
        <w:t>3</w:t>
      </w:r>
      <w:r>
        <w:rPr>
          <w:rFonts w:hint="eastAsia"/>
          <w:color w:val="auto"/>
          <w:highlight w:val="none"/>
          <w:lang w:val="en-US" w:eastAsia="zh-CN"/>
        </w:rPr>
        <w:t>，水库</w:t>
      </w:r>
      <w:r>
        <w:rPr>
          <w:rFonts w:hint="eastAsia" w:eastAsia="宋体"/>
          <w:color w:val="auto"/>
          <w:highlight w:val="none"/>
          <w:lang w:val="en-US" w:eastAsia="zh-CN"/>
        </w:rPr>
        <w:t>平均水深提升2.5m。河道疏浚后水深平均提升0.5-1m。</w:t>
      </w:r>
    </w:p>
    <w:p w14:paraId="0829482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（4）水温</w:t>
      </w:r>
    </w:p>
    <w:p w14:paraId="7B54AD8C">
      <w:pPr>
        <w:numPr>
          <w:ilvl w:val="0"/>
          <w:numId w:val="0"/>
        </w:numPr>
        <w:ind w:leftChars="200"/>
        <w:rPr>
          <w:rFonts w:hint="eastAsia"/>
          <w:color w:val="auto"/>
          <w:highlight w:val="none"/>
          <w:lang w:val="en-US" w:eastAsia="zh-CN"/>
        </w:rPr>
      </w:pPr>
      <w:r>
        <w:rPr>
          <w:rFonts w:hint="eastAsia"/>
          <w:color w:val="auto"/>
          <w:highlight w:val="none"/>
          <w:lang w:val="en-US" w:eastAsia="zh-CN"/>
        </w:rPr>
        <w:t>①水库水温</w:t>
      </w:r>
    </w:p>
    <w:p w14:paraId="284A392A">
      <w:pPr>
        <w:rPr>
          <w:rFonts w:hint="default"/>
          <w:color w:val="auto"/>
          <w:szCs w:val="24"/>
          <w:highlight w:val="none"/>
          <w:lang w:val="en-US" w:eastAsia="zh-CN"/>
        </w:rPr>
      </w:pPr>
      <w:r>
        <w:rPr>
          <w:rFonts w:hint="eastAsia"/>
          <w:color w:val="auto"/>
          <w:szCs w:val="24"/>
          <w:highlight w:val="none"/>
          <w:lang w:val="en-US" w:eastAsia="zh-CN"/>
        </w:rPr>
        <w:t>A.水温预测</w:t>
      </w:r>
    </w:p>
    <w:p w14:paraId="0ECBB1BD">
      <w:pPr>
        <w:rPr>
          <w:snapToGrid w:val="0"/>
          <w:color w:val="auto"/>
          <w:szCs w:val="24"/>
          <w:highlight w:val="none"/>
        </w:rPr>
      </w:pPr>
      <w:r>
        <w:rPr>
          <w:color w:val="auto"/>
          <w:szCs w:val="24"/>
          <w:highlight w:val="none"/>
        </w:rPr>
        <w:t>根据《水电水利建设项目河道生态用水、低温水和过鱼设施环境影响评价技术指南（试行）》中的推荐公式</w:t>
      </w:r>
      <w:r>
        <w:rPr>
          <w:snapToGrid w:val="0"/>
          <w:color w:val="auto"/>
          <w:szCs w:val="24"/>
          <w:highlight w:val="none"/>
        </w:rPr>
        <w:t>判定大庄沟水库水温结构</w:t>
      </w:r>
      <w:r>
        <w:rPr>
          <w:color w:val="auto"/>
          <w:szCs w:val="24"/>
          <w:highlight w:val="none"/>
        </w:rPr>
        <w:t>。判别公示如下：</w:t>
      </w:r>
      <w:r>
        <w:rPr>
          <w:snapToGrid w:val="0"/>
          <w:color w:val="auto"/>
          <w:szCs w:val="24"/>
          <w:highlight w:val="none"/>
        </w:rPr>
        <w:t>。</w:t>
      </w:r>
    </w:p>
    <w:p w14:paraId="1D54BCEB">
      <w:pPr>
        <w:pStyle w:val="2"/>
        <w:ind w:firstLine="480"/>
        <w:jc w:val="center"/>
        <w:rPr>
          <w:color w:val="auto"/>
          <w:highlight w:val="none"/>
        </w:rPr>
      </w:pPr>
      <m:oMathPara>
        <m:oMath>
          <m:r>
            <m:rPr>
              <m:sty m:val="p"/>
            </m:rPr>
            <w:rPr>
              <w:rFonts w:ascii="Cambria Math" w:hAnsi="Cambria Math"/>
              <w:color w:val="auto"/>
              <w:highlight w:val="none"/>
            </w:rPr>
            <m:t>α=</m:t>
          </m:r>
          <m:f>
            <m:fPr>
              <m:ctrlPr>
                <w:rPr>
                  <w:rFonts w:ascii="Cambria Math" w:hAnsi="Cambria Math"/>
                  <w:color w:val="auto"/>
                  <w:highlight w:val="none"/>
                </w:rPr>
              </m:ctrlPr>
            </m:fPr>
            <m:num>
              <m:r>
                <m:rPr>
                  <m:sty m:val="p"/>
                </m:rPr>
                <w:rPr>
                  <w:rFonts w:ascii="Cambria Math" w:hAnsi="Cambria Math"/>
                  <w:color w:val="auto"/>
                  <w:highlight w:val="none"/>
                </w:rPr>
                <m:t>多年平均年径流量</m:t>
              </m:r>
              <m:ctrlPr>
                <w:rPr>
                  <w:rFonts w:ascii="Cambria Math" w:hAnsi="Cambria Math"/>
                  <w:color w:val="auto"/>
                  <w:highlight w:val="none"/>
                </w:rPr>
              </m:ctrlPr>
            </m:num>
            <m:den>
              <m:r>
                <m:rPr>
                  <m:sty m:val="p"/>
                </m:rPr>
                <w:rPr>
                  <w:rFonts w:ascii="Cambria Math" w:hAnsi="Cambria Math"/>
                  <w:color w:val="auto"/>
                  <w:highlight w:val="none"/>
                </w:rPr>
                <m:t>总库容</m:t>
              </m:r>
              <m:ctrlPr>
                <w:rPr>
                  <w:rFonts w:ascii="Cambria Math" w:hAnsi="Cambria Math"/>
                  <w:color w:val="auto"/>
                  <w:highlight w:val="none"/>
                </w:rPr>
              </m:ctrlPr>
            </m:den>
          </m:f>
        </m:oMath>
      </m:oMathPara>
    </w:p>
    <w:p w14:paraId="698ADDAA">
      <w:pPr>
        <w:jc w:val="center"/>
        <w:rPr>
          <w:color w:val="auto"/>
          <w:highlight w:val="none"/>
        </w:rPr>
      </w:pPr>
      <w:r>
        <w:rPr>
          <w:snapToGrid w:val="0"/>
          <w:color w:val="auto"/>
          <w:szCs w:val="24"/>
          <w:highlight w:val="none"/>
        </w:rPr>
        <w:t>β</w:t>
      </w:r>
      <m:oMath>
        <m:r>
          <m:rPr>
            <m:sty m:val="p"/>
          </m:rPr>
          <w:rPr>
            <w:rFonts w:ascii="Cambria Math" w:hAnsi="Cambria Math"/>
            <w:color w:val="auto"/>
            <w:sz w:val="32"/>
            <w:highlight w:val="none"/>
          </w:rPr>
          <m:t>=</m:t>
        </m:r>
        <m:f>
          <m:fPr>
            <m:ctrlPr>
              <w:rPr>
                <w:rFonts w:ascii="Cambria Math" w:hAnsi="Cambria Math"/>
                <w:color w:val="auto"/>
                <w:sz w:val="32"/>
                <w:szCs w:val="36"/>
                <w:highlight w:val="none"/>
              </w:rPr>
            </m:ctrlPr>
          </m:fPr>
          <m:num>
            <m:r>
              <m:rPr>
                <m:sty m:val="p"/>
              </m:rPr>
              <w:rPr>
                <w:rFonts w:ascii="Cambria Math" w:hAnsi="Cambria Math"/>
                <w:color w:val="auto"/>
                <w:sz w:val="32"/>
                <w:szCs w:val="36"/>
                <w:highlight w:val="none"/>
              </w:rPr>
              <m:t>一次洪水总量</m:t>
            </m:r>
            <m:ctrlPr>
              <w:rPr>
                <w:rFonts w:ascii="Cambria Math" w:hAnsi="Cambria Math"/>
                <w:color w:val="auto"/>
                <w:sz w:val="32"/>
                <w:szCs w:val="36"/>
                <w:highlight w:val="none"/>
              </w:rPr>
            </m:ctrlPr>
          </m:num>
          <m:den>
            <m:r>
              <m:rPr>
                <m:sty m:val="p"/>
              </m:rPr>
              <w:rPr>
                <w:rFonts w:ascii="Cambria Math" w:hAnsi="Cambria Math"/>
                <w:color w:val="auto"/>
                <w:sz w:val="32"/>
                <w:szCs w:val="36"/>
                <w:highlight w:val="none"/>
              </w:rPr>
              <m:t>总库容</m:t>
            </m:r>
            <m:ctrlPr>
              <w:rPr>
                <w:rFonts w:ascii="Cambria Math" w:hAnsi="Cambria Math"/>
                <w:color w:val="auto"/>
                <w:sz w:val="32"/>
                <w:szCs w:val="36"/>
                <w:highlight w:val="none"/>
              </w:rPr>
            </m:ctrlPr>
          </m:den>
        </m:f>
      </m:oMath>
    </w:p>
    <w:p w14:paraId="2ED0E147">
      <w:pPr>
        <w:rPr>
          <w:color w:val="auto"/>
          <w:szCs w:val="24"/>
          <w:highlight w:val="none"/>
        </w:rPr>
      </w:pPr>
      <w:r>
        <w:rPr>
          <w:color w:val="auto"/>
          <w:szCs w:val="24"/>
          <w:highlight w:val="none"/>
        </w:rPr>
        <w:t>当</w:t>
      </w:r>
      <m:oMath>
        <m:r>
          <m:rPr>
            <m:sty m:val="p"/>
          </m:rPr>
          <w:rPr>
            <w:rFonts w:ascii="Cambria Math" w:hAnsi="Cambria Math"/>
            <w:color w:val="auto"/>
            <w:highlight w:val="none"/>
          </w:rPr>
          <m:t>α</m:t>
        </m:r>
      </m:oMath>
      <w:r>
        <w:rPr>
          <w:rFonts w:eastAsia="TimesNewRomanPSMT"/>
          <w:color w:val="auto"/>
          <w:szCs w:val="24"/>
          <w:highlight w:val="none"/>
        </w:rPr>
        <w:t>&lt;10</w:t>
      </w:r>
      <w:r>
        <w:rPr>
          <w:color w:val="auto"/>
          <w:szCs w:val="24"/>
          <w:highlight w:val="none"/>
        </w:rPr>
        <w:t>时水库为分层型；</w:t>
      </w:r>
      <m:oMath>
        <m:r>
          <m:rPr>
            <m:sty m:val="p"/>
          </m:rPr>
          <w:rPr>
            <w:rFonts w:ascii="Cambria Math" w:hAnsi="Cambria Math"/>
            <w:color w:val="auto"/>
            <w:highlight w:val="none"/>
          </w:rPr>
          <m:t>α</m:t>
        </m:r>
      </m:oMath>
      <w:r>
        <w:rPr>
          <w:rFonts w:eastAsia="TimesNewRomanPSMT"/>
          <w:color w:val="auto"/>
          <w:szCs w:val="24"/>
          <w:highlight w:val="none"/>
        </w:rPr>
        <w:t xml:space="preserve">&gt;20 </w:t>
      </w:r>
      <w:r>
        <w:rPr>
          <w:color w:val="auto"/>
          <w:szCs w:val="24"/>
          <w:highlight w:val="none"/>
        </w:rPr>
        <w:t>时水库为混合型；</w:t>
      </w:r>
      <w:r>
        <w:rPr>
          <w:rFonts w:eastAsia="TimesNewRomanPSMT"/>
          <w:color w:val="auto"/>
          <w:szCs w:val="24"/>
          <w:highlight w:val="none"/>
        </w:rPr>
        <w:t>10&lt;</w:t>
      </w:r>
      <m:oMath>
        <m:r>
          <m:rPr>
            <m:sty m:val="p"/>
          </m:rPr>
          <w:rPr>
            <w:rFonts w:ascii="Cambria Math" w:hAnsi="Cambria Math"/>
            <w:color w:val="auto"/>
            <w:highlight w:val="none"/>
          </w:rPr>
          <m:t>α</m:t>
        </m:r>
      </m:oMath>
      <w:r>
        <w:rPr>
          <w:rFonts w:eastAsia="TimesNewRomanPSMT"/>
          <w:color w:val="auto"/>
          <w:szCs w:val="24"/>
          <w:highlight w:val="none"/>
        </w:rPr>
        <w:t xml:space="preserve">&lt;20 </w:t>
      </w:r>
      <w:r>
        <w:rPr>
          <w:color w:val="auto"/>
          <w:szCs w:val="24"/>
          <w:highlight w:val="none"/>
        </w:rPr>
        <w:t>时水库为过渡型。</w:t>
      </w:r>
    </w:p>
    <w:p w14:paraId="1AF5EE6D">
      <w:pPr>
        <w:rPr>
          <w:snapToGrid w:val="0"/>
          <w:color w:val="auto"/>
          <w:szCs w:val="24"/>
          <w:highlight w:val="none"/>
        </w:rPr>
      </w:pPr>
      <w:r>
        <w:rPr>
          <w:color w:val="auto"/>
          <w:szCs w:val="24"/>
          <w:highlight w:val="none"/>
        </w:rPr>
        <w:t>分层型水库如遇</w:t>
      </w:r>
      <w:r>
        <w:rPr>
          <w:snapToGrid w:val="0"/>
          <w:color w:val="auto"/>
          <w:szCs w:val="24"/>
          <w:highlight w:val="none"/>
        </w:rPr>
        <w:t>β</w:t>
      </w:r>
      <w:r>
        <w:rPr>
          <w:color w:val="auto"/>
          <w:szCs w:val="24"/>
          <w:highlight w:val="none"/>
        </w:rPr>
        <w:t>＞</w:t>
      </w:r>
      <w:r>
        <w:rPr>
          <w:rFonts w:eastAsia="TimesNewRomanPSMT"/>
          <w:color w:val="auto"/>
          <w:szCs w:val="24"/>
          <w:highlight w:val="none"/>
        </w:rPr>
        <w:t xml:space="preserve">1 </w:t>
      </w:r>
      <w:r>
        <w:rPr>
          <w:color w:val="auto"/>
          <w:szCs w:val="24"/>
          <w:highlight w:val="none"/>
        </w:rPr>
        <w:t>的大洪水，也往往成为临时的混合型；而</w:t>
      </w:r>
      <w:r>
        <w:rPr>
          <w:snapToGrid w:val="0"/>
          <w:color w:val="auto"/>
          <w:szCs w:val="24"/>
          <w:highlight w:val="none"/>
        </w:rPr>
        <w:t>β</w:t>
      </w:r>
      <w:r>
        <w:rPr>
          <w:color w:val="auto"/>
          <w:szCs w:val="24"/>
          <w:highlight w:val="none"/>
        </w:rPr>
        <w:t>＜</w:t>
      </w:r>
      <w:r>
        <w:rPr>
          <w:rFonts w:eastAsia="TimesNewRomanPSMT"/>
          <w:color w:val="auto"/>
          <w:szCs w:val="24"/>
          <w:highlight w:val="none"/>
        </w:rPr>
        <w:t xml:space="preserve">0.5 </w:t>
      </w:r>
      <w:r>
        <w:rPr>
          <w:color w:val="auto"/>
          <w:szCs w:val="24"/>
          <w:highlight w:val="none"/>
        </w:rPr>
        <w:t>的洪水，一般对水库的水温结构没有大的影响。</w:t>
      </w:r>
    </w:p>
    <w:p w14:paraId="5FA53C16">
      <w:pPr>
        <w:jc w:val="both"/>
        <w:rPr>
          <w:color w:val="auto"/>
          <w:szCs w:val="24"/>
          <w:highlight w:val="none"/>
        </w:rPr>
      </w:pPr>
      <w:r>
        <w:rPr>
          <w:rFonts w:hint="eastAsia"/>
          <w:snapToGrid w:val="0"/>
          <w:color w:val="auto"/>
          <w:szCs w:val="24"/>
          <w:highlight w:val="none"/>
          <w:lang w:eastAsia="zh-CN"/>
        </w:rPr>
        <w:t>石头崾岘水库</w:t>
      </w:r>
      <w:r>
        <w:rPr>
          <w:color w:val="auto"/>
          <w:sz w:val="24"/>
          <w:highlight w:val="none"/>
        </w:rPr>
        <w:t>现状总库容1400万m</w:t>
      </w:r>
      <w:r>
        <w:rPr>
          <w:color w:val="auto"/>
          <w:sz w:val="24"/>
          <w:highlight w:val="none"/>
          <w:vertAlign w:val="superscript"/>
        </w:rPr>
        <w:t>3</w:t>
      </w:r>
      <w:r>
        <w:rPr>
          <w:color w:val="auto"/>
          <w:sz w:val="24"/>
          <w:highlight w:val="none"/>
        </w:rPr>
        <w:t>，</w:t>
      </w:r>
      <w:r>
        <w:rPr>
          <w:rFonts w:hint="eastAsia"/>
          <w:color w:val="auto"/>
          <w:sz w:val="24"/>
          <w:highlight w:val="none"/>
          <w:lang w:eastAsia="zh-CN"/>
        </w:rPr>
        <w:t>清淤后的兴利库容为</w:t>
      </w:r>
      <w:r>
        <w:rPr>
          <w:rFonts w:hint="eastAsia"/>
          <w:color w:val="auto"/>
          <w:sz w:val="24"/>
          <w:highlight w:val="none"/>
          <w:lang w:val="en-US" w:eastAsia="zh-CN"/>
        </w:rPr>
        <w:t>257.4</w:t>
      </w:r>
      <w:r>
        <w:rPr>
          <w:color w:val="auto"/>
          <w:sz w:val="24"/>
          <w:highlight w:val="none"/>
        </w:rPr>
        <w:t>万m</w:t>
      </w:r>
      <w:r>
        <w:rPr>
          <w:color w:val="auto"/>
          <w:sz w:val="24"/>
          <w:highlight w:val="none"/>
          <w:vertAlign w:val="superscript"/>
        </w:rPr>
        <w:t>3</w:t>
      </w:r>
      <w:r>
        <w:rPr>
          <w:color w:val="auto"/>
          <w:sz w:val="24"/>
          <w:highlight w:val="none"/>
        </w:rPr>
        <w:t>，</w:t>
      </w:r>
      <w:r>
        <w:rPr>
          <w:color w:val="auto"/>
          <w:szCs w:val="24"/>
          <w:highlight w:val="none"/>
        </w:rPr>
        <w:t>多年平均入库径流量</w:t>
      </w:r>
      <w:r>
        <w:rPr>
          <w:rFonts w:hint="eastAsia"/>
          <w:color w:val="auto"/>
          <w:szCs w:val="24"/>
          <w:highlight w:val="none"/>
          <w:lang w:eastAsia="zh-CN"/>
        </w:rPr>
        <w:t>约为</w:t>
      </w:r>
      <w:r>
        <w:rPr>
          <w:rFonts w:hint="eastAsia"/>
          <w:color w:val="auto"/>
          <w:highlight w:val="none"/>
          <w:lang w:val="en-US" w:eastAsia="zh-CN"/>
        </w:rPr>
        <w:t>375</w:t>
      </w:r>
      <w:r>
        <w:rPr>
          <w:color w:val="auto"/>
          <w:szCs w:val="24"/>
          <w:highlight w:val="none"/>
        </w:rPr>
        <w:t>万m</w:t>
      </w:r>
      <w:r>
        <w:rPr>
          <w:color w:val="auto"/>
          <w:szCs w:val="24"/>
          <w:highlight w:val="none"/>
          <w:vertAlign w:val="superscript"/>
        </w:rPr>
        <w:t>3</w:t>
      </w:r>
      <w:r>
        <w:rPr>
          <w:rFonts w:hint="eastAsia"/>
          <w:color w:val="auto"/>
          <w:szCs w:val="24"/>
          <w:highlight w:val="none"/>
          <w:vertAlign w:val="baseline"/>
          <w:lang w:eastAsia="zh-CN"/>
        </w:rPr>
        <w:t>，石头崾岘水库一次洪水量约为</w:t>
      </w:r>
      <w:r>
        <w:rPr>
          <w:rFonts w:hint="eastAsia"/>
          <w:color w:val="auto"/>
          <w:szCs w:val="24"/>
          <w:highlight w:val="none"/>
          <w:vertAlign w:val="baseline"/>
          <w:lang w:val="en-US" w:eastAsia="zh-CN"/>
        </w:rPr>
        <w:t>19.5万</w:t>
      </w:r>
      <w:r>
        <w:rPr>
          <w:color w:val="auto"/>
          <w:sz w:val="24"/>
          <w:highlight w:val="none"/>
        </w:rPr>
        <w:t>m</w:t>
      </w:r>
      <w:r>
        <w:rPr>
          <w:color w:val="auto"/>
          <w:sz w:val="24"/>
          <w:highlight w:val="none"/>
          <w:vertAlign w:val="superscript"/>
        </w:rPr>
        <w:t>3</w:t>
      </w:r>
      <w:r>
        <w:rPr>
          <w:rFonts w:hint="eastAsia"/>
          <w:color w:val="auto"/>
          <w:szCs w:val="24"/>
          <w:highlight w:val="none"/>
          <w:lang w:eastAsia="zh-CN"/>
        </w:rPr>
        <w:t>。</w:t>
      </w:r>
      <w:r>
        <w:rPr>
          <w:color w:val="auto"/>
          <w:szCs w:val="24"/>
          <w:highlight w:val="none"/>
        </w:rPr>
        <w:t>经计算，水库</w:t>
      </w:r>
      <m:oMath>
        <m:r>
          <m:rPr>
            <m:sty m:val="p"/>
          </m:rPr>
          <w:rPr>
            <w:rFonts w:ascii="Cambria Math" w:hAnsi="Cambria Math"/>
            <w:color w:val="auto"/>
            <w:highlight w:val="none"/>
          </w:rPr>
          <m:t>α</m:t>
        </m:r>
      </m:oMath>
      <w:r>
        <w:rPr>
          <w:color w:val="auto"/>
          <w:szCs w:val="24"/>
          <w:highlight w:val="none"/>
        </w:rPr>
        <w:t>=</w:t>
      </w:r>
      <w:r>
        <w:rPr>
          <w:rFonts w:hint="eastAsia"/>
          <w:color w:val="auto"/>
          <w:szCs w:val="24"/>
          <w:highlight w:val="none"/>
          <w:lang w:val="en-US" w:eastAsia="zh-CN"/>
        </w:rPr>
        <w:t>0.27</w:t>
      </w:r>
      <w:r>
        <w:rPr>
          <w:rFonts w:eastAsia="TimesNewRomanPSMT"/>
          <w:color w:val="auto"/>
          <w:szCs w:val="24"/>
          <w:highlight w:val="none"/>
        </w:rPr>
        <w:t>&lt;10</w:t>
      </w:r>
      <w:r>
        <w:rPr>
          <w:color w:val="auto"/>
          <w:szCs w:val="24"/>
          <w:highlight w:val="none"/>
        </w:rPr>
        <w:t>；</w:t>
      </w:r>
      <w:r>
        <w:rPr>
          <w:snapToGrid w:val="0"/>
          <w:color w:val="auto"/>
          <w:szCs w:val="24"/>
          <w:highlight w:val="none"/>
        </w:rPr>
        <w:t>β=0.</w:t>
      </w:r>
      <w:r>
        <w:rPr>
          <w:rFonts w:hint="eastAsia"/>
          <w:snapToGrid w:val="0"/>
          <w:color w:val="auto"/>
          <w:szCs w:val="24"/>
          <w:highlight w:val="none"/>
          <w:lang w:val="en-US" w:eastAsia="zh-CN"/>
        </w:rPr>
        <w:t>014</w:t>
      </w:r>
      <w:r>
        <w:rPr>
          <w:color w:val="auto"/>
          <w:szCs w:val="24"/>
          <w:highlight w:val="none"/>
        </w:rPr>
        <w:t>＜</w:t>
      </w:r>
      <w:r>
        <w:rPr>
          <w:rFonts w:eastAsia="TimesNewRomanPSMT"/>
          <w:color w:val="auto"/>
          <w:szCs w:val="24"/>
          <w:highlight w:val="none"/>
        </w:rPr>
        <w:t>0.5</w:t>
      </w:r>
      <w:r>
        <w:rPr>
          <w:color w:val="auto"/>
          <w:szCs w:val="24"/>
          <w:highlight w:val="none"/>
        </w:rPr>
        <w:t>。因此，水库水温为分层型，一次洪水对水库的水温结构没有大的影响。</w:t>
      </w:r>
    </w:p>
    <w:p w14:paraId="6B4C33A9">
      <w:pPr>
        <w:rPr>
          <w:rFonts w:hint="default" w:eastAsia="宋体"/>
          <w:color w:val="auto"/>
          <w:szCs w:val="24"/>
          <w:highlight w:val="none"/>
          <w:lang w:val="en-US" w:eastAsia="zh-CN"/>
        </w:rPr>
      </w:pPr>
      <w:r>
        <w:rPr>
          <w:rFonts w:hint="eastAsia" w:eastAsia="宋体"/>
          <w:color w:val="auto"/>
          <w:szCs w:val="24"/>
          <w:highlight w:val="none"/>
          <w:lang w:val="en-US" w:eastAsia="zh-CN"/>
        </w:rPr>
        <w:t>B.</w:t>
      </w:r>
      <w:r>
        <w:rPr>
          <w:rFonts w:eastAsia="宋体"/>
          <w:color w:val="auto"/>
          <w:szCs w:val="24"/>
          <w:highlight w:val="none"/>
        </w:rPr>
        <w:t>水库表面月平均水温</w:t>
      </w:r>
    </w:p>
    <w:p w14:paraId="5F08DDCA">
      <w:pPr>
        <w:rPr>
          <w:color w:val="auto"/>
          <w:szCs w:val="24"/>
          <w:highlight w:val="none"/>
        </w:rPr>
      </w:pPr>
      <w:r>
        <w:rPr>
          <w:color w:val="auto"/>
          <w:szCs w:val="24"/>
          <w:highlight w:val="none"/>
        </w:rPr>
        <w:t>根据固原市气象资料统计，多年月平均气温见表6.2-</w:t>
      </w:r>
      <w:r>
        <w:rPr>
          <w:rFonts w:hint="eastAsia"/>
          <w:color w:val="auto"/>
          <w:szCs w:val="24"/>
          <w:highlight w:val="none"/>
          <w:lang w:val="en-US" w:eastAsia="zh-CN"/>
        </w:rPr>
        <w:t>1</w:t>
      </w:r>
      <w:r>
        <w:rPr>
          <w:color w:val="auto"/>
          <w:szCs w:val="24"/>
          <w:highlight w:val="none"/>
        </w:rPr>
        <w:t>。</w:t>
      </w:r>
    </w:p>
    <w:p w14:paraId="379EE2A2">
      <w:pPr>
        <w:pStyle w:val="9"/>
        <w:spacing w:line="276" w:lineRule="auto"/>
        <w:ind w:firstLine="0" w:firstLineChars="0"/>
        <w:jc w:val="center"/>
        <w:rPr>
          <w:rFonts w:ascii="Times New Roman" w:hAnsi="Times New Roman"/>
          <w:b/>
          <w:bCs/>
          <w:color w:val="auto"/>
          <w:highlight w:val="none"/>
        </w:rPr>
      </w:pPr>
      <w:r>
        <w:rPr>
          <w:rFonts w:ascii="Times New Roman" w:hAnsi="Times New Roman"/>
          <w:b/>
          <w:bCs/>
          <w:color w:val="auto"/>
          <w:highlight w:val="none"/>
        </w:rPr>
        <w:t>表6.2-</w:t>
      </w:r>
      <w:r>
        <w:rPr>
          <w:rFonts w:hint="eastAsia"/>
          <w:b/>
          <w:bCs/>
          <w:color w:val="auto"/>
          <w:highlight w:val="none"/>
          <w:lang w:val="en-US" w:eastAsia="zh-CN"/>
        </w:rPr>
        <w:t>1</w:t>
      </w:r>
      <w:r>
        <w:rPr>
          <w:rFonts w:ascii="Times New Roman" w:hAnsi="Times New Roman"/>
          <w:b/>
          <w:bCs/>
          <w:color w:val="auto"/>
          <w:highlight w:val="none"/>
        </w:rPr>
        <w:t>固原市多年月平均气温 单位：℃</w:t>
      </w:r>
    </w:p>
    <w:tbl>
      <w:tblPr>
        <w:tblStyle w:val="31"/>
        <w:tblW w:w="851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549"/>
        <w:gridCol w:w="605"/>
        <w:gridCol w:w="605"/>
        <w:gridCol w:w="605"/>
        <w:gridCol w:w="585"/>
        <w:gridCol w:w="605"/>
        <w:gridCol w:w="595"/>
        <w:gridCol w:w="585"/>
        <w:gridCol w:w="595"/>
        <w:gridCol w:w="595"/>
        <w:gridCol w:w="581"/>
        <w:gridCol w:w="560"/>
        <w:gridCol w:w="804"/>
      </w:tblGrid>
      <w:tr w14:paraId="6D78DC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16" w:hRule="exact"/>
        </w:trPr>
        <w:tc>
          <w:tcPr>
            <w:tcW w:w="643" w:type="dxa"/>
            <w:tcBorders>
              <w:tl2br w:val="nil"/>
              <w:tr2bl w:val="nil"/>
            </w:tcBorders>
            <w:vAlign w:val="center"/>
          </w:tcPr>
          <w:p w14:paraId="2C67EC18">
            <w:pPr>
              <w:pStyle w:val="29"/>
              <w:suppressLineNumbers w:val="0"/>
              <w:spacing w:beforeAutospacing="0" w:afterAutospacing="0"/>
              <w:ind w:left="0" w:right="0"/>
              <w:rPr>
                <w:rFonts w:hint="default"/>
                <w:b/>
                <w:bCs/>
                <w:color w:val="auto"/>
                <w:highlight w:val="none"/>
              </w:rPr>
            </w:pPr>
            <w:bookmarkStart w:id="5545" w:name="_Toc14090"/>
            <w:r>
              <w:rPr>
                <w:rFonts w:hint="default"/>
                <w:b/>
                <w:bCs/>
                <w:color w:val="auto"/>
                <w:highlight w:val="none"/>
              </w:rPr>
              <w:t>月份</w:t>
            </w:r>
            <w:bookmarkEnd w:id="5545"/>
          </w:p>
        </w:tc>
        <w:tc>
          <w:tcPr>
            <w:tcW w:w="549" w:type="dxa"/>
            <w:tcBorders>
              <w:tl2br w:val="nil"/>
              <w:tr2bl w:val="nil"/>
            </w:tcBorders>
            <w:vAlign w:val="center"/>
          </w:tcPr>
          <w:p w14:paraId="5AB45FEA">
            <w:pPr>
              <w:pStyle w:val="29"/>
              <w:suppressLineNumbers w:val="0"/>
              <w:spacing w:beforeAutospacing="0" w:afterAutospacing="0"/>
              <w:ind w:left="0" w:right="0"/>
              <w:rPr>
                <w:rFonts w:hint="default"/>
                <w:b/>
                <w:bCs/>
                <w:color w:val="auto"/>
                <w:highlight w:val="none"/>
              </w:rPr>
            </w:pPr>
            <w:bookmarkStart w:id="5546" w:name="_Toc12385"/>
            <w:r>
              <w:rPr>
                <w:rFonts w:hint="default"/>
                <w:b/>
                <w:bCs/>
                <w:color w:val="auto"/>
                <w:highlight w:val="none"/>
              </w:rPr>
              <w:t>一月</w:t>
            </w:r>
            <w:bookmarkEnd w:id="5546"/>
          </w:p>
        </w:tc>
        <w:tc>
          <w:tcPr>
            <w:tcW w:w="605" w:type="dxa"/>
            <w:tcBorders>
              <w:tl2br w:val="nil"/>
              <w:tr2bl w:val="nil"/>
            </w:tcBorders>
            <w:vAlign w:val="center"/>
          </w:tcPr>
          <w:p w14:paraId="59A7902F">
            <w:pPr>
              <w:pStyle w:val="29"/>
              <w:suppressLineNumbers w:val="0"/>
              <w:spacing w:beforeAutospacing="0" w:afterAutospacing="0"/>
              <w:ind w:left="0" w:right="0"/>
              <w:rPr>
                <w:rFonts w:hint="default"/>
                <w:b/>
                <w:bCs/>
                <w:color w:val="auto"/>
                <w:highlight w:val="none"/>
              </w:rPr>
            </w:pPr>
            <w:bookmarkStart w:id="5547" w:name="_Toc26741"/>
            <w:r>
              <w:rPr>
                <w:rFonts w:hint="default"/>
                <w:b/>
                <w:bCs/>
                <w:color w:val="auto"/>
                <w:highlight w:val="none"/>
              </w:rPr>
              <w:t>二月</w:t>
            </w:r>
            <w:bookmarkEnd w:id="5547"/>
          </w:p>
        </w:tc>
        <w:tc>
          <w:tcPr>
            <w:tcW w:w="605" w:type="dxa"/>
            <w:tcBorders>
              <w:tl2br w:val="nil"/>
              <w:tr2bl w:val="nil"/>
            </w:tcBorders>
            <w:vAlign w:val="center"/>
          </w:tcPr>
          <w:p w14:paraId="624C6079">
            <w:pPr>
              <w:pStyle w:val="29"/>
              <w:suppressLineNumbers w:val="0"/>
              <w:spacing w:beforeAutospacing="0" w:afterAutospacing="0"/>
              <w:ind w:left="0" w:right="0"/>
              <w:rPr>
                <w:rFonts w:hint="default"/>
                <w:b/>
                <w:bCs/>
                <w:color w:val="auto"/>
                <w:highlight w:val="none"/>
              </w:rPr>
            </w:pPr>
            <w:bookmarkStart w:id="5548" w:name="_Toc4581"/>
            <w:r>
              <w:rPr>
                <w:rFonts w:hint="default"/>
                <w:b/>
                <w:bCs/>
                <w:color w:val="auto"/>
                <w:highlight w:val="none"/>
              </w:rPr>
              <w:t>三月</w:t>
            </w:r>
            <w:bookmarkEnd w:id="5548"/>
          </w:p>
        </w:tc>
        <w:tc>
          <w:tcPr>
            <w:tcW w:w="605" w:type="dxa"/>
            <w:tcBorders>
              <w:tl2br w:val="nil"/>
              <w:tr2bl w:val="nil"/>
            </w:tcBorders>
            <w:vAlign w:val="center"/>
          </w:tcPr>
          <w:p w14:paraId="08158E76">
            <w:pPr>
              <w:pStyle w:val="29"/>
              <w:suppressLineNumbers w:val="0"/>
              <w:spacing w:beforeAutospacing="0" w:afterAutospacing="0"/>
              <w:ind w:left="0" w:right="0"/>
              <w:rPr>
                <w:rFonts w:hint="default"/>
                <w:b/>
                <w:bCs/>
                <w:color w:val="auto"/>
                <w:highlight w:val="none"/>
              </w:rPr>
            </w:pPr>
            <w:bookmarkStart w:id="5549" w:name="_Toc9922"/>
            <w:r>
              <w:rPr>
                <w:rFonts w:hint="default"/>
                <w:b/>
                <w:bCs/>
                <w:color w:val="auto"/>
                <w:highlight w:val="none"/>
              </w:rPr>
              <w:t>四月</w:t>
            </w:r>
            <w:bookmarkEnd w:id="5549"/>
          </w:p>
        </w:tc>
        <w:tc>
          <w:tcPr>
            <w:tcW w:w="585" w:type="dxa"/>
            <w:tcBorders>
              <w:tl2br w:val="nil"/>
              <w:tr2bl w:val="nil"/>
            </w:tcBorders>
            <w:vAlign w:val="center"/>
          </w:tcPr>
          <w:p w14:paraId="6D83463E">
            <w:pPr>
              <w:pStyle w:val="29"/>
              <w:suppressLineNumbers w:val="0"/>
              <w:spacing w:beforeAutospacing="0" w:afterAutospacing="0"/>
              <w:ind w:left="0" w:right="0"/>
              <w:rPr>
                <w:rFonts w:hint="default"/>
                <w:b/>
                <w:bCs/>
                <w:color w:val="auto"/>
                <w:highlight w:val="none"/>
              </w:rPr>
            </w:pPr>
            <w:bookmarkStart w:id="5550" w:name="_Toc25108"/>
            <w:r>
              <w:rPr>
                <w:rFonts w:hint="default"/>
                <w:b/>
                <w:bCs/>
                <w:color w:val="auto"/>
                <w:highlight w:val="none"/>
              </w:rPr>
              <w:t>五月</w:t>
            </w:r>
            <w:bookmarkEnd w:id="5550"/>
          </w:p>
        </w:tc>
        <w:tc>
          <w:tcPr>
            <w:tcW w:w="605" w:type="dxa"/>
            <w:tcBorders>
              <w:tl2br w:val="nil"/>
              <w:tr2bl w:val="nil"/>
            </w:tcBorders>
            <w:vAlign w:val="center"/>
          </w:tcPr>
          <w:p w14:paraId="172AF995">
            <w:pPr>
              <w:pStyle w:val="29"/>
              <w:suppressLineNumbers w:val="0"/>
              <w:spacing w:beforeAutospacing="0" w:afterAutospacing="0"/>
              <w:ind w:left="0" w:right="0"/>
              <w:rPr>
                <w:rFonts w:hint="default"/>
                <w:b/>
                <w:bCs/>
                <w:color w:val="auto"/>
                <w:highlight w:val="none"/>
              </w:rPr>
            </w:pPr>
            <w:bookmarkStart w:id="5551" w:name="_Toc31246"/>
            <w:r>
              <w:rPr>
                <w:rFonts w:hint="default"/>
                <w:b/>
                <w:bCs/>
                <w:color w:val="auto"/>
                <w:highlight w:val="none"/>
              </w:rPr>
              <w:t>六月</w:t>
            </w:r>
            <w:bookmarkEnd w:id="5551"/>
          </w:p>
        </w:tc>
        <w:tc>
          <w:tcPr>
            <w:tcW w:w="595" w:type="dxa"/>
            <w:tcBorders>
              <w:tl2br w:val="nil"/>
              <w:tr2bl w:val="nil"/>
            </w:tcBorders>
            <w:vAlign w:val="center"/>
          </w:tcPr>
          <w:p w14:paraId="0A3C2288">
            <w:pPr>
              <w:pStyle w:val="29"/>
              <w:suppressLineNumbers w:val="0"/>
              <w:spacing w:beforeAutospacing="0" w:afterAutospacing="0"/>
              <w:ind w:left="0" w:right="0"/>
              <w:rPr>
                <w:rFonts w:hint="default"/>
                <w:b/>
                <w:bCs/>
                <w:color w:val="auto"/>
                <w:highlight w:val="none"/>
              </w:rPr>
            </w:pPr>
            <w:bookmarkStart w:id="5552" w:name="_Toc27964"/>
            <w:r>
              <w:rPr>
                <w:rFonts w:hint="default"/>
                <w:b/>
                <w:bCs/>
                <w:color w:val="auto"/>
                <w:highlight w:val="none"/>
              </w:rPr>
              <w:t>七月</w:t>
            </w:r>
            <w:bookmarkEnd w:id="5552"/>
          </w:p>
        </w:tc>
        <w:tc>
          <w:tcPr>
            <w:tcW w:w="585" w:type="dxa"/>
            <w:tcBorders>
              <w:tl2br w:val="nil"/>
              <w:tr2bl w:val="nil"/>
            </w:tcBorders>
            <w:vAlign w:val="center"/>
          </w:tcPr>
          <w:p w14:paraId="4BB30B66">
            <w:pPr>
              <w:pStyle w:val="29"/>
              <w:suppressLineNumbers w:val="0"/>
              <w:spacing w:beforeAutospacing="0" w:afterAutospacing="0"/>
              <w:ind w:left="0" w:right="0"/>
              <w:rPr>
                <w:rFonts w:hint="default"/>
                <w:b/>
                <w:bCs/>
                <w:color w:val="auto"/>
                <w:highlight w:val="none"/>
              </w:rPr>
            </w:pPr>
            <w:bookmarkStart w:id="5553" w:name="_Toc22417"/>
            <w:r>
              <w:rPr>
                <w:rFonts w:hint="default"/>
                <w:b/>
                <w:bCs/>
                <w:color w:val="auto"/>
                <w:highlight w:val="none"/>
              </w:rPr>
              <w:t>八月</w:t>
            </w:r>
            <w:bookmarkEnd w:id="5553"/>
          </w:p>
        </w:tc>
        <w:tc>
          <w:tcPr>
            <w:tcW w:w="595" w:type="dxa"/>
            <w:tcBorders>
              <w:tl2br w:val="nil"/>
              <w:tr2bl w:val="nil"/>
            </w:tcBorders>
            <w:vAlign w:val="center"/>
          </w:tcPr>
          <w:p w14:paraId="21311768">
            <w:pPr>
              <w:pStyle w:val="29"/>
              <w:suppressLineNumbers w:val="0"/>
              <w:spacing w:beforeAutospacing="0" w:afterAutospacing="0"/>
              <w:ind w:left="0" w:right="0"/>
              <w:rPr>
                <w:rFonts w:hint="default"/>
                <w:b/>
                <w:bCs/>
                <w:color w:val="auto"/>
                <w:highlight w:val="none"/>
              </w:rPr>
            </w:pPr>
            <w:bookmarkStart w:id="5554" w:name="_Toc11624"/>
            <w:r>
              <w:rPr>
                <w:rFonts w:hint="default"/>
                <w:b/>
                <w:bCs/>
                <w:color w:val="auto"/>
                <w:highlight w:val="none"/>
              </w:rPr>
              <w:t>九月</w:t>
            </w:r>
            <w:bookmarkEnd w:id="5554"/>
          </w:p>
        </w:tc>
        <w:tc>
          <w:tcPr>
            <w:tcW w:w="595" w:type="dxa"/>
            <w:tcBorders>
              <w:tl2br w:val="nil"/>
              <w:tr2bl w:val="nil"/>
            </w:tcBorders>
            <w:vAlign w:val="center"/>
          </w:tcPr>
          <w:p w14:paraId="17F87008">
            <w:pPr>
              <w:pStyle w:val="29"/>
              <w:suppressLineNumbers w:val="0"/>
              <w:spacing w:beforeAutospacing="0" w:afterAutospacing="0"/>
              <w:ind w:left="0" w:right="0"/>
              <w:rPr>
                <w:rFonts w:hint="default"/>
                <w:b/>
                <w:bCs/>
                <w:color w:val="auto"/>
                <w:highlight w:val="none"/>
              </w:rPr>
            </w:pPr>
            <w:bookmarkStart w:id="5555" w:name="_Toc3083"/>
            <w:r>
              <w:rPr>
                <w:rFonts w:hint="default"/>
                <w:b/>
                <w:bCs/>
                <w:color w:val="auto"/>
                <w:highlight w:val="none"/>
              </w:rPr>
              <w:t>十月</w:t>
            </w:r>
            <w:bookmarkEnd w:id="5555"/>
          </w:p>
        </w:tc>
        <w:tc>
          <w:tcPr>
            <w:tcW w:w="581" w:type="dxa"/>
            <w:tcBorders>
              <w:tl2br w:val="nil"/>
              <w:tr2bl w:val="nil"/>
            </w:tcBorders>
            <w:vAlign w:val="center"/>
          </w:tcPr>
          <w:p w14:paraId="5DCD6885">
            <w:pPr>
              <w:pStyle w:val="29"/>
              <w:suppressLineNumbers w:val="0"/>
              <w:spacing w:beforeAutospacing="0" w:afterAutospacing="0"/>
              <w:ind w:left="0" w:right="0"/>
              <w:rPr>
                <w:rFonts w:hint="default"/>
                <w:b/>
                <w:bCs/>
                <w:color w:val="auto"/>
                <w:highlight w:val="none"/>
              </w:rPr>
            </w:pPr>
            <w:bookmarkStart w:id="5556" w:name="_Toc13210"/>
            <w:r>
              <w:rPr>
                <w:rFonts w:hint="default"/>
                <w:b/>
                <w:bCs/>
                <w:color w:val="auto"/>
                <w:highlight w:val="none"/>
              </w:rPr>
              <w:t>十一</w:t>
            </w:r>
            <w:bookmarkEnd w:id="5556"/>
          </w:p>
          <w:p w14:paraId="49D9AA0E">
            <w:pPr>
              <w:pStyle w:val="29"/>
              <w:suppressLineNumbers w:val="0"/>
              <w:spacing w:beforeAutospacing="0" w:afterAutospacing="0"/>
              <w:ind w:left="0" w:right="0"/>
              <w:rPr>
                <w:rFonts w:hint="default"/>
                <w:b/>
                <w:bCs/>
                <w:color w:val="auto"/>
                <w:highlight w:val="none"/>
              </w:rPr>
            </w:pPr>
            <w:r>
              <w:rPr>
                <w:rFonts w:hint="default"/>
                <w:b/>
                <w:bCs/>
                <w:color w:val="auto"/>
                <w:highlight w:val="none"/>
              </w:rPr>
              <w:t>月</w:t>
            </w:r>
          </w:p>
        </w:tc>
        <w:tc>
          <w:tcPr>
            <w:tcW w:w="560" w:type="dxa"/>
            <w:tcBorders>
              <w:tl2br w:val="nil"/>
              <w:tr2bl w:val="nil"/>
            </w:tcBorders>
            <w:vAlign w:val="center"/>
          </w:tcPr>
          <w:p w14:paraId="36ED45F1">
            <w:pPr>
              <w:pStyle w:val="29"/>
              <w:suppressLineNumbers w:val="0"/>
              <w:spacing w:beforeAutospacing="0" w:afterAutospacing="0"/>
              <w:ind w:left="0" w:right="0"/>
              <w:rPr>
                <w:rFonts w:hint="default"/>
                <w:b/>
                <w:bCs/>
                <w:color w:val="auto"/>
                <w:highlight w:val="none"/>
              </w:rPr>
            </w:pPr>
            <w:r>
              <w:rPr>
                <w:rFonts w:hint="default"/>
                <w:b/>
                <w:bCs/>
                <w:color w:val="auto"/>
                <w:highlight w:val="none"/>
              </w:rPr>
              <w:t>十二</w:t>
            </w:r>
          </w:p>
          <w:p w14:paraId="3F8CB82C">
            <w:pPr>
              <w:pStyle w:val="29"/>
              <w:suppressLineNumbers w:val="0"/>
              <w:spacing w:beforeAutospacing="0" w:afterAutospacing="0"/>
              <w:ind w:left="0" w:right="0"/>
              <w:rPr>
                <w:rFonts w:hint="default"/>
                <w:b/>
                <w:bCs/>
                <w:color w:val="auto"/>
                <w:highlight w:val="none"/>
              </w:rPr>
            </w:pPr>
            <w:r>
              <w:rPr>
                <w:rFonts w:hint="default"/>
                <w:b/>
                <w:bCs/>
                <w:color w:val="auto"/>
                <w:highlight w:val="none"/>
              </w:rPr>
              <w:t>月</w:t>
            </w:r>
          </w:p>
        </w:tc>
        <w:tc>
          <w:tcPr>
            <w:tcW w:w="804" w:type="dxa"/>
            <w:tcBorders>
              <w:tl2br w:val="nil"/>
              <w:tr2bl w:val="nil"/>
            </w:tcBorders>
            <w:vAlign w:val="center"/>
          </w:tcPr>
          <w:p w14:paraId="59FF011C">
            <w:pPr>
              <w:pStyle w:val="29"/>
              <w:suppressLineNumbers w:val="0"/>
              <w:spacing w:beforeAutospacing="0" w:afterAutospacing="0"/>
              <w:ind w:left="0" w:right="0"/>
              <w:rPr>
                <w:rFonts w:hint="default"/>
                <w:b/>
                <w:bCs/>
                <w:color w:val="auto"/>
                <w:highlight w:val="none"/>
              </w:rPr>
            </w:pPr>
            <w:bookmarkStart w:id="5557" w:name="_Toc3376"/>
            <w:r>
              <w:rPr>
                <w:rFonts w:hint="default"/>
                <w:b/>
                <w:bCs/>
                <w:color w:val="auto"/>
                <w:highlight w:val="none"/>
              </w:rPr>
              <w:t>多年平均气温</w:t>
            </w:r>
            <w:bookmarkEnd w:id="5557"/>
          </w:p>
        </w:tc>
      </w:tr>
      <w:tr w14:paraId="2D4C63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3" w:hRule="exact"/>
        </w:trPr>
        <w:tc>
          <w:tcPr>
            <w:tcW w:w="643" w:type="dxa"/>
            <w:tcBorders>
              <w:tl2br w:val="nil"/>
              <w:tr2bl w:val="nil"/>
            </w:tcBorders>
            <w:vAlign w:val="center"/>
          </w:tcPr>
          <w:p w14:paraId="59AE7B70">
            <w:pPr>
              <w:pStyle w:val="29"/>
              <w:suppressLineNumbers w:val="0"/>
              <w:spacing w:beforeAutospacing="0" w:afterAutospacing="0"/>
              <w:ind w:left="0" w:right="0"/>
              <w:rPr>
                <w:rFonts w:hint="default"/>
                <w:color w:val="auto"/>
                <w:highlight w:val="none"/>
              </w:rPr>
            </w:pPr>
            <w:bookmarkStart w:id="5558" w:name="_Toc7605"/>
            <w:r>
              <w:rPr>
                <w:rFonts w:hint="default"/>
                <w:color w:val="auto"/>
                <w:highlight w:val="none"/>
              </w:rPr>
              <w:t>气温</w:t>
            </w:r>
            <w:bookmarkEnd w:id="5558"/>
          </w:p>
        </w:tc>
        <w:tc>
          <w:tcPr>
            <w:tcW w:w="549" w:type="dxa"/>
            <w:tcBorders>
              <w:tl2br w:val="nil"/>
              <w:tr2bl w:val="nil"/>
            </w:tcBorders>
            <w:vAlign w:val="center"/>
          </w:tcPr>
          <w:p w14:paraId="3691ABDB">
            <w:pPr>
              <w:pStyle w:val="29"/>
              <w:suppressLineNumbers w:val="0"/>
              <w:spacing w:beforeAutospacing="0" w:afterAutospacing="0"/>
              <w:ind w:left="0" w:right="0"/>
              <w:rPr>
                <w:rFonts w:hint="default"/>
                <w:color w:val="auto"/>
                <w:highlight w:val="none"/>
              </w:rPr>
            </w:pPr>
            <w:bookmarkStart w:id="5559" w:name="_Toc20862"/>
            <w:r>
              <w:rPr>
                <w:rFonts w:hint="default"/>
                <w:color w:val="auto"/>
                <w:highlight w:val="none"/>
              </w:rPr>
              <w:t>-6.5</w:t>
            </w:r>
            <w:bookmarkEnd w:id="5559"/>
          </w:p>
        </w:tc>
        <w:tc>
          <w:tcPr>
            <w:tcW w:w="605" w:type="dxa"/>
            <w:tcBorders>
              <w:tl2br w:val="nil"/>
              <w:tr2bl w:val="nil"/>
            </w:tcBorders>
            <w:vAlign w:val="center"/>
          </w:tcPr>
          <w:p w14:paraId="2C682D83">
            <w:pPr>
              <w:pStyle w:val="29"/>
              <w:suppressLineNumbers w:val="0"/>
              <w:spacing w:beforeAutospacing="0" w:afterAutospacing="0"/>
              <w:ind w:left="0" w:right="0"/>
              <w:rPr>
                <w:rFonts w:hint="default"/>
                <w:color w:val="auto"/>
                <w:highlight w:val="none"/>
              </w:rPr>
            </w:pPr>
            <w:r>
              <w:rPr>
                <w:rFonts w:hint="default"/>
                <w:color w:val="auto"/>
                <w:highlight w:val="none"/>
              </w:rPr>
              <w:t>-2.8</w:t>
            </w:r>
          </w:p>
        </w:tc>
        <w:tc>
          <w:tcPr>
            <w:tcW w:w="605" w:type="dxa"/>
            <w:tcBorders>
              <w:tl2br w:val="nil"/>
              <w:tr2bl w:val="nil"/>
            </w:tcBorders>
            <w:vAlign w:val="center"/>
          </w:tcPr>
          <w:p w14:paraId="2E60C936">
            <w:pPr>
              <w:pStyle w:val="29"/>
              <w:suppressLineNumbers w:val="0"/>
              <w:spacing w:beforeAutospacing="0" w:afterAutospacing="0"/>
              <w:ind w:left="0" w:right="0"/>
              <w:rPr>
                <w:rFonts w:hint="default"/>
                <w:color w:val="auto"/>
                <w:highlight w:val="none"/>
              </w:rPr>
            </w:pPr>
            <w:bookmarkStart w:id="5560" w:name="_Toc21205"/>
            <w:r>
              <w:rPr>
                <w:rFonts w:hint="default"/>
                <w:color w:val="auto"/>
                <w:highlight w:val="none"/>
              </w:rPr>
              <w:t>3.4</w:t>
            </w:r>
            <w:bookmarkEnd w:id="5560"/>
          </w:p>
        </w:tc>
        <w:tc>
          <w:tcPr>
            <w:tcW w:w="605" w:type="dxa"/>
            <w:tcBorders>
              <w:tl2br w:val="nil"/>
              <w:tr2bl w:val="nil"/>
            </w:tcBorders>
            <w:vAlign w:val="center"/>
          </w:tcPr>
          <w:p w14:paraId="35B35DC7">
            <w:pPr>
              <w:pStyle w:val="29"/>
              <w:suppressLineNumbers w:val="0"/>
              <w:spacing w:beforeAutospacing="0" w:afterAutospacing="0"/>
              <w:ind w:left="0" w:right="0"/>
              <w:rPr>
                <w:rFonts w:hint="default"/>
                <w:color w:val="auto"/>
                <w:highlight w:val="none"/>
              </w:rPr>
            </w:pPr>
            <w:bookmarkStart w:id="5561" w:name="_Toc6417"/>
            <w:r>
              <w:rPr>
                <w:rFonts w:hint="default"/>
                <w:color w:val="auto"/>
                <w:highlight w:val="none"/>
              </w:rPr>
              <w:t>9.7</w:t>
            </w:r>
            <w:bookmarkEnd w:id="5561"/>
          </w:p>
        </w:tc>
        <w:tc>
          <w:tcPr>
            <w:tcW w:w="585" w:type="dxa"/>
            <w:tcBorders>
              <w:tl2br w:val="nil"/>
              <w:tr2bl w:val="nil"/>
            </w:tcBorders>
            <w:vAlign w:val="center"/>
          </w:tcPr>
          <w:p w14:paraId="48CBEED9">
            <w:pPr>
              <w:pStyle w:val="29"/>
              <w:suppressLineNumbers w:val="0"/>
              <w:spacing w:beforeAutospacing="0" w:afterAutospacing="0"/>
              <w:ind w:left="0" w:right="0"/>
              <w:rPr>
                <w:rFonts w:hint="default"/>
                <w:color w:val="auto"/>
                <w:highlight w:val="none"/>
              </w:rPr>
            </w:pPr>
            <w:bookmarkStart w:id="5562" w:name="_Toc15557"/>
            <w:r>
              <w:rPr>
                <w:rFonts w:hint="default"/>
                <w:color w:val="auto"/>
                <w:highlight w:val="none"/>
              </w:rPr>
              <w:t>14.7</w:t>
            </w:r>
            <w:bookmarkEnd w:id="5562"/>
          </w:p>
        </w:tc>
        <w:tc>
          <w:tcPr>
            <w:tcW w:w="605" w:type="dxa"/>
            <w:tcBorders>
              <w:tl2br w:val="nil"/>
              <w:tr2bl w:val="nil"/>
            </w:tcBorders>
            <w:vAlign w:val="center"/>
          </w:tcPr>
          <w:p w14:paraId="1C5A2F5F">
            <w:pPr>
              <w:pStyle w:val="29"/>
              <w:suppressLineNumbers w:val="0"/>
              <w:spacing w:beforeAutospacing="0" w:afterAutospacing="0"/>
              <w:ind w:left="0" w:right="0"/>
              <w:rPr>
                <w:rFonts w:hint="default"/>
                <w:color w:val="auto"/>
                <w:highlight w:val="none"/>
              </w:rPr>
            </w:pPr>
            <w:bookmarkStart w:id="5563" w:name="_Toc25117"/>
            <w:r>
              <w:rPr>
                <w:rFonts w:hint="default"/>
                <w:color w:val="auto"/>
                <w:highlight w:val="none"/>
              </w:rPr>
              <w:t>18.8</w:t>
            </w:r>
            <w:bookmarkEnd w:id="5563"/>
          </w:p>
        </w:tc>
        <w:tc>
          <w:tcPr>
            <w:tcW w:w="595" w:type="dxa"/>
            <w:tcBorders>
              <w:tl2br w:val="nil"/>
              <w:tr2bl w:val="nil"/>
            </w:tcBorders>
            <w:vAlign w:val="center"/>
          </w:tcPr>
          <w:p w14:paraId="3351417F">
            <w:pPr>
              <w:pStyle w:val="29"/>
              <w:suppressLineNumbers w:val="0"/>
              <w:spacing w:beforeAutospacing="0" w:afterAutospacing="0"/>
              <w:ind w:left="0" w:right="0"/>
              <w:rPr>
                <w:rFonts w:hint="default"/>
                <w:color w:val="auto"/>
                <w:highlight w:val="none"/>
              </w:rPr>
            </w:pPr>
            <w:bookmarkStart w:id="5564" w:name="_Toc9640"/>
            <w:r>
              <w:rPr>
                <w:rFonts w:hint="default"/>
                <w:color w:val="auto"/>
                <w:highlight w:val="none"/>
              </w:rPr>
              <w:t>20.3</w:t>
            </w:r>
            <w:bookmarkEnd w:id="5564"/>
          </w:p>
        </w:tc>
        <w:tc>
          <w:tcPr>
            <w:tcW w:w="585" w:type="dxa"/>
            <w:tcBorders>
              <w:tl2br w:val="nil"/>
              <w:tr2bl w:val="nil"/>
            </w:tcBorders>
            <w:vAlign w:val="center"/>
          </w:tcPr>
          <w:p w14:paraId="5F17D952">
            <w:pPr>
              <w:pStyle w:val="29"/>
              <w:suppressLineNumbers w:val="0"/>
              <w:spacing w:beforeAutospacing="0" w:afterAutospacing="0"/>
              <w:ind w:left="0" w:right="0"/>
              <w:rPr>
                <w:rFonts w:hint="default"/>
                <w:color w:val="auto"/>
                <w:highlight w:val="none"/>
              </w:rPr>
            </w:pPr>
            <w:r>
              <w:rPr>
                <w:rFonts w:hint="default"/>
                <w:color w:val="auto"/>
                <w:highlight w:val="none"/>
              </w:rPr>
              <w:t>18.7</w:t>
            </w:r>
          </w:p>
        </w:tc>
        <w:tc>
          <w:tcPr>
            <w:tcW w:w="595" w:type="dxa"/>
            <w:tcBorders>
              <w:tl2br w:val="nil"/>
              <w:tr2bl w:val="nil"/>
            </w:tcBorders>
            <w:vAlign w:val="center"/>
          </w:tcPr>
          <w:p w14:paraId="36BD6F1A">
            <w:pPr>
              <w:pStyle w:val="29"/>
              <w:suppressLineNumbers w:val="0"/>
              <w:spacing w:beforeAutospacing="0" w:afterAutospacing="0"/>
              <w:ind w:left="0" w:right="0"/>
              <w:rPr>
                <w:rFonts w:hint="default"/>
                <w:color w:val="auto"/>
                <w:highlight w:val="none"/>
              </w:rPr>
            </w:pPr>
            <w:bookmarkStart w:id="5565" w:name="_Toc30466"/>
            <w:r>
              <w:rPr>
                <w:rFonts w:hint="default"/>
                <w:color w:val="auto"/>
                <w:highlight w:val="none"/>
              </w:rPr>
              <w:t>13.5</w:t>
            </w:r>
            <w:bookmarkEnd w:id="5565"/>
          </w:p>
        </w:tc>
        <w:tc>
          <w:tcPr>
            <w:tcW w:w="595" w:type="dxa"/>
            <w:tcBorders>
              <w:tl2br w:val="nil"/>
              <w:tr2bl w:val="nil"/>
            </w:tcBorders>
            <w:vAlign w:val="center"/>
          </w:tcPr>
          <w:p w14:paraId="389D9FA3">
            <w:pPr>
              <w:pStyle w:val="29"/>
              <w:suppressLineNumbers w:val="0"/>
              <w:spacing w:beforeAutospacing="0" w:afterAutospacing="0"/>
              <w:ind w:left="0" w:right="0"/>
              <w:rPr>
                <w:rFonts w:hint="default"/>
                <w:color w:val="auto"/>
                <w:highlight w:val="none"/>
              </w:rPr>
            </w:pPr>
            <w:r>
              <w:rPr>
                <w:rFonts w:hint="default"/>
                <w:color w:val="auto"/>
                <w:highlight w:val="none"/>
              </w:rPr>
              <w:t>7.8</w:t>
            </w:r>
          </w:p>
        </w:tc>
        <w:tc>
          <w:tcPr>
            <w:tcW w:w="581" w:type="dxa"/>
            <w:tcBorders>
              <w:tl2br w:val="nil"/>
              <w:tr2bl w:val="nil"/>
            </w:tcBorders>
            <w:vAlign w:val="center"/>
          </w:tcPr>
          <w:p w14:paraId="364E6C4C">
            <w:pPr>
              <w:pStyle w:val="29"/>
              <w:suppressLineNumbers w:val="0"/>
              <w:spacing w:beforeAutospacing="0" w:afterAutospacing="0"/>
              <w:ind w:left="0" w:right="0"/>
              <w:rPr>
                <w:rFonts w:hint="default"/>
                <w:color w:val="auto"/>
                <w:highlight w:val="none"/>
              </w:rPr>
            </w:pPr>
            <w:bookmarkStart w:id="5566" w:name="_Toc10743"/>
            <w:r>
              <w:rPr>
                <w:rFonts w:hint="default"/>
                <w:color w:val="auto"/>
                <w:highlight w:val="none"/>
              </w:rPr>
              <w:t>1.2</w:t>
            </w:r>
            <w:bookmarkEnd w:id="5566"/>
          </w:p>
        </w:tc>
        <w:tc>
          <w:tcPr>
            <w:tcW w:w="560" w:type="dxa"/>
            <w:tcBorders>
              <w:tl2br w:val="nil"/>
              <w:tr2bl w:val="nil"/>
            </w:tcBorders>
            <w:vAlign w:val="center"/>
          </w:tcPr>
          <w:p w14:paraId="27777F01">
            <w:pPr>
              <w:pStyle w:val="29"/>
              <w:suppressLineNumbers w:val="0"/>
              <w:spacing w:beforeAutospacing="0" w:afterAutospacing="0"/>
              <w:ind w:left="0" w:right="0"/>
              <w:rPr>
                <w:rFonts w:hint="default"/>
                <w:color w:val="auto"/>
                <w:highlight w:val="none"/>
              </w:rPr>
            </w:pPr>
            <w:bookmarkStart w:id="5567" w:name="_Toc23336"/>
            <w:r>
              <w:rPr>
                <w:rFonts w:hint="default"/>
                <w:color w:val="auto"/>
                <w:highlight w:val="none"/>
              </w:rPr>
              <w:t>-4.9</w:t>
            </w:r>
            <w:bookmarkEnd w:id="5567"/>
          </w:p>
        </w:tc>
        <w:tc>
          <w:tcPr>
            <w:tcW w:w="804" w:type="dxa"/>
            <w:tcBorders>
              <w:tl2br w:val="nil"/>
              <w:tr2bl w:val="nil"/>
            </w:tcBorders>
            <w:vAlign w:val="center"/>
          </w:tcPr>
          <w:p w14:paraId="3C91E4A5">
            <w:pPr>
              <w:pStyle w:val="29"/>
              <w:suppressLineNumbers w:val="0"/>
              <w:spacing w:beforeAutospacing="0" w:afterAutospacing="0"/>
              <w:ind w:left="0" w:right="0"/>
              <w:rPr>
                <w:rFonts w:hint="default"/>
                <w:color w:val="auto"/>
                <w:highlight w:val="none"/>
              </w:rPr>
            </w:pPr>
            <w:bookmarkStart w:id="5568" w:name="_Toc135"/>
            <w:r>
              <w:rPr>
                <w:rFonts w:hint="default"/>
                <w:color w:val="auto"/>
                <w:highlight w:val="none"/>
              </w:rPr>
              <w:t>7.8</w:t>
            </w:r>
            <w:bookmarkEnd w:id="5568"/>
          </w:p>
        </w:tc>
      </w:tr>
    </w:tbl>
    <w:p w14:paraId="13E08E47">
      <w:pPr>
        <w:rPr>
          <w:color w:val="auto"/>
          <w:szCs w:val="24"/>
          <w:highlight w:val="none"/>
        </w:rPr>
      </w:pPr>
      <w:r>
        <w:rPr>
          <w:color w:val="auto"/>
          <w:szCs w:val="24"/>
          <w:highlight w:val="none"/>
        </w:rPr>
        <w:t>水库为小型水库，多年平均库表水温与多年平均气温之间具有良好的相关关系，库表水温采用气温</w:t>
      </w:r>
      <w:r>
        <w:rPr>
          <w:rFonts w:eastAsia="TimesNewRomanPSMT"/>
          <w:color w:val="auto"/>
          <w:szCs w:val="24"/>
          <w:highlight w:val="none"/>
        </w:rPr>
        <w:t>-</w:t>
      </w:r>
      <w:r>
        <w:rPr>
          <w:color w:val="auto"/>
          <w:szCs w:val="24"/>
          <w:highlight w:val="none"/>
        </w:rPr>
        <w:t>水温相关法（朱伯芳公式）进行估算。</w:t>
      </w:r>
    </w:p>
    <w:p w14:paraId="7A42F32E">
      <w:pPr>
        <w:rPr>
          <w:color w:val="auto"/>
          <w:szCs w:val="24"/>
          <w:highlight w:val="none"/>
        </w:rPr>
      </w:pPr>
      <w:r>
        <w:rPr>
          <w:color w:val="auto"/>
          <w:szCs w:val="24"/>
          <w:highlight w:val="none"/>
        </w:rPr>
        <w:t>固原市多年平均气温</w:t>
      </w:r>
      <w:r>
        <w:rPr>
          <w:rFonts w:eastAsia="TimesNewRomanPSMT"/>
          <w:color w:val="auto"/>
          <w:szCs w:val="24"/>
          <w:highlight w:val="none"/>
        </w:rPr>
        <w:t>7.8</w:t>
      </w:r>
      <w:r>
        <w:rPr>
          <w:color w:val="auto"/>
          <w:szCs w:val="24"/>
          <w:highlight w:val="none"/>
        </w:rPr>
        <w:t>℃，属于寒冷地区（指年平均气温小于</w:t>
      </w:r>
      <w:r>
        <w:rPr>
          <w:rFonts w:eastAsia="TimesNewRomanPSMT"/>
          <w:color w:val="auto"/>
          <w:szCs w:val="24"/>
          <w:highlight w:val="none"/>
        </w:rPr>
        <w:t>10</w:t>
      </w:r>
      <w:r>
        <w:rPr>
          <w:color w:val="auto"/>
          <w:szCs w:val="24"/>
          <w:highlight w:val="none"/>
        </w:rPr>
        <w:t>℃的地区），库表水温按下式计算；</w:t>
      </w:r>
    </w:p>
    <w:p w14:paraId="53408821">
      <w:pPr>
        <w:jc w:val="center"/>
        <w:rPr>
          <w:color w:val="auto"/>
          <w:szCs w:val="24"/>
          <w:highlight w:val="none"/>
        </w:rPr>
      </w:pPr>
      <w:r>
        <w:rPr>
          <w:color w:val="auto"/>
          <w:szCs w:val="24"/>
          <w:highlight w:val="none"/>
        </w:rPr>
        <w:t>T</w:t>
      </w:r>
      <w:r>
        <w:rPr>
          <w:color w:val="auto"/>
          <w:szCs w:val="24"/>
          <w:highlight w:val="none"/>
          <w:vertAlign w:val="subscript"/>
        </w:rPr>
        <w:t>表</w:t>
      </w:r>
      <w:r>
        <w:rPr>
          <w:color w:val="auto"/>
          <w:szCs w:val="24"/>
          <w:highlight w:val="none"/>
        </w:rPr>
        <w:t>=T</w:t>
      </w:r>
      <w:r>
        <w:rPr>
          <w:color w:val="auto"/>
          <w:szCs w:val="24"/>
          <w:highlight w:val="none"/>
          <w:vertAlign w:val="subscript"/>
        </w:rPr>
        <w:t>气</w:t>
      </w:r>
      <w:r>
        <w:rPr>
          <w:color w:val="auto"/>
          <w:szCs w:val="24"/>
          <w:highlight w:val="none"/>
        </w:rPr>
        <w:t>+△b</w:t>
      </w:r>
    </w:p>
    <w:p w14:paraId="30FB56EE">
      <w:pPr>
        <w:rPr>
          <w:color w:val="auto"/>
          <w:szCs w:val="24"/>
          <w:highlight w:val="none"/>
        </w:rPr>
      </w:pPr>
      <w:r>
        <w:rPr>
          <w:color w:val="auto"/>
          <w:szCs w:val="24"/>
          <w:highlight w:val="none"/>
        </w:rPr>
        <w:t>式中，</w:t>
      </w:r>
      <w:r>
        <w:rPr>
          <w:rFonts w:eastAsia="TimesNewRomanPSMT"/>
          <w:color w:val="auto"/>
          <w:szCs w:val="24"/>
          <w:highlight w:val="none"/>
        </w:rPr>
        <w:t xml:space="preserve">T </w:t>
      </w:r>
      <w:r>
        <w:rPr>
          <w:color w:val="auto"/>
          <w:sz w:val="12"/>
          <w:szCs w:val="24"/>
          <w:highlight w:val="none"/>
        </w:rPr>
        <w:t>表</w:t>
      </w:r>
      <w:r>
        <w:rPr>
          <w:rFonts w:eastAsia="TimesNewRomanPSMT"/>
          <w:color w:val="auto"/>
          <w:szCs w:val="24"/>
          <w:highlight w:val="none"/>
        </w:rPr>
        <w:t>——</w:t>
      </w:r>
      <w:r>
        <w:rPr>
          <w:color w:val="auto"/>
          <w:szCs w:val="24"/>
          <w:highlight w:val="none"/>
        </w:rPr>
        <w:t>库表面水温（℃）；</w:t>
      </w:r>
    </w:p>
    <w:p w14:paraId="1974E23A">
      <w:pPr>
        <w:ind w:firstLine="1200" w:firstLineChars="500"/>
        <w:rPr>
          <w:color w:val="auto"/>
          <w:szCs w:val="24"/>
          <w:highlight w:val="none"/>
        </w:rPr>
      </w:pPr>
      <w:r>
        <w:rPr>
          <w:rFonts w:eastAsia="TimesNewRomanPSMT"/>
          <w:color w:val="auto"/>
          <w:szCs w:val="24"/>
          <w:highlight w:val="none"/>
        </w:rPr>
        <w:t xml:space="preserve">T </w:t>
      </w:r>
      <w:r>
        <w:rPr>
          <w:color w:val="auto"/>
          <w:sz w:val="12"/>
          <w:szCs w:val="24"/>
          <w:highlight w:val="none"/>
        </w:rPr>
        <w:t>气</w:t>
      </w:r>
      <w:r>
        <w:rPr>
          <w:rFonts w:eastAsia="TimesNewRomanPSMT"/>
          <w:color w:val="auto"/>
          <w:szCs w:val="24"/>
          <w:highlight w:val="none"/>
        </w:rPr>
        <w:t>——</w:t>
      </w:r>
      <w:r>
        <w:rPr>
          <w:color w:val="auto"/>
          <w:szCs w:val="24"/>
          <w:highlight w:val="none"/>
        </w:rPr>
        <w:t>当地气温（℃）；</w:t>
      </w:r>
    </w:p>
    <w:p w14:paraId="06B7369E">
      <w:pPr>
        <w:ind w:firstLine="1200" w:firstLineChars="500"/>
        <w:rPr>
          <w:color w:val="auto"/>
          <w:szCs w:val="24"/>
          <w:highlight w:val="none"/>
        </w:rPr>
      </w:pPr>
      <w:r>
        <w:rPr>
          <w:color w:val="auto"/>
          <w:szCs w:val="24"/>
          <w:highlight w:val="none"/>
        </w:rPr>
        <w:t>△</w:t>
      </w:r>
      <w:r>
        <w:rPr>
          <w:rFonts w:eastAsia="TimesNewRomanPSMT"/>
          <w:color w:val="auto"/>
          <w:szCs w:val="24"/>
          <w:highlight w:val="none"/>
        </w:rPr>
        <w:t>b——</w:t>
      </w:r>
      <w:r>
        <w:rPr>
          <w:color w:val="auto"/>
          <w:szCs w:val="24"/>
          <w:highlight w:val="none"/>
        </w:rPr>
        <w:t>温度增量，寒冷地区温度增量△</w:t>
      </w:r>
      <w:r>
        <w:rPr>
          <w:rFonts w:eastAsia="TimesNewRomanPSMT"/>
          <w:color w:val="auto"/>
          <w:szCs w:val="24"/>
          <w:highlight w:val="none"/>
        </w:rPr>
        <w:t>b</w:t>
      </w:r>
      <w:r>
        <w:rPr>
          <w:color w:val="auto"/>
          <w:szCs w:val="24"/>
          <w:highlight w:val="none"/>
        </w:rPr>
        <w:t>取</w:t>
      </w:r>
      <w:r>
        <w:rPr>
          <w:rFonts w:eastAsia="TimesNewRomanPSMT"/>
          <w:color w:val="auto"/>
          <w:szCs w:val="24"/>
          <w:highlight w:val="none"/>
        </w:rPr>
        <w:t>2</w:t>
      </w:r>
      <w:r>
        <w:rPr>
          <w:color w:val="auto"/>
          <w:szCs w:val="24"/>
          <w:highlight w:val="none"/>
        </w:rPr>
        <w:t>℃，月均气温低于</w:t>
      </w:r>
      <w:r>
        <w:rPr>
          <w:rFonts w:eastAsia="TimesNewRomanPSMT"/>
          <w:color w:val="auto"/>
          <w:szCs w:val="24"/>
          <w:highlight w:val="none"/>
        </w:rPr>
        <w:t>0</w:t>
      </w:r>
      <w:r>
        <w:rPr>
          <w:color w:val="auto"/>
          <w:szCs w:val="24"/>
          <w:highlight w:val="none"/>
        </w:rPr>
        <w:t>℃，库表温度取</w:t>
      </w:r>
      <w:r>
        <w:rPr>
          <w:rFonts w:eastAsia="TimesNewRomanPSMT"/>
          <w:color w:val="auto"/>
          <w:szCs w:val="24"/>
          <w:highlight w:val="none"/>
        </w:rPr>
        <w:t>0</w:t>
      </w:r>
      <w:r>
        <w:rPr>
          <w:color w:val="auto"/>
          <w:szCs w:val="24"/>
          <w:highlight w:val="none"/>
        </w:rPr>
        <w:t>℃。</w:t>
      </w:r>
      <w:r>
        <w:rPr>
          <w:rFonts w:hint="eastAsia"/>
          <w:color w:val="auto"/>
          <w:szCs w:val="24"/>
          <w:highlight w:val="none"/>
          <w:lang w:eastAsia="zh-CN"/>
        </w:rPr>
        <w:t>石头崾岘</w:t>
      </w:r>
      <w:r>
        <w:rPr>
          <w:color w:val="auto"/>
          <w:szCs w:val="24"/>
          <w:highlight w:val="none"/>
        </w:rPr>
        <w:t>水库库表各月水温值详见下表</w:t>
      </w:r>
      <w:r>
        <w:rPr>
          <w:rFonts w:eastAsia="TimesNewRomanPSMT"/>
          <w:color w:val="auto"/>
          <w:szCs w:val="24"/>
          <w:highlight w:val="none"/>
        </w:rPr>
        <w:t>6.2</w:t>
      </w:r>
      <w:r>
        <w:rPr>
          <w:color w:val="auto"/>
          <w:szCs w:val="24"/>
          <w:highlight w:val="none"/>
        </w:rPr>
        <w:t>-</w:t>
      </w:r>
      <w:r>
        <w:rPr>
          <w:rFonts w:hint="eastAsia"/>
          <w:color w:val="auto"/>
          <w:szCs w:val="24"/>
          <w:highlight w:val="none"/>
          <w:lang w:val="en-US" w:eastAsia="zh-CN"/>
        </w:rPr>
        <w:t>2</w:t>
      </w:r>
      <w:r>
        <w:rPr>
          <w:color w:val="auto"/>
          <w:szCs w:val="24"/>
          <w:highlight w:val="none"/>
        </w:rPr>
        <w:t>。</w:t>
      </w:r>
    </w:p>
    <w:p w14:paraId="6C282DA8">
      <w:pPr>
        <w:pStyle w:val="9"/>
        <w:spacing w:line="276" w:lineRule="auto"/>
        <w:ind w:firstLine="0" w:firstLineChars="0"/>
        <w:jc w:val="center"/>
        <w:rPr>
          <w:rFonts w:ascii="Times New Roman" w:hAnsi="Times New Roman"/>
          <w:b/>
          <w:bCs/>
          <w:color w:val="auto"/>
          <w:highlight w:val="none"/>
        </w:rPr>
      </w:pPr>
    </w:p>
    <w:p w14:paraId="068080B8">
      <w:pPr>
        <w:pStyle w:val="9"/>
        <w:spacing w:line="276" w:lineRule="auto"/>
        <w:ind w:firstLine="0" w:firstLineChars="0"/>
        <w:jc w:val="center"/>
        <w:rPr>
          <w:rFonts w:ascii="Times New Roman" w:hAnsi="Times New Roman"/>
          <w:b/>
          <w:bCs/>
          <w:color w:val="auto"/>
          <w:highlight w:val="none"/>
        </w:rPr>
      </w:pPr>
    </w:p>
    <w:p w14:paraId="099DB420">
      <w:pPr>
        <w:pStyle w:val="9"/>
        <w:spacing w:line="276" w:lineRule="auto"/>
        <w:ind w:firstLine="0" w:firstLineChars="0"/>
        <w:jc w:val="center"/>
        <w:rPr>
          <w:rFonts w:ascii="Times New Roman" w:hAnsi="Times New Roman"/>
          <w:b/>
          <w:bCs/>
          <w:color w:val="auto"/>
          <w:highlight w:val="none"/>
        </w:rPr>
      </w:pPr>
      <w:r>
        <w:rPr>
          <w:rFonts w:ascii="Times New Roman" w:hAnsi="Times New Roman"/>
          <w:b/>
          <w:bCs/>
          <w:color w:val="auto"/>
          <w:highlight w:val="none"/>
        </w:rPr>
        <w:t>表 6.2-</w:t>
      </w:r>
      <w:r>
        <w:rPr>
          <w:rFonts w:hint="eastAsia"/>
          <w:b/>
          <w:bCs/>
          <w:color w:val="auto"/>
          <w:highlight w:val="none"/>
          <w:lang w:val="en-US" w:eastAsia="zh-CN"/>
        </w:rPr>
        <w:t>2</w:t>
      </w:r>
      <w:r>
        <w:rPr>
          <w:rFonts w:ascii="Times New Roman" w:hAnsi="Times New Roman"/>
          <w:b/>
          <w:bCs/>
          <w:color w:val="auto"/>
          <w:highlight w:val="none"/>
        </w:rPr>
        <w:t>库表各月水温 单位：℃</w:t>
      </w:r>
    </w:p>
    <w:tbl>
      <w:tblPr>
        <w:tblStyle w:val="31"/>
        <w:tblW w:w="7970" w:type="dxa"/>
        <w:tblInd w:w="0" w:type="dxa"/>
        <w:tblLayout w:type="fixed"/>
        <w:tblCellMar>
          <w:top w:w="0" w:type="dxa"/>
          <w:left w:w="108" w:type="dxa"/>
          <w:bottom w:w="0" w:type="dxa"/>
          <w:right w:w="108" w:type="dxa"/>
        </w:tblCellMar>
      </w:tblPr>
      <w:tblGrid>
        <w:gridCol w:w="567"/>
        <w:gridCol w:w="544"/>
        <w:gridCol w:w="571"/>
        <w:gridCol w:w="584"/>
        <w:gridCol w:w="584"/>
        <w:gridCol w:w="584"/>
        <w:gridCol w:w="641"/>
        <w:gridCol w:w="611"/>
        <w:gridCol w:w="584"/>
        <w:gridCol w:w="880"/>
        <w:gridCol w:w="878"/>
        <w:gridCol w:w="942"/>
      </w:tblGrid>
      <w:tr w14:paraId="123DB690">
        <w:tblPrEx>
          <w:tblCellMar>
            <w:top w:w="0" w:type="dxa"/>
            <w:left w:w="108" w:type="dxa"/>
            <w:bottom w:w="0" w:type="dxa"/>
            <w:right w:w="108" w:type="dxa"/>
          </w:tblCellMar>
        </w:tblPrEx>
        <w:trPr>
          <w:trHeight w:val="625" w:hRule="exact"/>
        </w:trPr>
        <w:tc>
          <w:tcPr>
            <w:tcW w:w="567" w:type="dxa"/>
            <w:tcBorders>
              <w:top w:val="single" w:color="000000" w:sz="12" w:space="0"/>
              <w:left w:val="nil"/>
              <w:bottom w:val="single" w:color="000000" w:sz="4" w:space="0"/>
              <w:right w:val="single" w:color="000000" w:sz="4" w:space="0"/>
            </w:tcBorders>
            <w:vAlign w:val="center"/>
          </w:tcPr>
          <w:p w14:paraId="280E3B94">
            <w:pPr>
              <w:pStyle w:val="29"/>
              <w:suppressLineNumbers w:val="0"/>
              <w:spacing w:beforeAutospacing="0" w:afterAutospacing="0"/>
              <w:ind w:left="0" w:right="0"/>
              <w:rPr>
                <w:rFonts w:hint="default"/>
                <w:b/>
                <w:bCs/>
                <w:color w:val="auto"/>
                <w:highlight w:val="none"/>
              </w:rPr>
            </w:pPr>
            <w:bookmarkStart w:id="5569" w:name="_Toc22342"/>
            <w:r>
              <w:rPr>
                <w:rFonts w:hint="default"/>
                <w:b/>
                <w:bCs/>
                <w:color w:val="auto"/>
                <w:highlight w:val="none"/>
              </w:rPr>
              <w:t>月份</w:t>
            </w:r>
            <w:bookmarkEnd w:id="5569"/>
          </w:p>
        </w:tc>
        <w:tc>
          <w:tcPr>
            <w:tcW w:w="544" w:type="dxa"/>
            <w:tcBorders>
              <w:top w:val="single" w:color="000000" w:sz="12" w:space="0"/>
              <w:left w:val="single" w:color="000000" w:sz="4" w:space="0"/>
              <w:bottom w:val="single" w:color="000000" w:sz="4" w:space="0"/>
              <w:right w:val="single" w:color="000000" w:sz="4" w:space="0"/>
            </w:tcBorders>
            <w:vAlign w:val="center"/>
          </w:tcPr>
          <w:p w14:paraId="4A3A179B">
            <w:pPr>
              <w:pStyle w:val="29"/>
              <w:suppressLineNumbers w:val="0"/>
              <w:spacing w:beforeAutospacing="0" w:afterAutospacing="0"/>
              <w:ind w:left="0" w:right="0"/>
              <w:rPr>
                <w:rFonts w:hint="default"/>
                <w:b/>
                <w:bCs/>
                <w:color w:val="auto"/>
                <w:highlight w:val="none"/>
              </w:rPr>
            </w:pPr>
            <w:bookmarkStart w:id="5570" w:name="_Toc26976"/>
            <w:r>
              <w:rPr>
                <w:rFonts w:hint="default"/>
                <w:b/>
                <w:bCs/>
                <w:color w:val="auto"/>
                <w:highlight w:val="none"/>
              </w:rPr>
              <w:t>一月</w:t>
            </w:r>
            <w:bookmarkEnd w:id="5570"/>
          </w:p>
        </w:tc>
        <w:tc>
          <w:tcPr>
            <w:tcW w:w="571" w:type="dxa"/>
            <w:tcBorders>
              <w:top w:val="single" w:color="000000" w:sz="12" w:space="0"/>
              <w:left w:val="single" w:color="000000" w:sz="4" w:space="0"/>
              <w:bottom w:val="single" w:color="000000" w:sz="4" w:space="0"/>
              <w:right w:val="single" w:color="000000" w:sz="4" w:space="0"/>
            </w:tcBorders>
            <w:vAlign w:val="center"/>
          </w:tcPr>
          <w:p w14:paraId="6F62F422">
            <w:pPr>
              <w:pStyle w:val="29"/>
              <w:suppressLineNumbers w:val="0"/>
              <w:spacing w:beforeAutospacing="0" w:afterAutospacing="0"/>
              <w:ind w:left="0" w:right="0"/>
              <w:rPr>
                <w:rFonts w:hint="default"/>
                <w:b/>
                <w:bCs/>
                <w:color w:val="auto"/>
                <w:highlight w:val="none"/>
              </w:rPr>
            </w:pPr>
            <w:bookmarkStart w:id="5571" w:name="_Toc28480"/>
            <w:r>
              <w:rPr>
                <w:rFonts w:hint="default"/>
                <w:b/>
                <w:bCs/>
                <w:color w:val="auto"/>
                <w:highlight w:val="none"/>
              </w:rPr>
              <w:t>二月</w:t>
            </w:r>
            <w:bookmarkEnd w:id="5571"/>
          </w:p>
        </w:tc>
        <w:tc>
          <w:tcPr>
            <w:tcW w:w="584" w:type="dxa"/>
            <w:tcBorders>
              <w:top w:val="single" w:color="000000" w:sz="12" w:space="0"/>
              <w:left w:val="single" w:color="000000" w:sz="4" w:space="0"/>
              <w:bottom w:val="single" w:color="000000" w:sz="4" w:space="0"/>
              <w:right w:val="single" w:color="000000" w:sz="4" w:space="0"/>
            </w:tcBorders>
            <w:vAlign w:val="center"/>
          </w:tcPr>
          <w:p w14:paraId="42201358">
            <w:pPr>
              <w:pStyle w:val="29"/>
              <w:suppressLineNumbers w:val="0"/>
              <w:spacing w:beforeAutospacing="0" w:afterAutospacing="0"/>
              <w:ind w:left="0" w:right="0"/>
              <w:rPr>
                <w:rFonts w:hint="default"/>
                <w:b/>
                <w:bCs/>
                <w:color w:val="auto"/>
                <w:highlight w:val="none"/>
              </w:rPr>
            </w:pPr>
            <w:bookmarkStart w:id="5572" w:name="_Toc27527"/>
            <w:r>
              <w:rPr>
                <w:rFonts w:hint="default"/>
                <w:b/>
                <w:bCs/>
                <w:color w:val="auto"/>
                <w:highlight w:val="none"/>
              </w:rPr>
              <w:t>四月</w:t>
            </w:r>
            <w:bookmarkEnd w:id="5572"/>
          </w:p>
        </w:tc>
        <w:tc>
          <w:tcPr>
            <w:tcW w:w="584" w:type="dxa"/>
            <w:tcBorders>
              <w:top w:val="single" w:color="000000" w:sz="12" w:space="0"/>
              <w:left w:val="single" w:color="000000" w:sz="4" w:space="0"/>
              <w:bottom w:val="single" w:color="000000" w:sz="4" w:space="0"/>
              <w:right w:val="single" w:color="000000" w:sz="4" w:space="0"/>
            </w:tcBorders>
            <w:vAlign w:val="center"/>
          </w:tcPr>
          <w:p w14:paraId="6ED02102">
            <w:pPr>
              <w:pStyle w:val="29"/>
              <w:suppressLineNumbers w:val="0"/>
              <w:spacing w:beforeAutospacing="0" w:afterAutospacing="0"/>
              <w:ind w:left="0" w:right="0"/>
              <w:rPr>
                <w:rFonts w:hint="default"/>
                <w:b/>
                <w:bCs/>
                <w:color w:val="auto"/>
                <w:highlight w:val="none"/>
              </w:rPr>
            </w:pPr>
            <w:bookmarkStart w:id="5573" w:name="_Toc17837"/>
            <w:r>
              <w:rPr>
                <w:rFonts w:hint="default"/>
                <w:b/>
                <w:bCs/>
                <w:color w:val="auto"/>
                <w:highlight w:val="none"/>
              </w:rPr>
              <w:t>五月</w:t>
            </w:r>
            <w:bookmarkEnd w:id="5573"/>
          </w:p>
        </w:tc>
        <w:tc>
          <w:tcPr>
            <w:tcW w:w="584" w:type="dxa"/>
            <w:tcBorders>
              <w:top w:val="single" w:color="000000" w:sz="12" w:space="0"/>
              <w:left w:val="single" w:color="000000" w:sz="4" w:space="0"/>
              <w:bottom w:val="single" w:color="000000" w:sz="4" w:space="0"/>
              <w:right w:val="single" w:color="000000" w:sz="4" w:space="0"/>
            </w:tcBorders>
            <w:vAlign w:val="center"/>
          </w:tcPr>
          <w:p w14:paraId="4BDAB4B5">
            <w:pPr>
              <w:pStyle w:val="29"/>
              <w:suppressLineNumbers w:val="0"/>
              <w:spacing w:beforeAutospacing="0" w:afterAutospacing="0"/>
              <w:ind w:left="0" w:right="0"/>
              <w:rPr>
                <w:rFonts w:hint="default"/>
                <w:b/>
                <w:bCs/>
                <w:color w:val="auto"/>
                <w:highlight w:val="none"/>
              </w:rPr>
            </w:pPr>
            <w:bookmarkStart w:id="5574" w:name="_Toc8246"/>
            <w:r>
              <w:rPr>
                <w:rFonts w:hint="default"/>
                <w:b/>
                <w:bCs/>
                <w:color w:val="auto"/>
                <w:highlight w:val="none"/>
              </w:rPr>
              <w:t>六月</w:t>
            </w:r>
            <w:bookmarkEnd w:id="5574"/>
          </w:p>
        </w:tc>
        <w:tc>
          <w:tcPr>
            <w:tcW w:w="641" w:type="dxa"/>
            <w:tcBorders>
              <w:top w:val="single" w:color="000000" w:sz="12" w:space="0"/>
              <w:left w:val="single" w:color="000000" w:sz="4" w:space="0"/>
              <w:bottom w:val="single" w:color="000000" w:sz="4" w:space="0"/>
              <w:right w:val="single" w:color="000000" w:sz="4" w:space="0"/>
            </w:tcBorders>
            <w:vAlign w:val="center"/>
          </w:tcPr>
          <w:p w14:paraId="0E20C1CB">
            <w:pPr>
              <w:pStyle w:val="29"/>
              <w:suppressLineNumbers w:val="0"/>
              <w:spacing w:beforeAutospacing="0" w:afterAutospacing="0"/>
              <w:ind w:left="0" w:right="0"/>
              <w:rPr>
                <w:rFonts w:hint="default"/>
                <w:b/>
                <w:bCs/>
                <w:color w:val="auto"/>
                <w:highlight w:val="none"/>
              </w:rPr>
            </w:pPr>
            <w:bookmarkStart w:id="5575" w:name="_Toc5085"/>
            <w:r>
              <w:rPr>
                <w:rFonts w:hint="default"/>
                <w:b/>
                <w:bCs/>
                <w:color w:val="auto"/>
                <w:highlight w:val="none"/>
              </w:rPr>
              <w:t>七月</w:t>
            </w:r>
            <w:bookmarkEnd w:id="5575"/>
          </w:p>
        </w:tc>
        <w:tc>
          <w:tcPr>
            <w:tcW w:w="611" w:type="dxa"/>
            <w:tcBorders>
              <w:top w:val="single" w:color="000000" w:sz="12" w:space="0"/>
              <w:left w:val="single" w:color="000000" w:sz="4" w:space="0"/>
              <w:bottom w:val="single" w:color="000000" w:sz="4" w:space="0"/>
              <w:right w:val="single" w:color="000000" w:sz="4" w:space="0"/>
            </w:tcBorders>
            <w:vAlign w:val="center"/>
          </w:tcPr>
          <w:p w14:paraId="5FB2B68F">
            <w:pPr>
              <w:pStyle w:val="29"/>
              <w:suppressLineNumbers w:val="0"/>
              <w:spacing w:beforeAutospacing="0" w:afterAutospacing="0"/>
              <w:ind w:left="0" w:right="0"/>
              <w:rPr>
                <w:rFonts w:hint="default"/>
                <w:b/>
                <w:bCs/>
                <w:color w:val="auto"/>
                <w:highlight w:val="none"/>
              </w:rPr>
            </w:pPr>
            <w:bookmarkStart w:id="5576" w:name="_Toc13457"/>
            <w:r>
              <w:rPr>
                <w:rFonts w:hint="default"/>
                <w:b/>
                <w:bCs/>
                <w:color w:val="auto"/>
                <w:highlight w:val="none"/>
              </w:rPr>
              <w:t>八月</w:t>
            </w:r>
            <w:bookmarkEnd w:id="5576"/>
          </w:p>
        </w:tc>
        <w:tc>
          <w:tcPr>
            <w:tcW w:w="584" w:type="dxa"/>
            <w:tcBorders>
              <w:top w:val="single" w:color="000000" w:sz="12" w:space="0"/>
              <w:left w:val="single" w:color="000000" w:sz="4" w:space="0"/>
              <w:bottom w:val="single" w:color="000000" w:sz="4" w:space="0"/>
              <w:right w:val="single" w:color="000000" w:sz="4" w:space="0"/>
            </w:tcBorders>
            <w:vAlign w:val="center"/>
          </w:tcPr>
          <w:p w14:paraId="1E388ACD">
            <w:pPr>
              <w:pStyle w:val="29"/>
              <w:suppressLineNumbers w:val="0"/>
              <w:spacing w:beforeAutospacing="0" w:afterAutospacing="0"/>
              <w:ind w:left="0" w:right="0"/>
              <w:rPr>
                <w:rFonts w:hint="default"/>
                <w:b/>
                <w:bCs/>
                <w:color w:val="auto"/>
                <w:highlight w:val="none"/>
              </w:rPr>
            </w:pPr>
            <w:bookmarkStart w:id="5577" w:name="_Toc3883"/>
            <w:r>
              <w:rPr>
                <w:rFonts w:hint="default"/>
                <w:b/>
                <w:bCs/>
                <w:color w:val="auto"/>
                <w:highlight w:val="none"/>
              </w:rPr>
              <w:t>九月</w:t>
            </w:r>
            <w:bookmarkEnd w:id="5577"/>
          </w:p>
        </w:tc>
        <w:tc>
          <w:tcPr>
            <w:tcW w:w="880" w:type="dxa"/>
            <w:tcBorders>
              <w:top w:val="single" w:color="000000" w:sz="12" w:space="0"/>
              <w:left w:val="single" w:color="000000" w:sz="4" w:space="0"/>
              <w:bottom w:val="single" w:color="000000" w:sz="4" w:space="0"/>
              <w:right w:val="single" w:color="000000" w:sz="4" w:space="0"/>
            </w:tcBorders>
            <w:vAlign w:val="center"/>
          </w:tcPr>
          <w:p w14:paraId="7E2308DA">
            <w:pPr>
              <w:pStyle w:val="29"/>
              <w:suppressLineNumbers w:val="0"/>
              <w:spacing w:beforeAutospacing="0" w:afterAutospacing="0"/>
              <w:ind w:left="0" w:right="0"/>
              <w:rPr>
                <w:rFonts w:hint="default"/>
                <w:b/>
                <w:bCs/>
                <w:color w:val="auto"/>
                <w:highlight w:val="none"/>
              </w:rPr>
            </w:pPr>
            <w:bookmarkStart w:id="5578" w:name="_Toc31271"/>
            <w:r>
              <w:rPr>
                <w:rFonts w:hint="default"/>
                <w:b/>
                <w:bCs/>
                <w:color w:val="auto"/>
                <w:highlight w:val="none"/>
              </w:rPr>
              <w:t>十月</w:t>
            </w:r>
            <w:bookmarkEnd w:id="5578"/>
          </w:p>
        </w:tc>
        <w:tc>
          <w:tcPr>
            <w:tcW w:w="878" w:type="dxa"/>
            <w:tcBorders>
              <w:top w:val="single" w:color="000000" w:sz="12" w:space="0"/>
              <w:left w:val="single" w:color="000000" w:sz="4" w:space="0"/>
              <w:bottom w:val="single" w:color="000000" w:sz="4" w:space="0"/>
              <w:right w:val="single" w:color="000000" w:sz="4" w:space="0"/>
            </w:tcBorders>
            <w:vAlign w:val="center"/>
          </w:tcPr>
          <w:p w14:paraId="4596F534">
            <w:pPr>
              <w:pStyle w:val="29"/>
              <w:suppressLineNumbers w:val="0"/>
              <w:spacing w:beforeAutospacing="0" w:afterAutospacing="0"/>
              <w:ind w:left="0" w:right="0"/>
              <w:rPr>
                <w:rFonts w:hint="default"/>
                <w:b/>
                <w:bCs/>
                <w:color w:val="auto"/>
                <w:highlight w:val="none"/>
              </w:rPr>
            </w:pPr>
            <w:bookmarkStart w:id="5579" w:name="_Toc30217"/>
            <w:r>
              <w:rPr>
                <w:rFonts w:hint="default"/>
                <w:b/>
                <w:bCs/>
                <w:color w:val="auto"/>
                <w:highlight w:val="none"/>
              </w:rPr>
              <w:t>十一月</w:t>
            </w:r>
            <w:bookmarkEnd w:id="5579"/>
          </w:p>
        </w:tc>
        <w:tc>
          <w:tcPr>
            <w:tcW w:w="942" w:type="dxa"/>
            <w:tcBorders>
              <w:top w:val="single" w:color="000000" w:sz="12" w:space="0"/>
              <w:left w:val="single" w:color="000000" w:sz="4" w:space="0"/>
              <w:bottom w:val="single" w:color="000000" w:sz="4" w:space="0"/>
              <w:right w:val="nil"/>
            </w:tcBorders>
            <w:vAlign w:val="center"/>
          </w:tcPr>
          <w:p w14:paraId="17BCE94F">
            <w:pPr>
              <w:pStyle w:val="29"/>
              <w:suppressLineNumbers w:val="0"/>
              <w:spacing w:beforeAutospacing="0" w:afterAutospacing="0"/>
              <w:ind w:left="0" w:right="0"/>
              <w:rPr>
                <w:rFonts w:hint="default"/>
                <w:b/>
                <w:bCs/>
                <w:color w:val="auto"/>
                <w:highlight w:val="none"/>
              </w:rPr>
            </w:pPr>
            <w:bookmarkStart w:id="5580" w:name="_Toc1112"/>
            <w:r>
              <w:rPr>
                <w:rFonts w:hint="default"/>
                <w:b/>
                <w:bCs/>
                <w:color w:val="auto"/>
                <w:highlight w:val="none"/>
              </w:rPr>
              <w:t>十二月</w:t>
            </w:r>
            <w:bookmarkEnd w:id="5580"/>
          </w:p>
        </w:tc>
      </w:tr>
      <w:tr w14:paraId="2B3EC344">
        <w:tblPrEx>
          <w:tblCellMar>
            <w:top w:w="0" w:type="dxa"/>
            <w:left w:w="108" w:type="dxa"/>
            <w:bottom w:w="0" w:type="dxa"/>
            <w:right w:w="108" w:type="dxa"/>
          </w:tblCellMar>
        </w:tblPrEx>
        <w:trPr>
          <w:trHeight w:val="666" w:hRule="exact"/>
        </w:trPr>
        <w:tc>
          <w:tcPr>
            <w:tcW w:w="567" w:type="dxa"/>
            <w:tcBorders>
              <w:top w:val="single" w:color="000000" w:sz="4" w:space="0"/>
              <w:left w:val="nil"/>
              <w:bottom w:val="single" w:color="000000" w:sz="12" w:space="0"/>
              <w:right w:val="single" w:color="000000" w:sz="4" w:space="0"/>
            </w:tcBorders>
            <w:vAlign w:val="center"/>
          </w:tcPr>
          <w:p w14:paraId="55302DA5">
            <w:pPr>
              <w:pStyle w:val="29"/>
              <w:suppressLineNumbers w:val="0"/>
              <w:spacing w:beforeAutospacing="0" w:afterAutospacing="0"/>
              <w:ind w:left="0" w:right="0"/>
              <w:rPr>
                <w:rFonts w:hint="default"/>
                <w:color w:val="auto"/>
                <w:highlight w:val="none"/>
              </w:rPr>
            </w:pPr>
            <w:r>
              <w:rPr>
                <w:rFonts w:hint="default"/>
                <w:color w:val="auto"/>
                <w:highlight w:val="none"/>
              </w:rPr>
              <w:t>水温</w:t>
            </w:r>
          </w:p>
        </w:tc>
        <w:tc>
          <w:tcPr>
            <w:tcW w:w="544" w:type="dxa"/>
            <w:tcBorders>
              <w:top w:val="single" w:color="000000" w:sz="4" w:space="0"/>
              <w:left w:val="single" w:color="000000" w:sz="4" w:space="0"/>
              <w:bottom w:val="single" w:color="000000" w:sz="12" w:space="0"/>
              <w:right w:val="single" w:color="000000" w:sz="4" w:space="0"/>
            </w:tcBorders>
            <w:vAlign w:val="center"/>
          </w:tcPr>
          <w:p w14:paraId="0EF970B4">
            <w:pPr>
              <w:pStyle w:val="29"/>
              <w:suppressLineNumbers w:val="0"/>
              <w:spacing w:beforeAutospacing="0" w:afterAutospacing="0"/>
              <w:ind w:left="0" w:right="0"/>
              <w:rPr>
                <w:rFonts w:hint="default"/>
                <w:color w:val="auto"/>
                <w:highlight w:val="none"/>
              </w:rPr>
            </w:pPr>
            <w:bookmarkStart w:id="5581" w:name="_Toc539"/>
            <w:r>
              <w:rPr>
                <w:rFonts w:hint="default"/>
                <w:color w:val="auto"/>
                <w:highlight w:val="none"/>
              </w:rPr>
              <w:t>0</w:t>
            </w:r>
            <w:bookmarkEnd w:id="5581"/>
          </w:p>
        </w:tc>
        <w:tc>
          <w:tcPr>
            <w:tcW w:w="571" w:type="dxa"/>
            <w:tcBorders>
              <w:top w:val="single" w:color="000000" w:sz="4" w:space="0"/>
              <w:left w:val="single" w:color="000000" w:sz="4" w:space="0"/>
              <w:bottom w:val="single" w:color="000000" w:sz="12" w:space="0"/>
              <w:right w:val="single" w:color="000000" w:sz="4" w:space="0"/>
            </w:tcBorders>
            <w:vAlign w:val="center"/>
          </w:tcPr>
          <w:p w14:paraId="1D9E1A33">
            <w:pPr>
              <w:pStyle w:val="29"/>
              <w:suppressLineNumbers w:val="0"/>
              <w:spacing w:beforeAutospacing="0" w:afterAutospacing="0"/>
              <w:ind w:left="0" w:right="0"/>
              <w:rPr>
                <w:rFonts w:hint="default"/>
                <w:color w:val="auto"/>
                <w:highlight w:val="none"/>
              </w:rPr>
            </w:pPr>
            <w:bookmarkStart w:id="5582" w:name="_Toc10773"/>
            <w:r>
              <w:rPr>
                <w:rFonts w:hint="default"/>
                <w:color w:val="auto"/>
                <w:highlight w:val="none"/>
              </w:rPr>
              <w:t>0</w:t>
            </w:r>
            <w:bookmarkEnd w:id="5582"/>
          </w:p>
        </w:tc>
        <w:tc>
          <w:tcPr>
            <w:tcW w:w="584" w:type="dxa"/>
            <w:tcBorders>
              <w:top w:val="single" w:color="000000" w:sz="4" w:space="0"/>
              <w:left w:val="single" w:color="000000" w:sz="4" w:space="0"/>
              <w:bottom w:val="single" w:color="000000" w:sz="12" w:space="0"/>
              <w:right w:val="single" w:color="000000" w:sz="4" w:space="0"/>
            </w:tcBorders>
            <w:vAlign w:val="center"/>
          </w:tcPr>
          <w:p w14:paraId="5C9C3CB4">
            <w:pPr>
              <w:pStyle w:val="29"/>
              <w:suppressLineNumbers w:val="0"/>
              <w:spacing w:beforeAutospacing="0" w:afterAutospacing="0"/>
              <w:ind w:left="0" w:right="0"/>
              <w:rPr>
                <w:rFonts w:hint="default"/>
                <w:color w:val="auto"/>
                <w:highlight w:val="none"/>
              </w:rPr>
            </w:pPr>
            <w:bookmarkStart w:id="5583" w:name="_Toc16053"/>
            <w:r>
              <w:rPr>
                <w:rFonts w:hint="default"/>
                <w:color w:val="auto"/>
                <w:highlight w:val="none"/>
              </w:rPr>
              <w:t>11.7</w:t>
            </w:r>
            <w:bookmarkEnd w:id="5583"/>
          </w:p>
        </w:tc>
        <w:tc>
          <w:tcPr>
            <w:tcW w:w="584" w:type="dxa"/>
            <w:tcBorders>
              <w:top w:val="single" w:color="000000" w:sz="4" w:space="0"/>
              <w:left w:val="single" w:color="000000" w:sz="4" w:space="0"/>
              <w:bottom w:val="single" w:color="000000" w:sz="12" w:space="0"/>
              <w:right w:val="single" w:color="000000" w:sz="4" w:space="0"/>
            </w:tcBorders>
            <w:vAlign w:val="center"/>
          </w:tcPr>
          <w:p w14:paraId="511F05D4">
            <w:pPr>
              <w:pStyle w:val="29"/>
              <w:suppressLineNumbers w:val="0"/>
              <w:spacing w:beforeAutospacing="0" w:afterAutospacing="0"/>
              <w:ind w:left="0" w:right="0"/>
              <w:rPr>
                <w:rFonts w:hint="default"/>
                <w:color w:val="auto"/>
                <w:highlight w:val="none"/>
              </w:rPr>
            </w:pPr>
            <w:bookmarkStart w:id="5584" w:name="_Toc2263"/>
            <w:r>
              <w:rPr>
                <w:rFonts w:hint="default"/>
                <w:color w:val="auto"/>
                <w:highlight w:val="none"/>
              </w:rPr>
              <w:t>16.7</w:t>
            </w:r>
            <w:bookmarkEnd w:id="5584"/>
          </w:p>
        </w:tc>
        <w:tc>
          <w:tcPr>
            <w:tcW w:w="584" w:type="dxa"/>
            <w:tcBorders>
              <w:top w:val="single" w:color="000000" w:sz="4" w:space="0"/>
              <w:left w:val="single" w:color="000000" w:sz="4" w:space="0"/>
              <w:bottom w:val="single" w:color="000000" w:sz="12" w:space="0"/>
              <w:right w:val="single" w:color="000000" w:sz="4" w:space="0"/>
            </w:tcBorders>
            <w:vAlign w:val="center"/>
          </w:tcPr>
          <w:p w14:paraId="65A606AC">
            <w:pPr>
              <w:pStyle w:val="29"/>
              <w:suppressLineNumbers w:val="0"/>
              <w:spacing w:beforeAutospacing="0" w:afterAutospacing="0"/>
              <w:ind w:left="0" w:right="0"/>
              <w:rPr>
                <w:rFonts w:hint="default"/>
                <w:color w:val="auto"/>
                <w:highlight w:val="none"/>
              </w:rPr>
            </w:pPr>
            <w:bookmarkStart w:id="5585" w:name="_Toc18782"/>
            <w:r>
              <w:rPr>
                <w:rFonts w:hint="default"/>
                <w:color w:val="auto"/>
                <w:highlight w:val="none"/>
              </w:rPr>
              <w:t>20.8</w:t>
            </w:r>
            <w:bookmarkEnd w:id="5585"/>
          </w:p>
        </w:tc>
        <w:tc>
          <w:tcPr>
            <w:tcW w:w="641" w:type="dxa"/>
            <w:tcBorders>
              <w:top w:val="single" w:color="000000" w:sz="4" w:space="0"/>
              <w:left w:val="single" w:color="000000" w:sz="4" w:space="0"/>
              <w:bottom w:val="single" w:color="000000" w:sz="12" w:space="0"/>
              <w:right w:val="single" w:color="000000" w:sz="4" w:space="0"/>
            </w:tcBorders>
            <w:vAlign w:val="center"/>
          </w:tcPr>
          <w:p w14:paraId="2CF0DA83">
            <w:pPr>
              <w:pStyle w:val="29"/>
              <w:suppressLineNumbers w:val="0"/>
              <w:spacing w:beforeAutospacing="0" w:afterAutospacing="0"/>
              <w:ind w:left="0" w:right="0"/>
              <w:rPr>
                <w:rFonts w:hint="default"/>
                <w:color w:val="auto"/>
                <w:highlight w:val="none"/>
              </w:rPr>
            </w:pPr>
            <w:bookmarkStart w:id="5586" w:name="_Toc17969"/>
            <w:r>
              <w:rPr>
                <w:rFonts w:hint="default"/>
                <w:color w:val="auto"/>
                <w:highlight w:val="none"/>
              </w:rPr>
              <w:t>22.3</w:t>
            </w:r>
            <w:bookmarkEnd w:id="5586"/>
          </w:p>
        </w:tc>
        <w:tc>
          <w:tcPr>
            <w:tcW w:w="611" w:type="dxa"/>
            <w:tcBorders>
              <w:top w:val="single" w:color="000000" w:sz="4" w:space="0"/>
              <w:left w:val="single" w:color="000000" w:sz="4" w:space="0"/>
              <w:bottom w:val="single" w:color="000000" w:sz="12" w:space="0"/>
              <w:right w:val="single" w:color="000000" w:sz="4" w:space="0"/>
            </w:tcBorders>
            <w:vAlign w:val="center"/>
          </w:tcPr>
          <w:p w14:paraId="613FDC33">
            <w:pPr>
              <w:pStyle w:val="29"/>
              <w:suppressLineNumbers w:val="0"/>
              <w:spacing w:beforeAutospacing="0" w:afterAutospacing="0"/>
              <w:ind w:left="0" w:right="0"/>
              <w:rPr>
                <w:rFonts w:hint="default"/>
                <w:color w:val="auto"/>
                <w:highlight w:val="none"/>
              </w:rPr>
            </w:pPr>
            <w:r>
              <w:rPr>
                <w:rFonts w:hint="default"/>
                <w:color w:val="auto"/>
                <w:highlight w:val="none"/>
              </w:rPr>
              <w:t>20.7</w:t>
            </w:r>
          </w:p>
        </w:tc>
        <w:tc>
          <w:tcPr>
            <w:tcW w:w="584" w:type="dxa"/>
            <w:tcBorders>
              <w:top w:val="single" w:color="000000" w:sz="4" w:space="0"/>
              <w:left w:val="single" w:color="000000" w:sz="4" w:space="0"/>
              <w:bottom w:val="single" w:color="000000" w:sz="12" w:space="0"/>
              <w:right w:val="single" w:color="000000" w:sz="4" w:space="0"/>
            </w:tcBorders>
            <w:vAlign w:val="center"/>
          </w:tcPr>
          <w:p w14:paraId="3CE2286A">
            <w:pPr>
              <w:pStyle w:val="29"/>
              <w:suppressLineNumbers w:val="0"/>
              <w:spacing w:beforeAutospacing="0" w:afterAutospacing="0"/>
              <w:ind w:left="0" w:right="0"/>
              <w:rPr>
                <w:rFonts w:hint="default"/>
                <w:color w:val="auto"/>
                <w:highlight w:val="none"/>
              </w:rPr>
            </w:pPr>
            <w:bookmarkStart w:id="5587" w:name="_Toc10181"/>
            <w:r>
              <w:rPr>
                <w:rFonts w:hint="default"/>
                <w:color w:val="auto"/>
                <w:highlight w:val="none"/>
              </w:rPr>
              <w:t>15.5</w:t>
            </w:r>
            <w:bookmarkEnd w:id="5587"/>
          </w:p>
        </w:tc>
        <w:tc>
          <w:tcPr>
            <w:tcW w:w="880" w:type="dxa"/>
            <w:tcBorders>
              <w:top w:val="single" w:color="000000" w:sz="4" w:space="0"/>
              <w:left w:val="single" w:color="000000" w:sz="4" w:space="0"/>
              <w:bottom w:val="single" w:color="000000" w:sz="12" w:space="0"/>
              <w:right w:val="single" w:color="000000" w:sz="4" w:space="0"/>
            </w:tcBorders>
            <w:vAlign w:val="center"/>
          </w:tcPr>
          <w:p w14:paraId="4F2A4C21">
            <w:pPr>
              <w:pStyle w:val="29"/>
              <w:suppressLineNumbers w:val="0"/>
              <w:spacing w:beforeAutospacing="0" w:afterAutospacing="0"/>
              <w:ind w:left="0" w:right="0"/>
              <w:rPr>
                <w:rFonts w:hint="default"/>
                <w:color w:val="auto"/>
                <w:highlight w:val="none"/>
              </w:rPr>
            </w:pPr>
            <w:bookmarkStart w:id="5588" w:name="_Toc2562"/>
            <w:r>
              <w:rPr>
                <w:rFonts w:hint="default"/>
                <w:color w:val="auto"/>
                <w:highlight w:val="none"/>
              </w:rPr>
              <w:t>9.8</w:t>
            </w:r>
            <w:bookmarkEnd w:id="5588"/>
          </w:p>
        </w:tc>
        <w:tc>
          <w:tcPr>
            <w:tcW w:w="878" w:type="dxa"/>
            <w:tcBorders>
              <w:top w:val="single" w:color="000000" w:sz="4" w:space="0"/>
              <w:left w:val="single" w:color="000000" w:sz="4" w:space="0"/>
              <w:bottom w:val="single" w:color="000000" w:sz="12" w:space="0"/>
              <w:right w:val="single" w:color="000000" w:sz="4" w:space="0"/>
            </w:tcBorders>
            <w:vAlign w:val="center"/>
          </w:tcPr>
          <w:p w14:paraId="2E34B821">
            <w:pPr>
              <w:pStyle w:val="29"/>
              <w:suppressLineNumbers w:val="0"/>
              <w:spacing w:beforeAutospacing="0" w:afterAutospacing="0"/>
              <w:ind w:left="0" w:right="0"/>
              <w:rPr>
                <w:rFonts w:hint="default"/>
                <w:color w:val="auto"/>
                <w:highlight w:val="none"/>
              </w:rPr>
            </w:pPr>
            <w:bookmarkStart w:id="5589" w:name="_Toc2874"/>
            <w:r>
              <w:rPr>
                <w:rFonts w:hint="default"/>
                <w:color w:val="auto"/>
                <w:highlight w:val="none"/>
              </w:rPr>
              <w:t>3.2</w:t>
            </w:r>
            <w:bookmarkEnd w:id="5589"/>
          </w:p>
        </w:tc>
        <w:tc>
          <w:tcPr>
            <w:tcW w:w="942" w:type="dxa"/>
            <w:tcBorders>
              <w:top w:val="single" w:color="000000" w:sz="4" w:space="0"/>
              <w:left w:val="single" w:color="000000" w:sz="4" w:space="0"/>
              <w:bottom w:val="single" w:color="000000" w:sz="12" w:space="0"/>
              <w:right w:val="nil"/>
            </w:tcBorders>
            <w:vAlign w:val="center"/>
          </w:tcPr>
          <w:p w14:paraId="5D52F7B3">
            <w:pPr>
              <w:pStyle w:val="29"/>
              <w:suppressLineNumbers w:val="0"/>
              <w:spacing w:beforeAutospacing="0" w:afterAutospacing="0"/>
              <w:ind w:left="0" w:right="0"/>
              <w:rPr>
                <w:rFonts w:hint="default"/>
                <w:color w:val="auto"/>
                <w:highlight w:val="none"/>
              </w:rPr>
            </w:pPr>
            <w:bookmarkStart w:id="5590" w:name="_Toc313"/>
            <w:r>
              <w:rPr>
                <w:rFonts w:hint="default"/>
                <w:color w:val="auto"/>
                <w:highlight w:val="none"/>
              </w:rPr>
              <w:t>0</w:t>
            </w:r>
            <w:bookmarkEnd w:id="5590"/>
          </w:p>
        </w:tc>
      </w:tr>
    </w:tbl>
    <w:p w14:paraId="729337D6">
      <w:pPr>
        <w:rPr>
          <w:color w:val="auto"/>
          <w:szCs w:val="24"/>
          <w:highlight w:val="none"/>
        </w:rPr>
      </w:pPr>
      <w:r>
        <w:rPr>
          <w:rFonts w:hint="eastAsia"/>
          <w:color w:val="auto"/>
          <w:szCs w:val="24"/>
          <w:highlight w:val="none"/>
          <w:lang w:val="en-US" w:eastAsia="zh-CN"/>
        </w:rPr>
        <w:t>C.</w:t>
      </w:r>
      <w:r>
        <w:rPr>
          <w:color w:val="auto"/>
          <w:szCs w:val="24"/>
          <w:highlight w:val="none"/>
        </w:rPr>
        <w:t>水库底部月平均水温</w:t>
      </w:r>
    </w:p>
    <w:p w14:paraId="4A1E235D">
      <w:pPr>
        <w:rPr>
          <w:color w:val="auto"/>
          <w:szCs w:val="24"/>
          <w:highlight w:val="none"/>
        </w:rPr>
      </w:pPr>
      <w:r>
        <w:rPr>
          <w:color w:val="auto"/>
          <w:szCs w:val="24"/>
          <w:highlight w:val="none"/>
        </w:rPr>
        <w:t>采用《水利水电建设项目河道生态用水、低温水和过鱼设施环境影响评价技术指南（试行）》中推荐的经验估算法估算库底年平均水温。</w:t>
      </w:r>
    </w:p>
    <w:p w14:paraId="0B43708A">
      <w:pPr>
        <w:rPr>
          <w:color w:val="auto"/>
          <w:szCs w:val="24"/>
          <w:highlight w:val="none"/>
        </w:rPr>
      </w:pPr>
      <w:r>
        <w:rPr>
          <w:color w:val="auto"/>
          <w:szCs w:val="24"/>
          <w:highlight w:val="none"/>
        </w:rPr>
        <w:t>对于分层型水库来说，对于寒冷地区库底水温推荐取值</w:t>
      </w:r>
      <w:r>
        <w:rPr>
          <w:rFonts w:eastAsia="TimesNewRomanPSMT"/>
          <w:color w:val="auto"/>
          <w:szCs w:val="24"/>
          <w:highlight w:val="none"/>
        </w:rPr>
        <w:t>6~7</w:t>
      </w:r>
      <w:r>
        <w:rPr>
          <w:color w:val="auto"/>
          <w:szCs w:val="24"/>
          <w:highlight w:val="none"/>
        </w:rPr>
        <w:t>℃，因此，本项目库底平均水温取值</w:t>
      </w:r>
      <w:r>
        <w:rPr>
          <w:rFonts w:eastAsia="TimesNewRomanPSMT"/>
          <w:color w:val="auto"/>
          <w:szCs w:val="24"/>
          <w:highlight w:val="none"/>
        </w:rPr>
        <w:t>6.5</w:t>
      </w:r>
      <w:r>
        <w:rPr>
          <w:color w:val="auto"/>
          <w:szCs w:val="24"/>
          <w:highlight w:val="none"/>
        </w:rPr>
        <w:t>℃。</w:t>
      </w:r>
    </w:p>
    <w:p w14:paraId="0E592211">
      <w:pPr>
        <w:rPr>
          <w:color w:val="auto"/>
          <w:szCs w:val="24"/>
          <w:highlight w:val="none"/>
        </w:rPr>
      </w:pPr>
      <w:r>
        <w:rPr>
          <w:rFonts w:hint="eastAsia"/>
          <w:color w:val="auto"/>
          <w:szCs w:val="24"/>
          <w:highlight w:val="none"/>
          <w:lang w:val="en-US" w:eastAsia="zh-CN"/>
        </w:rPr>
        <w:t>D.</w:t>
      </w:r>
      <w:r>
        <w:rPr>
          <w:color w:val="auto"/>
          <w:szCs w:val="24"/>
          <w:highlight w:val="none"/>
        </w:rPr>
        <w:t>水库水温随水深的各月变化</w:t>
      </w:r>
    </w:p>
    <w:p w14:paraId="111BFF2A">
      <w:pPr>
        <w:rPr>
          <w:color w:val="auto"/>
          <w:szCs w:val="24"/>
          <w:highlight w:val="none"/>
        </w:rPr>
      </w:pPr>
      <w:r>
        <w:rPr>
          <w:color w:val="auto"/>
          <w:szCs w:val="24"/>
          <w:highlight w:val="none"/>
        </w:rPr>
        <w:t>库区垂向水温预测采用《水利水电工程水文计算规范》（</w:t>
      </w:r>
      <w:r>
        <w:rPr>
          <w:rFonts w:eastAsia="TimesNewRomanPSMT"/>
          <w:color w:val="auto"/>
          <w:szCs w:val="24"/>
          <w:highlight w:val="none"/>
        </w:rPr>
        <w:t>SL278-2002</w:t>
      </w:r>
      <w:r>
        <w:rPr>
          <w:color w:val="auto"/>
          <w:szCs w:val="24"/>
          <w:highlight w:val="none"/>
        </w:rPr>
        <w:t>）附录</w:t>
      </w:r>
      <w:r>
        <w:rPr>
          <w:rFonts w:eastAsia="TimesNewRomanPSMT"/>
          <w:color w:val="auto"/>
          <w:szCs w:val="24"/>
          <w:highlight w:val="none"/>
        </w:rPr>
        <w:t>D</w:t>
      </w:r>
      <w:r>
        <w:rPr>
          <w:color w:val="auto"/>
          <w:szCs w:val="24"/>
          <w:highlight w:val="none"/>
        </w:rPr>
        <w:t>水温分析计算的</w:t>
      </w:r>
      <w:r>
        <w:rPr>
          <w:rFonts w:eastAsia="TimesNewRomanPSMT"/>
          <w:color w:val="auto"/>
          <w:szCs w:val="24"/>
          <w:highlight w:val="none"/>
        </w:rPr>
        <w:t xml:space="preserve">D.2 </w:t>
      </w:r>
      <w:r>
        <w:rPr>
          <w:color w:val="auto"/>
          <w:szCs w:val="24"/>
          <w:highlight w:val="none"/>
        </w:rPr>
        <w:t>垂向水文分布计算（水利部东北勘测设计研究院的经验公式法），综合考虑各月来水量、水库特性、水库运行方式等进行估算。垂向水温分布月计算的经验公式为：</w:t>
      </w:r>
    </w:p>
    <w:p w14:paraId="2A1763EE">
      <w:pPr>
        <w:tabs>
          <w:tab w:val="center" w:pos="4213"/>
          <w:tab w:val="left" w:pos="6722"/>
        </w:tabs>
        <w:jc w:val="center"/>
        <w:rPr>
          <w:color w:val="auto"/>
          <w:szCs w:val="24"/>
          <w:highlight w:val="none"/>
        </w:rPr>
      </w:pPr>
      <w:r>
        <w:rPr>
          <w:color w:val="auto"/>
          <w:szCs w:val="24"/>
          <w:highlight w:val="none"/>
        </w:rPr>
        <w:drawing>
          <wp:inline distT="0" distB="0" distL="114300" distR="114300">
            <wp:extent cx="2009775" cy="228600"/>
            <wp:effectExtent l="0" t="0" r="952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0"/>
                    <a:stretch>
                      <a:fillRect/>
                    </a:stretch>
                  </pic:blipFill>
                  <pic:spPr>
                    <a:xfrm>
                      <a:off x="0" y="0"/>
                      <a:ext cx="2009775" cy="228600"/>
                    </a:xfrm>
                    <a:prstGeom prst="rect">
                      <a:avLst/>
                    </a:prstGeom>
                    <a:noFill/>
                    <a:ln>
                      <a:noFill/>
                    </a:ln>
                  </pic:spPr>
                </pic:pic>
              </a:graphicData>
            </a:graphic>
          </wp:inline>
        </w:drawing>
      </w:r>
    </w:p>
    <w:p w14:paraId="2F77BCCB">
      <w:pPr>
        <w:tabs>
          <w:tab w:val="center" w:pos="4213"/>
          <w:tab w:val="left" w:pos="6722"/>
        </w:tabs>
        <w:jc w:val="center"/>
        <w:rPr>
          <w:color w:val="auto"/>
          <w:szCs w:val="24"/>
          <w:highlight w:val="none"/>
        </w:rPr>
      </w:pPr>
      <w:r>
        <w:rPr>
          <w:color w:val="auto"/>
          <w:szCs w:val="24"/>
          <w:highlight w:val="none"/>
        </w:rPr>
        <w:drawing>
          <wp:inline distT="0" distB="0" distL="114300" distR="114300">
            <wp:extent cx="1247775" cy="200025"/>
            <wp:effectExtent l="0" t="0" r="9525" b="762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1"/>
                    <a:stretch>
                      <a:fillRect/>
                    </a:stretch>
                  </pic:blipFill>
                  <pic:spPr>
                    <a:xfrm>
                      <a:off x="0" y="0"/>
                      <a:ext cx="1247775" cy="200025"/>
                    </a:xfrm>
                    <a:prstGeom prst="rect">
                      <a:avLst/>
                    </a:prstGeom>
                    <a:noFill/>
                    <a:ln>
                      <a:noFill/>
                    </a:ln>
                  </pic:spPr>
                </pic:pic>
              </a:graphicData>
            </a:graphic>
          </wp:inline>
        </w:drawing>
      </w:r>
    </w:p>
    <w:p w14:paraId="42AC808C">
      <w:pPr>
        <w:tabs>
          <w:tab w:val="center" w:pos="4213"/>
          <w:tab w:val="left" w:pos="6722"/>
        </w:tabs>
        <w:jc w:val="center"/>
        <w:rPr>
          <w:color w:val="auto"/>
          <w:szCs w:val="24"/>
          <w:highlight w:val="none"/>
        </w:rPr>
      </w:pPr>
      <w:r>
        <w:rPr>
          <w:color w:val="auto"/>
          <w:szCs w:val="24"/>
          <w:highlight w:val="none"/>
        </w:rPr>
        <w:drawing>
          <wp:inline distT="0" distB="0" distL="114300" distR="114300">
            <wp:extent cx="1047750" cy="228600"/>
            <wp:effectExtent l="0" t="0" r="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72"/>
                    <a:stretch>
                      <a:fillRect/>
                    </a:stretch>
                  </pic:blipFill>
                  <pic:spPr>
                    <a:xfrm>
                      <a:off x="0" y="0"/>
                      <a:ext cx="1047750" cy="228600"/>
                    </a:xfrm>
                    <a:prstGeom prst="rect">
                      <a:avLst/>
                    </a:prstGeom>
                    <a:noFill/>
                    <a:ln>
                      <a:noFill/>
                    </a:ln>
                  </pic:spPr>
                </pic:pic>
              </a:graphicData>
            </a:graphic>
          </wp:inline>
        </w:drawing>
      </w:r>
    </w:p>
    <w:p w14:paraId="7B52E4D2">
      <w:pPr>
        <w:rPr>
          <w:rFonts w:eastAsia="宋体"/>
          <w:color w:val="auto"/>
          <w:szCs w:val="24"/>
          <w:highlight w:val="none"/>
        </w:rPr>
      </w:pPr>
      <w:r>
        <w:rPr>
          <w:rFonts w:eastAsia="宋体"/>
          <w:color w:val="auto"/>
          <w:szCs w:val="24"/>
          <w:highlight w:val="none"/>
        </w:rPr>
        <w:t>式中：</w:t>
      </w:r>
    </w:p>
    <w:p w14:paraId="0F44668B">
      <w:pPr>
        <w:rPr>
          <w:rFonts w:eastAsia="宋体"/>
          <w:color w:val="auto"/>
          <w:szCs w:val="24"/>
          <w:highlight w:val="none"/>
        </w:rPr>
      </w:pPr>
      <w:r>
        <w:rPr>
          <w:rFonts w:eastAsia="宋体"/>
          <w:color w:val="auto"/>
          <w:szCs w:val="24"/>
          <w:highlight w:val="none"/>
        </w:rPr>
        <w:t>Ta—库表各月平均水温，单位：（℃)；库表各月平均水温详见表6-2。</w:t>
      </w:r>
    </w:p>
    <w:p w14:paraId="15102B52">
      <w:pPr>
        <w:rPr>
          <w:rFonts w:eastAsia="宋体"/>
          <w:color w:val="auto"/>
          <w:szCs w:val="24"/>
          <w:highlight w:val="none"/>
        </w:rPr>
      </w:pPr>
      <w:r>
        <w:rPr>
          <w:rFonts w:eastAsia="宋体"/>
          <w:color w:val="auto"/>
          <w:szCs w:val="24"/>
          <w:highlight w:val="none"/>
        </w:rPr>
        <w:t>Tb—库底年平均水温，（℃)；</w:t>
      </w:r>
    </w:p>
    <w:p w14:paraId="78ED99B7">
      <w:pPr>
        <w:rPr>
          <w:rFonts w:eastAsia="宋体"/>
          <w:color w:val="auto"/>
          <w:szCs w:val="24"/>
          <w:highlight w:val="none"/>
        </w:rPr>
      </w:pPr>
      <w:r>
        <w:rPr>
          <w:rFonts w:eastAsia="宋体"/>
          <w:color w:val="auto"/>
          <w:szCs w:val="24"/>
          <w:highlight w:val="none"/>
        </w:rPr>
        <w:t>Y—计算点的水深</w:t>
      </w:r>
      <w:r>
        <w:rPr>
          <w:rFonts w:hint="eastAsia" w:eastAsia="宋体"/>
          <w:color w:val="auto"/>
          <w:szCs w:val="24"/>
          <w:highlight w:val="none"/>
        </w:rPr>
        <w:t>；</w:t>
      </w:r>
    </w:p>
    <w:p w14:paraId="02EB6BB0">
      <w:pPr>
        <w:rPr>
          <w:rFonts w:eastAsia="宋体"/>
          <w:color w:val="auto"/>
          <w:szCs w:val="24"/>
          <w:highlight w:val="none"/>
        </w:rPr>
      </w:pPr>
      <w:r>
        <w:rPr>
          <w:rFonts w:eastAsia="宋体"/>
          <w:color w:val="auto"/>
          <w:szCs w:val="24"/>
          <w:highlight w:val="none"/>
        </w:rPr>
        <w:t>m—计算月份，单位：月；</w:t>
      </w:r>
    </w:p>
    <w:p w14:paraId="28756F1B">
      <w:pPr>
        <w:rPr>
          <w:color w:val="auto"/>
          <w:szCs w:val="24"/>
          <w:highlight w:val="none"/>
        </w:rPr>
      </w:pPr>
      <w:r>
        <w:rPr>
          <w:color w:val="auto"/>
          <w:szCs w:val="24"/>
          <w:highlight w:val="none"/>
        </w:rPr>
        <w:t>Ty──不同深度年平均水温，单位：℃；</w:t>
      </w:r>
    </w:p>
    <w:p w14:paraId="1C02D8BD">
      <w:pPr>
        <w:rPr>
          <w:color w:val="auto"/>
          <w:szCs w:val="24"/>
          <w:highlight w:val="none"/>
        </w:rPr>
      </w:pPr>
      <w:r>
        <w:rPr>
          <w:color w:val="auto"/>
          <w:szCs w:val="24"/>
          <w:highlight w:val="none"/>
        </w:rPr>
        <w:t>H──水库深度。</w:t>
      </w:r>
    </w:p>
    <w:p w14:paraId="78349CF8">
      <w:pPr>
        <w:rPr>
          <w:rFonts w:ascii="宋体" w:hAnsi="宋体"/>
          <w:color w:val="auto"/>
          <w:szCs w:val="24"/>
          <w:highlight w:val="none"/>
        </w:rPr>
      </w:pPr>
      <w:r>
        <w:rPr>
          <w:rFonts w:hint="eastAsia" w:ascii="宋体" w:hAnsi="宋体"/>
          <w:color w:val="auto"/>
          <w:szCs w:val="24"/>
          <w:highlight w:val="none"/>
        </w:rPr>
        <w:t>经过计算，工程不同深度月平均水温计算结果见表</w:t>
      </w:r>
      <w:r>
        <w:rPr>
          <w:rFonts w:hint="eastAsia" w:ascii="TimesNewRomanPSMT" w:hAnsi="TimesNewRomanPSMT" w:eastAsia="TimesNewRomanPSMT"/>
          <w:color w:val="auto"/>
          <w:szCs w:val="24"/>
          <w:highlight w:val="none"/>
        </w:rPr>
        <w:t>6.2-</w:t>
      </w:r>
      <w:r>
        <w:rPr>
          <w:rFonts w:hint="eastAsia" w:ascii="TimesNewRomanPSMT" w:hAnsi="TimesNewRomanPSMT" w:eastAsia="宋体"/>
          <w:color w:val="auto"/>
          <w:szCs w:val="24"/>
          <w:highlight w:val="none"/>
          <w:lang w:val="en-US" w:eastAsia="zh-CN"/>
        </w:rPr>
        <w:t>3</w:t>
      </w:r>
      <w:r>
        <w:rPr>
          <w:rFonts w:hint="eastAsia" w:ascii="宋体" w:hAnsi="宋体"/>
          <w:color w:val="auto"/>
          <w:szCs w:val="24"/>
          <w:highlight w:val="none"/>
        </w:rPr>
        <w:t>。</w:t>
      </w:r>
    </w:p>
    <w:p w14:paraId="2CF9CD55">
      <w:pPr>
        <w:pStyle w:val="9"/>
        <w:spacing w:line="276" w:lineRule="auto"/>
        <w:ind w:firstLine="0" w:firstLineChars="0"/>
        <w:jc w:val="center"/>
        <w:rPr>
          <w:rFonts w:ascii="Times New Roman" w:hAnsi="Times New Roman"/>
          <w:b/>
          <w:bCs/>
          <w:color w:val="auto"/>
          <w:highlight w:val="none"/>
        </w:rPr>
      </w:pPr>
      <w:r>
        <w:rPr>
          <w:rFonts w:hint="eastAsia" w:ascii="Times New Roman" w:hAnsi="Times New Roman"/>
          <w:b/>
          <w:bCs/>
          <w:color w:val="auto"/>
          <w:highlight w:val="none"/>
        </w:rPr>
        <w:t>表6.2-</w:t>
      </w:r>
      <w:r>
        <w:rPr>
          <w:rFonts w:hint="eastAsia"/>
          <w:b/>
          <w:bCs/>
          <w:color w:val="auto"/>
          <w:highlight w:val="none"/>
          <w:lang w:val="en-US" w:eastAsia="zh-CN"/>
        </w:rPr>
        <w:t>3</w:t>
      </w:r>
      <w:r>
        <w:rPr>
          <w:rFonts w:hint="eastAsia" w:ascii="Times New Roman" w:hAnsi="Times New Roman"/>
          <w:b/>
          <w:bCs/>
          <w:color w:val="auto"/>
          <w:highlight w:val="none"/>
        </w:rPr>
        <w:t>库区水温预测结果</w:t>
      </w:r>
    </w:p>
    <w:tbl>
      <w:tblPr>
        <w:tblStyle w:val="31"/>
        <w:tblW w:w="8998" w:type="dxa"/>
        <w:tblInd w:w="22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3"/>
        <w:gridCol w:w="600"/>
        <w:gridCol w:w="702"/>
        <w:gridCol w:w="702"/>
        <w:gridCol w:w="702"/>
        <w:gridCol w:w="702"/>
        <w:gridCol w:w="702"/>
        <w:gridCol w:w="702"/>
        <w:gridCol w:w="702"/>
        <w:gridCol w:w="702"/>
        <w:gridCol w:w="702"/>
        <w:gridCol w:w="702"/>
        <w:gridCol w:w="715"/>
      </w:tblGrid>
      <w:tr w14:paraId="16BF7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3" w:hRule="exact"/>
        </w:trPr>
        <w:tc>
          <w:tcPr>
            <w:tcW w:w="663" w:type="dxa"/>
            <w:vMerge w:val="restart"/>
            <w:tcBorders>
              <w:tl2br w:val="nil"/>
              <w:tr2bl w:val="nil"/>
            </w:tcBorders>
          </w:tcPr>
          <w:p w14:paraId="49C085C6">
            <w:pPr>
              <w:pStyle w:val="29"/>
              <w:suppressLineNumbers w:val="0"/>
              <w:spacing w:beforeAutospacing="0" w:afterAutospacing="0"/>
              <w:ind w:left="0" w:right="0"/>
              <w:rPr>
                <w:rFonts w:hint="default"/>
                <w:b/>
                <w:bCs/>
                <w:color w:val="auto"/>
                <w:highlight w:val="none"/>
              </w:rPr>
            </w:pPr>
            <w:r>
              <w:rPr>
                <w:rFonts w:hint="eastAsia"/>
                <w:b/>
                <w:bCs/>
                <w:color w:val="auto"/>
                <w:highlight w:val="none"/>
              </w:rPr>
              <w:t>水深</w:t>
            </w:r>
          </w:p>
          <w:p w14:paraId="0DA85F86">
            <w:pPr>
              <w:pStyle w:val="29"/>
              <w:suppressLineNumbers w:val="0"/>
              <w:spacing w:beforeAutospacing="0" w:afterAutospacing="0"/>
              <w:ind w:left="0" w:right="0"/>
              <w:rPr>
                <w:rFonts w:hint="default"/>
                <w:b/>
                <w:bCs/>
                <w:color w:val="auto"/>
                <w:highlight w:val="none"/>
              </w:rPr>
            </w:pPr>
            <w:bookmarkStart w:id="5591" w:name="_Toc18559"/>
            <w:r>
              <w:rPr>
                <w:rFonts w:hint="default"/>
                <w:b/>
                <w:bCs/>
                <w:color w:val="auto"/>
                <w:highlight w:val="none"/>
              </w:rPr>
              <w:t>/m</w:t>
            </w:r>
            <w:bookmarkEnd w:id="5591"/>
          </w:p>
        </w:tc>
        <w:tc>
          <w:tcPr>
            <w:tcW w:w="8335" w:type="dxa"/>
            <w:gridSpan w:val="12"/>
            <w:tcBorders>
              <w:tl2br w:val="nil"/>
              <w:tr2bl w:val="nil"/>
            </w:tcBorders>
          </w:tcPr>
          <w:p w14:paraId="56A68221">
            <w:pPr>
              <w:pStyle w:val="29"/>
              <w:suppressLineNumbers w:val="0"/>
              <w:spacing w:beforeAutospacing="0" w:afterAutospacing="0"/>
              <w:ind w:left="0" w:right="0"/>
              <w:rPr>
                <w:rFonts w:hint="default"/>
                <w:b/>
                <w:bCs/>
                <w:color w:val="auto"/>
                <w:highlight w:val="none"/>
              </w:rPr>
            </w:pPr>
            <w:bookmarkStart w:id="5592" w:name="_Toc4051"/>
            <w:r>
              <w:rPr>
                <w:rFonts w:hint="eastAsia"/>
                <w:b/>
                <w:bCs/>
                <w:color w:val="auto"/>
                <w:highlight w:val="none"/>
              </w:rPr>
              <w:t>月份</w:t>
            </w:r>
            <w:bookmarkEnd w:id="5592"/>
          </w:p>
        </w:tc>
      </w:tr>
      <w:tr w14:paraId="3DC480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trPr>
        <w:tc>
          <w:tcPr>
            <w:tcW w:w="663" w:type="dxa"/>
            <w:vMerge w:val="continue"/>
            <w:tcBorders>
              <w:tl2br w:val="nil"/>
              <w:tr2bl w:val="nil"/>
            </w:tcBorders>
          </w:tcPr>
          <w:p w14:paraId="0FD3E257">
            <w:pPr>
              <w:pStyle w:val="29"/>
              <w:suppressLineNumbers w:val="0"/>
              <w:spacing w:beforeAutospacing="0" w:afterAutospacing="0"/>
              <w:ind w:left="0" w:right="0"/>
              <w:rPr>
                <w:rFonts w:hint="default"/>
                <w:b/>
                <w:bCs/>
                <w:color w:val="auto"/>
                <w:highlight w:val="none"/>
              </w:rPr>
            </w:pPr>
          </w:p>
        </w:tc>
        <w:tc>
          <w:tcPr>
            <w:tcW w:w="600" w:type="dxa"/>
            <w:tcBorders>
              <w:tl2br w:val="nil"/>
              <w:tr2bl w:val="nil"/>
            </w:tcBorders>
          </w:tcPr>
          <w:p w14:paraId="13178431">
            <w:pPr>
              <w:pStyle w:val="29"/>
              <w:suppressLineNumbers w:val="0"/>
              <w:spacing w:beforeAutospacing="0" w:afterAutospacing="0"/>
              <w:ind w:left="0" w:right="0"/>
              <w:rPr>
                <w:rFonts w:hint="default"/>
                <w:b/>
                <w:bCs/>
                <w:color w:val="auto"/>
                <w:highlight w:val="none"/>
              </w:rPr>
            </w:pPr>
            <w:bookmarkStart w:id="5593" w:name="_Toc18812"/>
            <w:r>
              <w:rPr>
                <w:rFonts w:hint="default"/>
                <w:b/>
                <w:bCs/>
                <w:color w:val="auto"/>
                <w:highlight w:val="none"/>
              </w:rPr>
              <w:t>1</w:t>
            </w:r>
            <w:r>
              <w:rPr>
                <w:rFonts w:hint="eastAsia"/>
                <w:b/>
                <w:bCs/>
                <w:color w:val="auto"/>
                <w:highlight w:val="none"/>
              </w:rPr>
              <w:t>月</w:t>
            </w:r>
            <w:bookmarkEnd w:id="5593"/>
          </w:p>
        </w:tc>
        <w:tc>
          <w:tcPr>
            <w:tcW w:w="702" w:type="dxa"/>
            <w:tcBorders>
              <w:tl2br w:val="nil"/>
              <w:tr2bl w:val="nil"/>
            </w:tcBorders>
          </w:tcPr>
          <w:p w14:paraId="5C162057">
            <w:pPr>
              <w:pStyle w:val="29"/>
              <w:suppressLineNumbers w:val="0"/>
              <w:spacing w:beforeAutospacing="0" w:afterAutospacing="0"/>
              <w:ind w:left="0" w:right="0"/>
              <w:rPr>
                <w:rFonts w:hint="default"/>
                <w:b/>
                <w:bCs/>
                <w:color w:val="auto"/>
                <w:highlight w:val="none"/>
              </w:rPr>
            </w:pPr>
            <w:bookmarkStart w:id="5594" w:name="_Toc66"/>
            <w:r>
              <w:rPr>
                <w:rFonts w:hint="default"/>
                <w:b/>
                <w:bCs/>
                <w:color w:val="auto"/>
                <w:highlight w:val="none"/>
              </w:rPr>
              <w:t>2</w:t>
            </w:r>
            <w:r>
              <w:rPr>
                <w:rFonts w:hint="eastAsia"/>
                <w:b/>
                <w:bCs/>
                <w:color w:val="auto"/>
                <w:highlight w:val="none"/>
              </w:rPr>
              <w:t>月</w:t>
            </w:r>
            <w:bookmarkEnd w:id="5594"/>
          </w:p>
        </w:tc>
        <w:tc>
          <w:tcPr>
            <w:tcW w:w="702" w:type="dxa"/>
            <w:tcBorders>
              <w:tl2br w:val="nil"/>
              <w:tr2bl w:val="nil"/>
            </w:tcBorders>
          </w:tcPr>
          <w:p w14:paraId="52952679">
            <w:pPr>
              <w:pStyle w:val="29"/>
              <w:suppressLineNumbers w:val="0"/>
              <w:spacing w:beforeAutospacing="0" w:afterAutospacing="0"/>
              <w:ind w:left="0" w:right="0"/>
              <w:rPr>
                <w:rFonts w:hint="default"/>
                <w:b/>
                <w:bCs/>
                <w:color w:val="auto"/>
                <w:highlight w:val="none"/>
              </w:rPr>
            </w:pPr>
            <w:bookmarkStart w:id="5595" w:name="_Toc14493"/>
            <w:r>
              <w:rPr>
                <w:rFonts w:hint="default"/>
                <w:b/>
                <w:bCs/>
                <w:color w:val="auto"/>
                <w:highlight w:val="none"/>
              </w:rPr>
              <w:t>3</w:t>
            </w:r>
            <w:r>
              <w:rPr>
                <w:rFonts w:hint="eastAsia"/>
                <w:b/>
                <w:bCs/>
                <w:color w:val="auto"/>
                <w:highlight w:val="none"/>
              </w:rPr>
              <w:t>月</w:t>
            </w:r>
            <w:bookmarkEnd w:id="5595"/>
          </w:p>
        </w:tc>
        <w:tc>
          <w:tcPr>
            <w:tcW w:w="702" w:type="dxa"/>
            <w:tcBorders>
              <w:tl2br w:val="nil"/>
              <w:tr2bl w:val="nil"/>
            </w:tcBorders>
          </w:tcPr>
          <w:p w14:paraId="437ADD88">
            <w:pPr>
              <w:pStyle w:val="29"/>
              <w:suppressLineNumbers w:val="0"/>
              <w:spacing w:beforeAutospacing="0" w:afterAutospacing="0"/>
              <w:ind w:left="0" w:right="0"/>
              <w:rPr>
                <w:rFonts w:hint="default"/>
                <w:b/>
                <w:bCs/>
                <w:color w:val="auto"/>
                <w:highlight w:val="none"/>
              </w:rPr>
            </w:pPr>
            <w:bookmarkStart w:id="5596" w:name="_Toc8631"/>
            <w:r>
              <w:rPr>
                <w:rFonts w:hint="default"/>
                <w:b/>
                <w:bCs/>
                <w:color w:val="auto"/>
                <w:highlight w:val="none"/>
              </w:rPr>
              <w:t>4</w:t>
            </w:r>
            <w:r>
              <w:rPr>
                <w:rFonts w:hint="eastAsia"/>
                <w:b/>
                <w:bCs/>
                <w:color w:val="auto"/>
                <w:highlight w:val="none"/>
              </w:rPr>
              <w:t>月</w:t>
            </w:r>
            <w:bookmarkEnd w:id="5596"/>
          </w:p>
        </w:tc>
        <w:tc>
          <w:tcPr>
            <w:tcW w:w="702" w:type="dxa"/>
            <w:tcBorders>
              <w:tl2br w:val="nil"/>
              <w:tr2bl w:val="nil"/>
            </w:tcBorders>
          </w:tcPr>
          <w:p w14:paraId="2504F3E3">
            <w:pPr>
              <w:pStyle w:val="29"/>
              <w:suppressLineNumbers w:val="0"/>
              <w:spacing w:beforeAutospacing="0" w:afterAutospacing="0"/>
              <w:ind w:left="0" w:right="0"/>
              <w:rPr>
                <w:rFonts w:hint="default"/>
                <w:b/>
                <w:bCs/>
                <w:color w:val="auto"/>
                <w:highlight w:val="none"/>
              </w:rPr>
            </w:pPr>
            <w:bookmarkStart w:id="5597" w:name="_Toc30551"/>
            <w:r>
              <w:rPr>
                <w:rFonts w:hint="default"/>
                <w:b/>
                <w:bCs/>
                <w:color w:val="auto"/>
                <w:highlight w:val="none"/>
              </w:rPr>
              <w:t>5</w:t>
            </w:r>
            <w:r>
              <w:rPr>
                <w:rFonts w:hint="eastAsia"/>
                <w:b/>
                <w:bCs/>
                <w:color w:val="auto"/>
                <w:highlight w:val="none"/>
              </w:rPr>
              <w:t>月</w:t>
            </w:r>
            <w:bookmarkEnd w:id="5597"/>
          </w:p>
        </w:tc>
        <w:tc>
          <w:tcPr>
            <w:tcW w:w="702" w:type="dxa"/>
            <w:tcBorders>
              <w:tl2br w:val="nil"/>
              <w:tr2bl w:val="nil"/>
            </w:tcBorders>
          </w:tcPr>
          <w:p w14:paraId="40CC8206">
            <w:pPr>
              <w:pStyle w:val="29"/>
              <w:suppressLineNumbers w:val="0"/>
              <w:spacing w:beforeAutospacing="0" w:afterAutospacing="0"/>
              <w:ind w:left="0" w:right="0"/>
              <w:rPr>
                <w:rFonts w:hint="default"/>
                <w:b/>
                <w:bCs/>
                <w:color w:val="auto"/>
                <w:highlight w:val="none"/>
              </w:rPr>
            </w:pPr>
            <w:r>
              <w:rPr>
                <w:rFonts w:hint="default"/>
                <w:b/>
                <w:bCs/>
                <w:color w:val="auto"/>
                <w:highlight w:val="none"/>
              </w:rPr>
              <w:t>6</w:t>
            </w:r>
            <w:r>
              <w:rPr>
                <w:rFonts w:hint="eastAsia"/>
                <w:b/>
                <w:bCs/>
                <w:color w:val="auto"/>
                <w:highlight w:val="none"/>
              </w:rPr>
              <w:t>月</w:t>
            </w:r>
          </w:p>
        </w:tc>
        <w:tc>
          <w:tcPr>
            <w:tcW w:w="702" w:type="dxa"/>
            <w:tcBorders>
              <w:tl2br w:val="nil"/>
              <w:tr2bl w:val="nil"/>
            </w:tcBorders>
          </w:tcPr>
          <w:p w14:paraId="4675BA5E">
            <w:pPr>
              <w:pStyle w:val="29"/>
              <w:suppressLineNumbers w:val="0"/>
              <w:spacing w:beforeAutospacing="0" w:afterAutospacing="0"/>
              <w:ind w:left="0" w:right="0"/>
              <w:rPr>
                <w:rFonts w:hint="default"/>
                <w:b/>
                <w:bCs/>
                <w:color w:val="auto"/>
                <w:highlight w:val="none"/>
              </w:rPr>
            </w:pPr>
            <w:bookmarkStart w:id="5598" w:name="_Toc27028"/>
            <w:r>
              <w:rPr>
                <w:rFonts w:hint="default"/>
                <w:b/>
                <w:bCs/>
                <w:color w:val="auto"/>
                <w:highlight w:val="none"/>
              </w:rPr>
              <w:t>7</w:t>
            </w:r>
            <w:r>
              <w:rPr>
                <w:rFonts w:hint="eastAsia"/>
                <w:b/>
                <w:bCs/>
                <w:color w:val="auto"/>
                <w:highlight w:val="none"/>
              </w:rPr>
              <w:t>月</w:t>
            </w:r>
            <w:bookmarkEnd w:id="5598"/>
          </w:p>
        </w:tc>
        <w:tc>
          <w:tcPr>
            <w:tcW w:w="702" w:type="dxa"/>
            <w:tcBorders>
              <w:tl2br w:val="nil"/>
              <w:tr2bl w:val="nil"/>
            </w:tcBorders>
          </w:tcPr>
          <w:p w14:paraId="07B63EC4">
            <w:pPr>
              <w:pStyle w:val="29"/>
              <w:suppressLineNumbers w:val="0"/>
              <w:spacing w:beforeAutospacing="0" w:afterAutospacing="0"/>
              <w:ind w:left="0" w:right="0"/>
              <w:rPr>
                <w:rFonts w:hint="default"/>
                <w:b/>
                <w:bCs/>
                <w:color w:val="auto"/>
                <w:highlight w:val="none"/>
              </w:rPr>
            </w:pPr>
            <w:bookmarkStart w:id="5599" w:name="_Toc20814"/>
            <w:r>
              <w:rPr>
                <w:rFonts w:hint="default"/>
                <w:b/>
                <w:bCs/>
                <w:color w:val="auto"/>
                <w:highlight w:val="none"/>
              </w:rPr>
              <w:t>8</w:t>
            </w:r>
            <w:r>
              <w:rPr>
                <w:rFonts w:hint="eastAsia"/>
                <w:b/>
                <w:bCs/>
                <w:color w:val="auto"/>
                <w:highlight w:val="none"/>
              </w:rPr>
              <w:t>月</w:t>
            </w:r>
            <w:bookmarkEnd w:id="5599"/>
          </w:p>
        </w:tc>
        <w:tc>
          <w:tcPr>
            <w:tcW w:w="702" w:type="dxa"/>
            <w:tcBorders>
              <w:tl2br w:val="nil"/>
              <w:tr2bl w:val="nil"/>
            </w:tcBorders>
          </w:tcPr>
          <w:p w14:paraId="7D0ED74B">
            <w:pPr>
              <w:pStyle w:val="29"/>
              <w:suppressLineNumbers w:val="0"/>
              <w:spacing w:beforeAutospacing="0" w:afterAutospacing="0"/>
              <w:ind w:left="0" w:right="0"/>
              <w:rPr>
                <w:rFonts w:hint="default"/>
                <w:b/>
                <w:bCs/>
                <w:color w:val="auto"/>
                <w:highlight w:val="none"/>
              </w:rPr>
            </w:pPr>
            <w:bookmarkStart w:id="5600" w:name="_Toc24421"/>
            <w:r>
              <w:rPr>
                <w:rFonts w:hint="default"/>
                <w:b/>
                <w:bCs/>
                <w:color w:val="auto"/>
                <w:highlight w:val="none"/>
              </w:rPr>
              <w:t>9</w:t>
            </w:r>
            <w:r>
              <w:rPr>
                <w:rFonts w:hint="eastAsia"/>
                <w:b/>
                <w:bCs/>
                <w:color w:val="auto"/>
                <w:highlight w:val="none"/>
              </w:rPr>
              <w:t>月</w:t>
            </w:r>
            <w:bookmarkEnd w:id="5600"/>
          </w:p>
        </w:tc>
        <w:tc>
          <w:tcPr>
            <w:tcW w:w="702" w:type="dxa"/>
            <w:tcBorders>
              <w:tl2br w:val="nil"/>
              <w:tr2bl w:val="nil"/>
            </w:tcBorders>
          </w:tcPr>
          <w:p w14:paraId="39D452D8">
            <w:pPr>
              <w:pStyle w:val="29"/>
              <w:suppressLineNumbers w:val="0"/>
              <w:spacing w:beforeAutospacing="0" w:afterAutospacing="0"/>
              <w:ind w:left="0" w:right="0"/>
              <w:rPr>
                <w:rFonts w:hint="default"/>
                <w:b/>
                <w:bCs/>
                <w:color w:val="auto"/>
                <w:highlight w:val="none"/>
              </w:rPr>
            </w:pPr>
            <w:bookmarkStart w:id="5601" w:name="_Toc32113"/>
            <w:r>
              <w:rPr>
                <w:rFonts w:hint="default"/>
                <w:b/>
                <w:bCs/>
                <w:color w:val="auto"/>
                <w:highlight w:val="none"/>
              </w:rPr>
              <w:t>10</w:t>
            </w:r>
            <w:r>
              <w:rPr>
                <w:rFonts w:hint="eastAsia"/>
                <w:b/>
                <w:bCs/>
                <w:color w:val="auto"/>
                <w:highlight w:val="none"/>
              </w:rPr>
              <w:t>月</w:t>
            </w:r>
            <w:bookmarkEnd w:id="5601"/>
          </w:p>
        </w:tc>
        <w:tc>
          <w:tcPr>
            <w:tcW w:w="702" w:type="dxa"/>
            <w:tcBorders>
              <w:tl2br w:val="nil"/>
              <w:tr2bl w:val="nil"/>
            </w:tcBorders>
          </w:tcPr>
          <w:p w14:paraId="7F5C6619">
            <w:pPr>
              <w:pStyle w:val="29"/>
              <w:suppressLineNumbers w:val="0"/>
              <w:spacing w:beforeAutospacing="0" w:afterAutospacing="0"/>
              <w:ind w:left="0" w:right="0"/>
              <w:rPr>
                <w:rFonts w:hint="default"/>
                <w:b/>
                <w:bCs/>
                <w:color w:val="auto"/>
                <w:highlight w:val="none"/>
              </w:rPr>
            </w:pPr>
            <w:bookmarkStart w:id="5602" w:name="_Toc23422"/>
            <w:r>
              <w:rPr>
                <w:rFonts w:hint="default"/>
                <w:b/>
                <w:bCs/>
                <w:color w:val="auto"/>
                <w:highlight w:val="none"/>
              </w:rPr>
              <w:t>11</w:t>
            </w:r>
            <w:r>
              <w:rPr>
                <w:rFonts w:hint="eastAsia"/>
                <w:b/>
                <w:bCs/>
                <w:color w:val="auto"/>
                <w:highlight w:val="none"/>
              </w:rPr>
              <w:t>月</w:t>
            </w:r>
            <w:bookmarkEnd w:id="5602"/>
          </w:p>
        </w:tc>
        <w:tc>
          <w:tcPr>
            <w:tcW w:w="715" w:type="dxa"/>
            <w:tcBorders>
              <w:tl2br w:val="nil"/>
              <w:tr2bl w:val="nil"/>
            </w:tcBorders>
          </w:tcPr>
          <w:p w14:paraId="0CA5D92B">
            <w:pPr>
              <w:pStyle w:val="29"/>
              <w:suppressLineNumbers w:val="0"/>
              <w:spacing w:beforeAutospacing="0" w:afterAutospacing="0"/>
              <w:ind w:left="0" w:right="0"/>
              <w:rPr>
                <w:rFonts w:hint="default"/>
                <w:b/>
                <w:bCs/>
                <w:color w:val="auto"/>
                <w:highlight w:val="none"/>
              </w:rPr>
            </w:pPr>
            <w:bookmarkStart w:id="5603" w:name="_Toc8638"/>
            <w:r>
              <w:rPr>
                <w:rFonts w:hint="default"/>
                <w:b/>
                <w:bCs/>
                <w:color w:val="auto"/>
                <w:highlight w:val="none"/>
              </w:rPr>
              <w:t>12</w:t>
            </w:r>
            <w:r>
              <w:rPr>
                <w:rFonts w:hint="eastAsia"/>
                <w:b/>
                <w:bCs/>
                <w:color w:val="auto"/>
                <w:highlight w:val="none"/>
              </w:rPr>
              <w:t>月</w:t>
            </w:r>
            <w:bookmarkEnd w:id="5603"/>
          </w:p>
        </w:tc>
      </w:tr>
      <w:tr w14:paraId="7592F0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exact"/>
        </w:trPr>
        <w:tc>
          <w:tcPr>
            <w:tcW w:w="663" w:type="dxa"/>
            <w:tcBorders>
              <w:tl2br w:val="nil"/>
              <w:tr2bl w:val="nil"/>
            </w:tcBorders>
          </w:tcPr>
          <w:p w14:paraId="7E9E5E3C">
            <w:pPr>
              <w:pStyle w:val="29"/>
              <w:suppressLineNumbers w:val="0"/>
              <w:spacing w:beforeAutospacing="0" w:afterAutospacing="0"/>
              <w:ind w:left="0" w:right="0"/>
              <w:rPr>
                <w:rFonts w:hint="default"/>
                <w:color w:val="auto"/>
                <w:highlight w:val="none"/>
              </w:rPr>
            </w:pPr>
            <w:r>
              <w:rPr>
                <w:rFonts w:hint="default"/>
                <w:color w:val="auto"/>
                <w:highlight w:val="none"/>
              </w:rPr>
              <w:t>0</w:t>
            </w:r>
          </w:p>
        </w:tc>
        <w:tc>
          <w:tcPr>
            <w:tcW w:w="600" w:type="dxa"/>
            <w:tcBorders>
              <w:tl2br w:val="nil"/>
              <w:tr2bl w:val="nil"/>
            </w:tcBorders>
          </w:tcPr>
          <w:p w14:paraId="2AEF2910">
            <w:pPr>
              <w:pStyle w:val="29"/>
              <w:suppressLineNumbers w:val="0"/>
              <w:spacing w:beforeAutospacing="0" w:afterAutospacing="0"/>
              <w:ind w:left="0" w:right="0"/>
              <w:rPr>
                <w:rFonts w:hint="default"/>
                <w:color w:val="auto"/>
                <w:highlight w:val="none"/>
              </w:rPr>
            </w:pPr>
            <w:bookmarkStart w:id="5604" w:name="_Toc28603"/>
            <w:r>
              <w:rPr>
                <w:rFonts w:hint="default"/>
                <w:color w:val="auto"/>
                <w:highlight w:val="none"/>
              </w:rPr>
              <w:t>0</w:t>
            </w:r>
            <w:bookmarkEnd w:id="5604"/>
          </w:p>
        </w:tc>
        <w:tc>
          <w:tcPr>
            <w:tcW w:w="702" w:type="dxa"/>
            <w:tcBorders>
              <w:tl2br w:val="nil"/>
              <w:tr2bl w:val="nil"/>
            </w:tcBorders>
          </w:tcPr>
          <w:p w14:paraId="6FCC1CE5">
            <w:pPr>
              <w:pStyle w:val="29"/>
              <w:suppressLineNumbers w:val="0"/>
              <w:spacing w:beforeAutospacing="0" w:afterAutospacing="0"/>
              <w:ind w:left="0" w:right="0"/>
              <w:rPr>
                <w:rFonts w:hint="default"/>
                <w:color w:val="auto"/>
                <w:highlight w:val="none"/>
              </w:rPr>
            </w:pPr>
            <w:bookmarkStart w:id="5605" w:name="_Toc26051"/>
            <w:r>
              <w:rPr>
                <w:rFonts w:hint="default"/>
                <w:color w:val="auto"/>
                <w:highlight w:val="none"/>
              </w:rPr>
              <w:t>0.00</w:t>
            </w:r>
            <w:bookmarkEnd w:id="5605"/>
          </w:p>
        </w:tc>
        <w:tc>
          <w:tcPr>
            <w:tcW w:w="702" w:type="dxa"/>
            <w:tcBorders>
              <w:tl2br w:val="nil"/>
              <w:tr2bl w:val="nil"/>
            </w:tcBorders>
          </w:tcPr>
          <w:p w14:paraId="5382D3D9">
            <w:pPr>
              <w:pStyle w:val="29"/>
              <w:suppressLineNumbers w:val="0"/>
              <w:spacing w:beforeAutospacing="0" w:afterAutospacing="0"/>
              <w:ind w:left="0" w:right="0"/>
              <w:rPr>
                <w:rFonts w:hint="default"/>
                <w:color w:val="auto"/>
                <w:highlight w:val="none"/>
              </w:rPr>
            </w:pPr>
            <w:bookmarkStart w:id="5606" w:name="_Toc17856"/>
            <w:r>
              <w:rPr>
                <w:rFonts w:hint="default"/>
                <w:color w:val="auto"/>
                <w:highlight w:val="none"/>
              </w:rPr>
              <w:t>2.00</w:t>
            </w:r>
            <w:bookmarkEnd w:id="5606"/>
          </w:p>
        </w:tc>
        <w:tc>
          <w:tcPr>
            <w:tcW w:w="702" w:type="dxa"/>
            <w:tcBorders>
              <w:tl2br w:val="nil"/>
              <w:tr2bl w:val="nil"/>
            </w:tcBorders>
          </w:tcPr>
          <w:p w14:paraId="01B6E8D0">
            <w:pPr>
              <w:pStyle w:val="29"/>
              <w:suppressLineNumbers w:val="0"/>
              <w:spacing w:beforeAutospacing="0" w:afterAutospacing="0"/>
              <w:ind w:left="0" w:right="0"/>
              <w:rPr>
                <w:rFonts w:hint="default"/>
                <w:color w:val="auto"/>
                <w:highlight w:val="none"/>
              </w:rPr>
            </w:pPr>
            <w:r>
              <w:rPr>
                <w:rFonts w:hint="default"/>
                <w:color w:val="auto"/>
                <w:highlight w:val="none"/>
              </w:rPr>
              <w:t>5.40</w:t>
            </w:r>
          </w:p>
        </w:tc>
        <w:tc>
          <w:tcPr>
            <w:tcW w:w="702" w:type="dxa"/>
            <w:tcBorders>
              <w:tl2br w:val="nil"/>
              <w:tr2bl w:val="nil"/>
            </w:tcBorders>
          </w:tcPr>
          <w:p w14:paraId="2C66B083">
            <w:pPr>
              <w:pStyle w:val="29"/>
              <w:suppressLineNumbers w:val="0"/>
              <w:spacing w:beforeAutospacing="0" w:afterAutospacing="0"/>
              <w:ind w:left="0" w:right="0"/>
              <w:rPr>
                <w:rFonts w:hint="default"/>
                <w:color w:val="auto"/>
                <w:highlight w:val="none"/>
              </w:rPr>
            </w:pPr>
            <w:bookmarkStart w:id="5607" w:name="_Toc12119"/>
            <w:r>
              <w:rPr>
                <w:rFonts w:hint="default"/>
                <w:color w:val="auto"/>
                <w:highlight w:val="none"/>
              </w:rPr>
              <w:t>11.70</w:t>
            </w:r>
            <w:bookmarkEnd w:id="5607"/>
          </w:p>
        </w:tc>
        <w:tc>
          <w:tcPr>
            <w:tcW w:w="702" w:type="dxa"/>
            <w:tcBorders>
              <w:tl2br w:val="nil"/>
              <w:tr2bl w:val="nil"/>
            </w:tcBorders>
          </w:tcPr>
          <w:p w14:paraId="186DDF21">
            <w:pPr>
              <w:pStyle w:val="29"/>
              <w:suppressLineNumbers w:val="0"/>
              <w:spacing w:beforeAutospacing="0" w:afterAutospacing="0"/>
              <w:ind w:left="0" w:right="0"/>
              <w:rPr>
                <w:rFonts w:hint="default"/>
                <w:color w:val="auto"/>
                <w:highlight w:val="none"/>
              </w:rPr>
            </w:pPr>
            <w:bookmarkStart w:id="5608" w:name="_Toc16514"/>
            <w:r>
              <w:rPr>
                <w:rFonts w:hint="default"/>
                <w:color w:val="auto"/>
                <w:highlight w:val="none"/>
              </w:rPr>
              <w:t>16.70</w:t>
            </w:r>
            <w:bookmarkEnd w:id="5608"/>
          </w:p>
        </w:tc>
        <w:tc>
          <w:tcPr>
            <w:tcW w:w="702" w:type="dxa"/>
            <w:tcBorders>
              <w:tl2br w:val="nil"/>
              <w:tr2bl w:val="nil"/>
            </w:tcBorders>
          </w:tcPr>
          <w:p w14:paraId="6EB570DA">
            <w:pPr>
              <w:pStyle w:val="29"/>
              <w:suppressLineNumbers w:val="0"/>
              <w:spacing w:beforeAutospacing="0" w:afterAutospacing="0"/>
              <w:ind w:left="0" w:right="0"/>
              <w:rPr>
                <w:rFonts w:hint="default"/>
                <w:color w:val="auto"/>
                <w:highlight w:val="none"/>
              </w:rPr>
            </w:pPr>
            <w:bookmarkStart w:id="5609" w:name="_Toc17167"/>
            <w:r>
              <w:rPr>
                <w:rFonts w:hint="default"/>
                <w:color w:val="auto"/>
                <w:highlight w:val="none"/>
              </w:rPr>
              <w:t>20.80</w:t>
            </w:r>
            <w:bookmarkEnd w:id="5609"/>
          </w:p>
        </w:tc>
        <w:tc>
          <w:tcPr>
            <w:tcW w:w="702" w:type="dxa"/>
            <w:tcBorders>
              <w:tl2br w:val="nil"/>
              <w:tr2bl w:val="nil"/>
            </w:tcBorders>
          </w:tcPr>
          <w:p w14:paraId="2074BA2E">
            <w:pPr>
              <w:pStyle w:val="29"/>
              <w:suppressLineNumbers w:val="0"/>
              <w:spacing w:beforeAutospacing="0" w:afterAutospacing="0"/>
              <w:ind w:left="0" w:right="0"/>
              <w:rPr>
                <w:rFonts w:hint="default"/>
                <w:color w:val="auto"/>
                <w:highlight w:val="none"/>
              </w:rPr>
            </w:pPr>
            <w:bookmarkStart w:id="5610" w:name="_Toc16111"/>
            <w:r>
              <w:rPr>
                <w:rFonts w:hint="default"/>
                <w:color w:val="auto"/>
                <w:highlight w:val="none"/>
              </w:rPr>
              <w:t>22.30</w:t>
            </w:r>
            <w:bookmarkEnd w:id="5610"/>
          </w:p>
        </w:tc>
        <w:tc>
          <w:tcPr>
            <w:tcW w:w="702" w:type="dxa"/>
            <w:tcBorders>
              <w:tl2br w:val="nil"/>
              <w:tr2bl w:val="nil"/>
            </w:tcBorders>
          </w:tcPr>
          <w:p w14:paraId="505902AD">
            <w:pPr>
              <w:pStyle w:val="29"/>
              <w:suppressLineNumbers w:val="0"/>
              <w:spacing w:beforeAutospacing="0" w:afterAutospacing="0"/>
              <w:ind w:left="0" w:right="0"/>
              <w:rPr>
                <w:rFonts w:hint="default"/>
                <w:color w:val="auto"/>
                <w:highlight w:val="none"/>
              </w:rPr>
            </w:pPr>
            <w:bookmarkStart w:id="5611" w:name="_Toc4009"/>
            <w:r>
              <w:rPr>
                <w:rFonts w:hint="default"/>
                <w:color w:val="auto"/>
                <w:highlight w:val="none"/>
              </w:rPr>
              <w:t>20.70</w:t>
            </w:r>
            <w:bookmarkEnd w:id="5611"/>
          </w:p>
        </w:tc>
        <w:tc>
          <w:tcPr>
            <w:tcW w:w="702" w:type="dxa"/>
            <w:tcBorders>
              <w:tl2br w:val="nil"/>
              <w:tr2bl w:val="nil"/>
            </w:tcBorders>
          </w:tcPr>
          <w:p w14:paraId="3FA8B89D">
            <w:pPr>
              <w:pStyle w:val="29"/>
              <w:suppressLineNumbers w:val="0"/>
              <w:spacing w:beforeAutospacing="0" w:afterAutospacing="0"/>
              <w:ind w:left="0" w:right="0"/>
              <w:rPr>
                <w:rFonts w:hint="default"/>
                <w:color w:val="auto"/>
                <w:highlight w:val="none"/>
              </w:rPr>
            </w:pPr>
            <w:bookmarkStart w:id="5612" w:name="_Toc9114"/>
            <w:r>
              <w:rPr>
                <w:rFonts w:hint="default"/>
                <w:color w:val="auto"/>
                <w:highlight w:val="none"/>
              </w:rPr>
              <w:t>15.50</w:t>
            </w:r>
            <w:bookmarkEnd w:id="5612"/>
          </w:p>
        </w:tc>
        <w:tc>
          <w:tcPr>
            <w:tcW w:w="702" w:type="dxa"/>
            <w:tcBorders>
              <w:tl2br w:val="nil"/>
              <w:tr2bl w:val="nil"/>
            </w:tcBorders>
          </w:tcPr>
          <w:p w14:paraId="71BD64DD">
            <w:pPr>
              <w:pStyle w:val="29"/>
              <w:suppressLineNumbers w:val="0"/>
              <w:spacing w:beforeAutospacing="0" w:afterAutospacing="0"/>
              <w:ind w:left="0" w:right="0"/>
              <w:rPr>
                <w:rFonts w:hint="default"/>
                <w:color w:val="auto"/>
                <w:highlight w:val="none"/>
              </w:rPr>
            </w:pPr>
            <w:bookmarkStart w:id="5613" w:name="_Toc7130"/>
            <w:r>
              <w:rPr>
                <w:rFonts w:hint="default"/>
                <w:color w:val="auto"/>
                <w:highlight w:val="none"/>
              </w:rPr>
              <w:t>9.80</w:t>
            </w:r>
            <w:bookmarkEnd w:id="5613"/>
          </w:p>
        </w:tc>
        <w:tc>
          <w:tcPr>
            <w:tcW w:w="715" w:type="dxa"/>
            <w:tcBorders>
              <w:tl2br w:val="nil"/>
              <w:tr2bl w:val="nil"/>
            </w:tcBorders>
          </w:tcPr>
          <w:p w14:paraId="64251B74">
            <w:pPr>
              <w:pStyle w:val="29"/>
              <w:suppressLineNumbers w:val="0"/>
              <w:spacing w:beforeAutospacing="0" w:afterAutospacing="0"/>
              <w:ind w:left="0" w:right="0"/>
              <w:rPr>
                <w:rFonts w:hint="default"/>
                <w:color w:val="auto"/>
                <w:highlight w:val="none"/>
              </w:rPr>
            </w:pPr>
            <w:bookmarkStart w:id="5614" w:name="_Toc912"/>
            <w:r>
              <w:rPr>
                <w:rFonts w:hint="default"/>
                <w:color w:val="auto"/>
                <w:highlight w:val="none"/>
              </w:rPr>
              <w:t>0.00</w:t>
            </w:r>
            <w:bookmarkEnd w:id="5614"/>
          </w:p>
        </w:tc>
      </w:tr>
      <w:tr w14:paraId="1B3C8D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exact"/>
        </w:trPr>
        <w:tc>
          <w:tcPr>
            <w:tcW w:w="663" w:type="dxa"/>
            <w:tcBorders>
              <w:tl2br w:val="nil"/>
              <w:tr2bl w:val="nil"/>
            </w:tcBorders>
          </w:tcPr>
          <w:p w14:paraId="4CA3219D">
            <w:pPr>
              <w:pStyle w:val="29"/>
              <w:suppressLineNumbers w:val="0"/>
              <w:spacing w:beforeAutospacing="0" w:afterAutospacing="0"/>
              <w:ind w:left="0" w:right="0"/>
              <w:rPr>
                <w:rFonts w:hint="default"/>
                <w:color w:val="auto"/>
                <w:highlight w:val="none"/>
              </w:rPr>
            </w:pPr>
            <w:bookmarkStart w:id="5615" w:name="_Toc21756"/>
            <w:r>
              <w:rPr>
                <w:rFonts w:hint="default"/>
                <w:color w:val="auto"/>
                <w:highlight w:val="none"/>
              </w:rPr>
              <w:t>2</w:t>
            </w:r>
            <w:bookmarkEnd w:id="5615"/>
          </w:p>
        </w:tc>
        <w:tc>
          <w:tcPr>
            <w:tcW w:w="600" w:type="dxa"/>
            <w:tcBorders>
              <w:tl2br w:val="nil"/>
              <w:tr2bl w:val="nil"/>
            </w:tcBorders>
          </w:tcPr>
          <w:p w14:paraId="42D96BCC">
            <w:pPr>
              <w:pStyle w:val="29"/>
              <w:suppressLineNumbers w:val="0"/>
              <w:spacing w:beforeAutospacing="0" w:afterAutospacing="0"/>
              <w:ind w:left="0" w:right="0"/>
              <w:rPr>
                <w:rFonts w:hint="default"/>
                <w:color w:val="auto"/>
                <w:highlight w:val="none"/>
              </w:rPr>
            </w:pPr>
            <w:bookmarkStart w:id="5616" w:name="_Toc6461"/>
            <w:r>
              <w:rPr>
                <w:rFonts w:hint="default"/>
                <w:color w:val="auto"/>
                <w:highlight w:val="none"/>
              </w:rPr>
              <w:t>0.00</w:t>
            </w:r>
            <w:bookmarkEnd w:id="5616"/>
          </w:p>
        </w:tc>
        <w:tc>
          <w:tcPr>
            <w:tcW w:w="702" w:type="dxa"/>
            <w:tcBorders>
              <w:tl2br w:val="nil"/>
              <w:tr2bl w:val="nil"/>
            </w:tcBorders>
          </w:tcPr>
          <w:p w14:paraId="350CF5E8">
            <w:pPr>
              <w:pStyle w:val="29"/>
              <w:suppressLineNumbers w:val="0"/>
              <w:spacing w:beforeAutospacing="0" w:afterAutospacing="0"/>
              <w:ind w:left="0" w:right="0"/>
              <w:rPr>
                <w:rFonts w:hint="default"/>
                <w:color w:val="auto"/>
                <w:highlight w:val="none"/>
              </w:rPr>
            </w:pPr>
            <w:bookmarkStart w:id="5617" w:name="_Toc27744"/>
            <w:r>
              <w:rPr>
                <w:rFonts w:hint="default"/>
                <w:color w:val="auto"/>
                <w:highlight w:val="none"/>
              </w:rPr>
              <w:t>0.07</w:t>
            </w:r>
            <w:bookmarkEnd w:id="5617"/>
          </w:p>
        </w:tc>
        <w:tc>
          <w:tcPr>
            <w:tcW w:w="702" w:type="dxa"/>
            <w:tcBorders>
              <w:tl2br w:val="nil"/>
              <w:tr2bl w:val="nil"/>
            </w:tcBorders>
          </w:tcPr>
          <w:p w14:paraId="4391B210">
            <w:pPr>
              <w:pStyle w:val="29"/>
              <w:suppressLineNumbers w:val="0"/>
              <w:spacing w:beforeAutospacing="0" w:afterAutospacing="0"/>
              <w:ind w:left="0" w:right="0"/>
              <w:rPr>
                <w:rFonts w:hint="default"/>
                <w:color w:val="auto"/>
                <w:highlight w:val="none"/>
              </w:rPr>
            </w:pPr>
            <w:bookmarkStart w:id="5618" w:name="_Toc30454"/>
            <w:r>
              <w:rPr>
                <w:rFonts w:hint="default"/>
                <w:color w:val="auto"/>
                <w:highlight w:val="none"/>
              </w:rPr>
              <w:t>2.46</w:t>
            </w:r>
            <w:bookmarkEnd w:id="5618"/>
          </w:p>
        </w:tc>
        <w:tc>
          <w:tcPr>
            <w:tcW w:w="702" w:type="dxa"/>
            <w:tcBorders>
              <w:tl2br w:val="nil"/>
              <w:tr2bl w:val="nil"/>
            </w:tcBorders>
          </w:tcPr>
          <w:p w14:paraId="57119023">
            <w:pPr>
              <w:pStyle w:val="29"/>
              <w:suppressLineNumbers w:val="0"/>
              <w:spacing w:beforeAutospacing="0" w:afterAutospacing="0"/>
              <w:ind w:left="0" w:right="0"/>
              <w:rPr>
                <w:rFonts w:hint="default"/>
                <w:color w:val="auto"/>
                <w:highlight w:val="none"/>
              </w:rPr>
            </w:pPr>
            <w:bookmarkStart w:id="5619" w:name="_Toc24612"/>
            <w:r>
              <w:rPr>
                <w:rFonts w:hint="default"/>
                <w:color w:val="auto"/>
                <w:highlight w:val="none"/>
              </w:rPr>
              <w:t>5.57</w:t>
            </w:r>
            <w:bookmarkEnd w:id="5619"/>
          </w:p>
        </w:tc>
        <w:tc>
          <w:tcPr>
            <w:tcW w:w="702" w:type="dxa"/>
            <w:tcBorders>
              <w:tl2br w:val="nil"/>
              <w:tr2bl w:val="nil"/>
            </w:tcBorders>
          </w:tcPr>
          <w:p w14:paraId="6B26515C">
            <w:pPr>
              <w:pStyle w:val="29"/>
              <w:suppressLineNumbers w:val="0"/>
              <w:spacing w:beforeAutospacing="0" w:afterAutospacing="0"/>
              <w:ind w:left="0" w:right="0"/>
              <w:rPr>
                <w:rFonts w:hint="default"/>
                <w:color w:val="auto"/>
                <w:highlight w:val="none"/>
              </w:rPr>
            </w:pPr>
            <w:bookmarkStart w:id="5620" w:name="_Toc2814"/>
            <w:r>
              <w:rPr>
                <w:rFonts w:hint="default"/>
                <w:color w:val="auto"/>
                <w:highlight w:val="none"/>
              </w:rPr>
              <w:t>11.03</w:t>
            </w:r>
            <w:bookmarkEnd w:id="5620"/>
          </w:p>
        </w:tc>
        <w:tc>
          <w:tcPr>
            <w:tcW w:w="702" w:type="dxa"/>
            <w:tcBorders>
              <w:tl2br w:val="nil"/>
              <w:tr2bl w:val="nil"/>
            </w:tcBorders>
          </w:tcPr>
          <w:p w14:paraId="4D610FEF">
            <w:pPr>
              <w:pStyle w:val="29"/>
              <w:suppressLineNumbers w:val="0"/>
              <w:spacing w:beforeAutospacing="0" w:afterAutospacing="0"/>
              <w:ind w:left="0" w:right="0"/>
              <w:rPr>
                <w:rFonts w:hint="default"/>
                <w:color w:val="auto"/>
                <w:highlight w:val="none"/>
              </w:rPr>
            </w:pPr>
            <w:bookmarkStart w:id="5621" w:name="_Toc5043"/>
            <w:r>
              <w:rPr>
                <w:rFonts w:hint="default"/>
                <w:color w:val="auto"/>
                <w:highlight w:val="none"/>
              </w:rPr>
              <w:t>15.88</w:t>
            </w:r>
            <w:bookmarkEnd w:id="5621"/>
          </w:p>
        </w:tc>
        <w:tc>
          <w:tcPr>
            <w:tcW w:w="702" w:type="dxa"/>
            <w:tcBorders>
              <w:tl2br w:val="nil"/>
              <w:tr2bl w:val="nil"/>
            </w:tcBorders>
          </w:tcPr>
          <w:p w14:paraId="3BD77121">
            <w:pPr>
              <w:pStyle w:val="29"/>
              <w:suppressLineNumbers w:val="0"/>
              <w:spacing w:beforeAutospacing="0" w:afterAutospacing="0"/>
              <w:ind w:left="0" w:right="0"/>
              <w:rPr>
                <w:rFonts w:hint="default"/>
                <w:color w:val="auto"/>
                <w:highlight w:val="none"/>
              </w:rPr>
            </w:pPr>
            <w:r>
              <w:rPr>
                <w:rFonts w:hint="default"/>
                <w:color w:val="auto"/>
                <w:highlight w:val="none"/>
              </w:rPr>
              <w:t>20.27</w:t>
            </w:r>
          </w:p>
        </w:tc>
        <w:tc>
          <w:tcPr>
            <w:tcW w:w="702" w:type="dxa"/>
            <w:tcBorders>
              <w:tl2br w:val="nil"/>
              <w:tr2bl w:val="nil"/>
            </w:tcBorders>
          </w:tcPr>
          <w:p w14:paraId="110D36E8">
            <w:pPr>
              <w:pStyle w:val="29"/>
              <w:suppressLineNumbers w:val="0"/>
              <w:spacing w:beforeAutospacing="0" w:afterAutospacing="0"/>
              <w:ind w:left="0" w:right="0"/>
              <w:rPr>
                <w:rFonts w:hint="default"/>
                <w:color w:val="auto"/>
                <w:highlight w:val="none"/>
              </w:rPr>
            </w:pPr>
            <w:bookmarkStart w:id="5622" w:name="_Toc15713"/>
            <w:r>
              <w:rPr>
                <w:rFonts w:hint="default"/>
                <w:color w:val="auto"/>
                <w:highlight w:val="none"/>
              </w:rPr>
              <w:t>22.09</w:t>
            </w:r>
            <w:bookmarkEnd w:id="5622"/>
          </w:p>
        </w:tc>
        <w:tc>
          <w:tcPr>
            <w:tcW w:w="702" w:type="dxa"/>
            <w:tcBorders>
              <w:tl2br w:val="nil"/>
              <w:tr2bl w:val="nil"/>
            </w:tcBorders>
          </w:tcPr>
          <w:p w14:paraId="3E074A57">
            <w:pPr>
              <w:pStyle w:val="29"/>
              <w:suppressLineNumbers w:val="0"/>
              <w:spacing w:beforeAutospacing="0" w:afterAutospacing="0"/>
              <w:ind w:left="0" w:right="0"/>
              <w:rPr>
                <w:rFonts w:hint="default"/>
                <w:color w:val="auto"/>
                <w:highlight w:val="none"/>
              </w:rPr>
            </w:pPr>
            <w:bookmarkStart w:id="5623" w:name="_Toc9514"/>
            <w:r>
              <w:rPr>
                <w:rFonts w:hint="default"/>
                <w:color w:val="auto"/>
                <w:highlight w:val="none"/>
              </w:rPr>
              <w:t>20.65</w:t>
            </w:r>
            <w:bookmarkEnd w:id="5623"/>
          </w:p>
        </w:tc>
        <w:tc>
          <w:tcPr>
            <w:tcW w:w="702" w:type="dxa"/>
            <w:tcBorders>
              <w:tl2br w:val="nil"/>
              <w:tr2bl w:val="nil"/>
            </w:tcBorders>
          </w:tcPr>
          <w:p w14:paraId="3E215A64">
            <w:pPr>
              <w:pStyle w:val="29"/>
              <w:suppressLineNumbers w:val="0"/>
              <w:spacing w:beforeAutospacing="0" w:afterAutospacing="0"/>
              <w:ind w:left="0" w:right="0"/>
              <w:rPr>
                <w:rFonts w:hint="default"/>
                <w:color w:val="auto"/>
                <w:highlight w:val="none"/>
              </w:rPr>
            </w:pPr>
            <w:bookmarkStart w:id="5624" w:name="_Toc22972"/>
            <w:r>
              <w:rPr>
                <w:rFonts w:hint="default"/>
                <w:color w:val="auto"/>
                <w:highlight w:val="none"/>
              </w:rPr>
              <w:t>15.49</w:t>
            </w:r>
            <w:bookmarkEnd w:id="5624"/>
          </w:p>
        </w:tc>
        <w:tc>
          <w:tcPr>
            <w:tcW w:w="702" w:type="dxa"/>
            <w:tcBorders>
              <w:tl2br w:val="nil"/>
              <w:tr2bl w:val="nil"/>
            </w:tcBorders>
          </w:tcPr>
          <w:p w14:paraId="5734A38A">
            <w:pPr>
              <w:pStyle w:val="29"/>
              <w:suppressLineNumbers w:val="0"/>
              <w:spacing w:beforeAutospacing="0" w:afterAutospacing="0"/>
              <w:ind w:left="0" w:right="0"/>
              <w:rPr>
                <w:rFonts w:hint="default"/>
                <w:color w:val="auto"/>
                <w:highlight w:val="none"/>
              </w:rPr>
            </w:pPr>
            <w:bookmarkStart w:id="5625" w:name="_Toc23024"/>
            <w:r>
              <w:rPr>
                <w:rFonts w:hint="default"/>
                <w:color w:val="auto"/>
                <w:highlight w:val="none"/>
              </w:rPr>
              <w:t>9.80</w:t>
            </w:r>
            <w:bookmarkEnd w:id="5625"/>
          </w:p>
        </w:tc>
        <w:tc>
          <w:tcPr>
            <w:tcW w:w="715" w:type="dxa"/>
            <w:tcBorders>
              <w:tl2br w:val="nil"/>
              <w:tr2bl w:val="nil"/>
            </w:tcBorders>
          </w:tcPr>
          <w:p w14:paraId="0442F07A">
            <w:pPr>
              <w:pStyle w:val="29"/>
              <w:suppressLineNumbers w:val="0"/>
              <w:spacing w:beforeAutospacing="0" w:afterAutospacing="0"/>
              <w:ind w:left="0" w:right="0"/>
              <w:rPr>
                <w:rFonts w:hint="default"/>
                <w:color w:val="auto"/>
                <w:highlight w:val="none"/>
              </w:rPr>
            </w:pPr>
            <w:bookmarkStart w:id="5626" w:name="_Toc6791"/>
            <w:r>
              <w:rPr>
                <w:rFonts w:hint="default"/>
                <w:color w:val="auto"/>
                <w:highlight w:val="none"/>
              </w:rPr>
              <w:t>0.00</w:t>
            </w:r>
            <w:bookmarkEnd w:id="5626"/>
          </w:p>
        </w:tc>
      </w:tr>
      <w:tr w14:paraId="10DAA2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exact"/>
        </w:trPr>
        <w:tc>
          <w:tcPr>
            <w:tcW w:w="663" w:type="dxa"/>
            <w:tcBorders>
              <w:tl2br w:val="nil"/>
              <w:tr2bl w:val="nil"/>
            </w:tcBorders>
          </w:tcPr>
          <w:p w14:paraId="2DC5FCDD">
            <w:pPr>
              <w:pStyle w:val="29"/>
              <w:suppressLineNumbers w:val="0"/>
              <w:spacing w:beforeAutospacing="0" w:afterAutospacing="0"/>
              <w:ind w:left="0" w:right="0"/>
              <w:rPr>
                <w:rFonts w:hint="default"/>
                <w:color w:val="auto"/>
                <w:highlight w:val="none"/>
              </w:rPr>
            </w:pPr>
            <w:bookmarkStart w:id="5627" w:name="_Toc1116"/>
            <w:r>
              <w:rPr>
                <w:rFonts w:hint="default"/>
                <w:color w:val="auto"/>
                <w:highlight w:val="none"/>
              </w:rPr>
              <w:t>4</w:t>
            </w:r>
            <w:bookmarkEnd w:id="5627"/>
          </w:p>
        </w:tc>
        <w:tc>
          <w:tcPr>
            <w:tcW w:w="600" w:type="dxa"/>
            <w:tcBorders>
              <w:tl2br w:val="nil"/>
              <w:tr2bl w:val="nil"/>
            </w:tcBorders>
          </w:tcPr>
          <w:p w14:paraId="2BF20EE8">
            <w:pPr>
              <w:pStyle w:val="29"/>
              <w:suppressLineNumbers w:val="0"/>
              <w:spacing w:beforeAutospacing="0" w:afterAutospacing="0"/>
              <w:ind w:left="0" w:right="0"/>
              <w:rPr>
                <w:rFonts w:hint="default"/>
                <w:color w:val="auto"/>
                <w:highlight w:val="none"/>
              </w:rPr>
            </w:pPr>
            <w:bookmarkStart w:id="5628" w:name="_Toc13952"/>
            <w:r>
              <w:rPr>
                <w:rFonts w:hint="default"/>
                <w:color w:val="auto"/>
                <w:highlight w:val="none"/>
              </w:rPr>
              <w:t>0.00</w:t>
            </w:r>
            <w:bookmarkEnd w:id="5628"/>
          </w:p>
        </w:tc>
        <w:tc>
          <w:tcPr>
            <w:tcW w:w="702" w:type="dxa"/>
            <w:tcBorders>
              <w:tl2br w:val="nil"/>
              <w:tr2bl w:val="nil"/>
            </w:tcBorders>
          </w:tcPr>
          <w:p w14:paraId="1A512616">
            <w:pPr>
              <w:pStyle w:val="29"/>
              <w:suppressLineNumbers w:val="0"/>
              <w:spacing w:beforeAutospacing="0" w:afterAutospacing="0"/>
              <w:ind w:left="0" w:right="0"/>
              <w:rPr>
                <w:rFonts w:hint="default"/>
                <w:color w:val="auto"/>
                <w:highlight w:val="none"/>
              </w:rPr>
            </w:pPr>
            <w:bookmarkStart w:id="5629" w:name="_Toc14813"/>
            <w:r>
              <w:rPr>
                <w:rFonts w:hint="default"/>
                <w:color w:val="auto"/>
                <w:highlight w:val="none"/>
              </w:rPr>
              <w:t>0.95</w:t>
            </w:r>
            <w:bookmarkEnd w:id="5629"/>
          </w:p>
        </w:tc>
        <w:tc>
          <w:tcPr>
            <w:tcW w:w="702" w:type="dxa"/>
            <w:tcBorders>
              <w:tl2br w:val="nil"/>
              <w:tr2bl w:val="nil"/>
            </w:tcBorders>
          </w:tcPr>
          <w:p w14:paraId="03DC46E9">
            <w:pPr>
              <w:pStyle w:val="29"/>
              <w:suppressLineNumbers w:val="0"/>
              <w:spacing w:beforeAutospacing="0" w:afterAutospacing="0"/>
              <w:ind w:left="0" w:right="0"/>
              <w:rPr>
                <w:rFonts w:hint="default"/>
                <w:color w:val="auto"/>
                <w:highlight w:val="none"/>
              </w:rPr>
            </w:pPr>
            <w:r>
              <w:rPr>
                <w:rFonts w:hint="default"/>
                <w:color w:val="auto"/>
                <w:highlight w:val="none"/>
              </w:rPr>
              <w:t>3.50</w:t>
            </w:r>
          </w:p>
        </w:tc>
        <w:tc>
          <w:tcPr>
            <w:tcW w:w="702" w:type="dxa"/>
            <w:tcBorders>
              <w:tl2br w:val="nil"/>
              <w:tr2bl w:val="nil"/>
            </w:tcBorders>
          </w:tcPr>
          <w:p w14:paraId="1626FE74">
            <w:pPr>
              <w:pStyle w:val="29"/>
              <w:suppressLineNumbers w:val="0"/>
              <w:spacing w:beforeAutospacing="0" w:afterAutospacing="0"/>
              <w:ind w:left="0" w:right="0"/>
              <w:rPr>
                <w:rFonts w:hint="default"/>
                <w:color w:val="auto"/>
                <w:highlight w:val="none"/>
              </w:rPr>
            </w:pPr>
            <w:bookmarkStart w:id="5630" w:name="_Toc24908"/>
            <w:r>
              <w:rPr>
                <w:rFonts w:hint="default"/>
                <w:color w:val="auto"/>
                <w:highlight w:val="none"/>
              </w:rPr>
              <w:t>5.78</w:t>
            </w:r>
            <w:bookmarkEnd w:id="5630"/>
          </w:p>
        </w:tc>
        <w:tc>
          <w:tcPr>
            <w:tcW w:w="702" w:type="dxa"/>
            <w:tcBorders>
              <w:tl2br w:val="nil"/>
              <w:tr2bl w:val="nil"/>
            </w:tcBorders>
          </w:tcPr>
          <w:p w14:paraId="6F57E2D1">
            <w:pPr>
              <w:pStyle w:val="29"/>
              <w:suppressLineNumbers w:val="0"/>
              <w:spacing w:beforeAutospacing="0" w:afterAutospacing="0"/>
              <w:ind w:left="0" w:right="0"/>
              <w:rPr>
                <w:rFonts w:hint="default"/>
                <w:color w:val="auto"/>
                <w:highlight w:val="none"/>
              </w:rPr>
            </w:pPr>
            <w:bookmarkStart w:id="5631" w:name="_Toc7841"/>
            <w:r>
              <w:rPr>
                <w:rFonts w:hint="default"/>
                <w:color w:val="auto"/>
                <w:highlight w:val="none"/>
              </w:rPr>
              <w:t>10.19</w:t>
            </w:r>
            <w:bookmarkEnd w:id="5631"/>
          </w:p>
        </w:tc>
        <w:tc>
          <w:tcPr>
            <w:tcW w:w="702" w:type="dxa"/>
            <w:tcBorders>
              <w:tl2br w:val="nil"/>
              <w:tr2bl w:val="nil"/>
            </w:tcBorders>
          </w:tcPr>
          <w:p w14:paraId="77598913">
            <w:pPr>
              <w:pStyle w:val="29"/>
              <w:suppressLineNumbers w:val="0"/>
              <w:spacing w:beforeAutospacing="0" w:afterAutospacing="0"/>
              <w:ind w:left="0" w:right="0"/>
              <w:rPr>
                <w:rFonts w:hint="default"/>
                <w:color w:val="auto"/>
                <w:highlight w:val="none"/>
              </w:rPr>
            </w:pPr>
            <w:bookmarkStart w:id="5632" w:name="_Toc3556"/>
            <w:r>
              <w:rPr>
                <w:rFonts w:hint="default"/>
                <w:color w:val="auto"/>
                <w:highlight w:val="none"/>
              </w:rPr>
              <w:t>14.63</w:t>
            </w:r>
            <w:bookmarkEnd w:id="5632"/>
          </w:p>
        </w:tc>
        <w:tc>
          <w:tcPr>
            <w:tcW w:w="702" w:type="dxa"/>
            <w:tcBorders>
              <w:tl2br w:val="nil"/>
              <w:tr2bl w:val="nil"/>
            </w:tcBorders>
          </w:tcPr>
          <w:p w14:paraId="64D0A8FC">
            <w:pPr>
              <w:pStyle w:val="29"/>
              <w:suppressLineNumbers w:val="0"/>
              <w:spacing w:beforeAutospacing="0" w:afterAutospacing="0"/>
              <w:ind w:left="0" w:right="0"/>
              <w:rPr>
                <w:rFonts w:hint="default"/>
                <w:color w:val="auto"/>
                <w:highlight w:val="none"/>
              </w:rPr>
            </w:pPr>
            <w:r>
              <w:rPr>
                <w:rFonts w:hint="default"/>
                <w:color w:val="auto"/>
                <w:highlight w:val="none"/>
              </w:rPr>
              <w:t>19.13</w:t>
            </w:r>
          </w:p>
        </w:tc>
        <w:tc>
          <w:tcPr>
            <w:tcW w:w="702" w:type="dxa"/>
            <w:tcBorders>
              <w:tl2br w:val="nil"/>
              <w:tr2bl w:val="nil"/>
            </w:tcBorders>
          </w:tcPr>
          <w:p w14:paraId="53E82744">
            <w:pPr>
              <w:pStyle w:val="29"/>
              <w:suppressLineNumbers w:val="0"/>
              <w:spacing w:beforeAutospacing="0" w:afterAutospacing="0"/>
              <w:ind w:left="0" w:right="0"/>
              <w:rPr>
                <w:rFonts w:hint="default"/>
                <w:color w:val="auto"/>
                <w:highlight w:val="none"/>
              </w:rPr>
            </w:pPr>
            <w:r>
              <w:rPr>
                <w:rFonts w:hint="default"/>
                <w:color w:val="auto"/>
                <w:highlight w:val="none"/>
              </w:rPr>
              <w:t>21.45</w:t>
            </w:r>
          </w:p>
        </w:tc>
        <w:tc>
          <w:tcPr>
            <w:tcW w:w="702" w:type="dxa"/>
            <w:tcBorders>
              <w:tl2br w:val="nil"/>
              <w:tr2bl w:val="nil"/>
            </w:tcBorders>
          </w:tcPr>
          <w:p w14:paraId="6B6439D7">
            <w:pPr>
              <w:pStyle w:val="29"/>
              <w:suppressLineNumbers w:val="0"/>
              <w:spacing w:beforeAutospacing="0" w:afterAutospacing="0"/>
              <w:ind w:left="0" w:right="0"/>
              <w:rPr>
                <w:rFonts w:hint="default"/>
                <w:color w:val="auto"/>
                <w:highlight w:val="none"/>
              </w:rPr>
            </w:pPr>
            <w:bookmarkStart w:id="5633" w:name="_Toc31016"/>
            <w:r>
              <w:rPr>
                <w:rFonts w:hint="default"/>
                <w:color w:val="auto"/>
                <w:highlight w:val="none"/>
              </w:rPr>
              <w:t>20.42</w:t>
            </w:r>
            <w:bookmarkEnd w:id="5633"/>
          </w:p>
        </w:tc>
        <w:tc>
          <w:tcPr>
            <w:tcW w:w="702" w:type="dxa"/>
            <w:tcBorders>
              <w:tl2br w:val="nil"/>
              <w:tr2bl w:val="nil"/>
            </w:tcBorders>
          </w:tcPr>
          <w:p w14:paraId="03EE69CF">
            <w:pPr>
              <w:pStyle w:val="29"/>
              <w:suppressLineNumbers w:val="0"/>
              <w:spacing w:beforeAutospacing="0" w:afterAutospacing="0"/>
              <w:ind w:left="0" w:right="0"/>
              <w:rPr>
                <w:rFonts w:hint="default"/>
                <w:color w:val="auto"/>
                <w:highlight w:val="none"/>
              </w:rPr>
            </w:pPr>
            <w:bookmarkStart w:id="5634" w:name="_Toc8578"/>
            <w:r>
              <w:rPr>
                <w:rFonts w:hint="default"/>
                <w:color w:val="auto"/>
                <w:highlight w:val="none"/>
              </w:rPr>
              <w:t>15.45</w:t>
            </w:r>
            <w:bookmarkEnd w:id="5634"/>
          </w:p>
        </w:tc>
        <w:tc>
          <w:tcPr>
            <w:tcW w:w="702" w:type="dxa"/>
            <w:tcBorders>
              <w:tl2br w:val="nil"/>
              <w:tr2bl w:val="nil"/>
            </w:tcBorders>
          </w:tcPr>
          <w:p w14:paraId="6CC31632">
            <w:pPr>
              <w:pStyle w:val="29"/>
              <w:suppressLineNumbers w:val="0"/>
              <w:spacing w:beforeAutospacing="0" w:afterAutospacing="0"/>
              <w:ind w:left="0" w:right="0"/>
              <w:rPr>
                <w:rFonts w:hint="default"/>
                <w:color w:val="auto"/>
                <w:highlight w:val="none"/>
              </w:rPr>
            </w:pPr>
            <w:r>
              <w:rPr>
                <w:rFonts w:hint="default"/>
                <w:color w:val="auto"/>
                <w:highlight w:val="none"/>
              </w:rPr>
              <w:t>9.80</w:t>
            </w:r>
          </w:p>
        </w:tc>
        <w:tc>
          <w:tcPr>
            <w:tcW w:w="715" w:type="dxa"/>
            <w:tcBorders>
              <w:tl2br w:val="nil"/>
              <w:tr2bl w:val="nil"/>
            </w:tcBorders>
          </w:tcPr>
          <w:p w14:paraId="6540F972">
            <w:pPr>
              <w:pStyle w:val="29"/>
              <w:suppressLineNumbers w:val="0"/>
              <w:spacing w:beforeAutospacing="0" w:afterAutospacing="0"/>
              <w:ind w:left="0" w:right="0"/>
              <w:rPr>
                <w:rFonts w:hint="default"/>
                <w:color w:val="auto"/>
                <w:highlight w:val="none"/>
              </w:rPr>
            </w:pPr>
            <w:bookmarkStart w:id="5635" w:name="_Toc24230"/>
            <w:r>
              <w:rPr>
                <w:rFonts w:hint="default"/>
                <w:color w:val="auto"/>
                <w:highlight w:val="none"/>
              </w:rPr>
              <w:t>0.00</w:t>
            </w:r>
            <w:bookmarkEnd w:id="5635"/>
          </w:p>
        </w:tc>
      </w:tr>
      <w:tr w14:paraId="1876AA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exact"/>
        </w:trPr>
        <w:tc>
          <w:tcPr>
            <w:tcW w:w="663" w:type="dxa"/>
            <w:tcBorders>
              <w:tl2br w:val="nil"/>
              <w:tr2bl w:val="nil"/>
            </w:tcBorders>
          </w:tcPr>
          <w:p w14:paraId="325DCF84">
            <w:pPr>
              <w:pStyle w:val="29"/>
              <w:suppressLineNumbers w:val="0"/>
              <w:spacing w:beforeAutospacing="0" w:afterAutospacing="0"/>
              <w:ind w:left="0" w:right="0"/>
              <w:rPr>
                <w:rFonts w:hint="default"/>
                <w:color w:val="auto"/>
                <w:highlight w:val="none"/>
              </w:rPr>
            </w:pPr>
            <w:bookmarkStart w:id="5636" w:name="_Toc8833"/>
            <w:r>
              <w:rPr>
                <w:rFonts w:hint="default"/>
                <w:color w:val="auto"/>
                <w:highlight w:val="none"/>
              </w:rPr>
              <w:t>6</w:t>
            </w:r>
            <w:bookmarkEnd w:id="5636"/>
          </w:p>
        </w:tc>
        <w:tc>
          <w:tcPr>
            <w:tcW w:w="600" w:type="dxa"/>
            <w:tcBorders>
              <w:tl2br w:val="nil"/>
              <w:tr2bl w:val="nil"/>
            </w:tcBorders>
          </w:tcPr>
          <w:p w14:paraId="4D46E586">
            <w:pPr>
              <w:pStyle w:val="29"/>
              <w:suppressLineNumbers w:val="0"/>
              <w:spacing w:beforeAutospacing="0" w:afterAutospacing="0"/>
              <w:ind w:left="0" w:right="0"/>
              <w:rPr>
                <w:rFonts w:hint="default"/>
                <w:color w:val="auto"/>
                <w:highlight w:val="none"/>
              </w:rPr>
            </w:pPr>
            <w:bookmarkStart w:id="5637" w:name="_Toc3323"/>
            <w:r>
              <w:rPr>
                <w:rFonts w:hint="default"/>
                <w:color w:val="auto"/>
                <w:highlight w:val="none"/>
              </w:rPr>
              <w:t>0.00</w:t>
            </w:r>
            <w:bookmarkEnd w:id="5637"/>
          </w:p>
        </w:tc>
        <w:tc>
          <w:tcPr>
            <w:tcW w:w="702" w:type="dxa"/>
            <w:tcBorders>
              <w:tl2br w:val="nil"/>
              <w:tr2bl w:val="nil"/>
            </w:tcBorders>
          </w:tcPr>
          <w:p w14:paraId="552900C4">
            <w:pPr>
              <w:pStyle w:val="29"/>
              <w:suppressLineNumbers w:val="0"/>
              <w:spacing w:beforeAutospacing="0" w:afterAutospacing="0"/>
              <w:ind w:left="0" w:right="0"/>
              <w:rPr>
                <w:rFonts w:hint="default"/>
                <w:color w:val="auto"/>
                <w:highlight w:val="none"/>
              </w:rPr>
            </w:pPr>
            <w:bookmarkStart w:id="5638" w:name="_Toc4695"/>
            <w:r>
              <w:rPr>
                <w:rFonts w:hint="default"/>
                <w:color w:val="auto"/>
                <w:highlight w:val="none"/>
              </w:rPr>
              <w:t>3.43</w:t>
            </w:r>
            <w:bookmarkEnd w:id="5638"/>
          </w:p>
        </w:tc>
        <w:tc>
          <w:tcPr>
            <w:tcW w:w="702" w:type="dxa"/>
            <w:tcBorders>
              <w:tl2br w:val="nil"/>
              <w:tr2bl w:val="nil"/>
            </w:tcBorders>
          </w:tcPr>
          <w:p w14:paraId="4724BAAF">
            <w:pPr>
              <w:pStyle w:val="29"/>
              <w:suppressLineNumbers w:val="0"/>
              <w:spacing w:beforeAutospacing="0" w:afterAutospacing="0"/>
              <w:ind w:left="0" w:right="0"/>
              <w:rPr>
                <w:rFonts w:hint="default"/>
                <w:color w:val="auto"/>
                <w:highlight w:val="none"/>
              </w:rPr>
            </w:pPr>
            <w:bookmarkStart w:id="5639" w:name="_Toc16152"/>
            <w:r>
              <w:rPr>
                <w:rFonts w:hint="default"/>
                <w:color w:val="auto"/>
                <w:highlight w:val="none"/>
              </w:rPr>
              <w:t>4.63</w:t>
            </w:r>
            <w:bookmarkEnd w:id="5639"/>
          </w:p>
        </w:tc>
        <w:tc>
          <w:tcPr>
            <w:tcW w:w="702" w:type="dxa"/>
            <w:tcBorders>
              <w:tl2br w:val="nil"/>
              <w:tr2bl w:val="nil"/>
            </w:tcBorders>
          </w:tcPr>
          <w:p w14:paraId="74C7740C">
            <w:pPr>
              <w:pStyle w:val="29"/>
              <w:suppressLineNumbers w:val="0"/>
              <w:spacing w:beforeAutospacing="0" w:afterAutospacing="0"/>
              <w:ind w:left="0" w:right="0"/>
              <w:rPr>
                <w:rFonts w:hint="default"/>
                <w:color w:val="auto"/>
                <w:highlight w:val="none"/>
              </w:rPr>
            </w:pPr>
            <w:bookmarkStart w:id="5640" w:name="_Toc8391"/>
            <w:r>
              <w:rPr>
                <w:rFonts w:hint="default"/>
                <w:color w:val="auto"/>
                <w:highlight w:val="none"/>
              </w:rPr>
              <w:t>5.98</w:t>
            </w:r>
            <w:bookmarkEnd w:id="5640"/>
          </w:p>
        </w:tc>
        <w:tc>
          <w:tcPr>
            <w:tcW w:w="702" w:type="dxa"/>
            <w:tcBorders>
              <w:tl2br w:val="nil"/>
              <w:tr2bl w:val="nil"/>
            </w:tcBorders>
          </w:tcPr>
          <w:p w14:paraId="7B6E654B">
            <w:pPr>
              <w:pStyle w:val="29"/>
              <w:suppressLineNumbers w:val="0"/>
              <w:spacing w:beforeAutospacing="0" w:afterAutospacing="0"/>
              <w:ind w:left="0" w:right="0"/>
              <w:rPr>
                <w:rFonts w:hint="default"/>
                <w:color w:val="auto"/>
                <w:highlight w:val="none"/>
              </w:rPr>
            </w:pPr>
            <w:bookmarkStart w:id="5641" w:name="_Toc10388"/>
            <w:r>
              <w:rPr>
                <w:rFonts w:hint="default"/>
                <w:color w:val="auto"/>
                <w:highlight w:val="none"/>
              </w:rPr>
              <w:t>9.40</w:t>
            </w:r>
            <w:bookmarkEnd w:id="5641"/>
          </w:p>
        </w:tc>
        <w:tc>
          <w:tcPr>
            <w:tcW w:w="702" w:type="dxa"/>
            <w:tcBorders>
              <w:tl2br w:val="nil"/>
              <w:tr2bl w:val="nil"/>
            </w:tcBorders>
          </w:tcPr>
          <w:p w14:paraId="587E2CB9">
            <w:pPr>
              <w:pStyle w:val="29"/>
              <w:suppressLineNumbers w:val="0"/>
              <w:spacing w:beforeAutospacing="0" w:afterAutospacing="0"/>
              <w:ind w:left="0" w:right="0"/>
              <w:rPr>
                <w:rFonts w:hint="default"/>
                <w:color w:val="auto"/>
                <w:highlight w:val="none"/>
              </w:rPr>
            </w:pPr>
            <w:bookmarkStart w:id="5642" w:name="_Toc7307"/>
            <w:r>
              <w:rPr>
                <w:rFonts w:hint="default"/>
                <w:color w:val="auto"/>
                <w:highlight w:val="none"/>
              </w:rPr>
              <w:t>13.28</w:t>
            </w:r>
            <w:bookmarkEnd w:id="5642"/>
          </w:p>
        </w:tc>
        <w:tc>
          <w:tcPr>
            <w:tcW w:w="702" w:type="dxa"/>
            <w:tcBorders>
              <w:tl2br w:val="nil"/>
              <w:tr2bl w:val="nil"/>
            </w:tcBorders>
          </w:tcPr>
          <w:p w14:paraId="2165BDBD">
            <w:pPr>
              <w:pStyle w:val="29"/>
              <w:suppressLineNumbers w:val="0"/>
              <w:spacing w:beforeAutospacing="0" w:afterAutospacing="0"/>
              <w:ind w:left="0" w:right="0"/>
              <w:rPr>
                <w:rFonts w:hint="default"/>
                <w:color w:val="auto"/>
                <w:highlight w:val="none"/>
              </w:rPr>
            </w:pPr>
            <w:bookmarkStart w:id="5643" w:name="_Toc10433"/>
            <w:r>
              <w:rPr>
                <w:rFonts w:hint="default"/>
                <w:color w:val="auto"/>
                <w:highlight w:val="none"/>
              </w:rPr>
              <w:t>17.66</w:t>
            </w:r>
            <w:bookmarkEnd w:id="5643"/>
          </w:p>
        </w:tc>
        <w:tc>
          <w:tcPr>
            <w:tcW w:w="702" w:type="dxa"/>
            <w:tcBorders>
              <w:tl2br w:val="nil"/>
              <w:tr2bl w:val="nil"/>
            </w:tcBorders>
          </w:tcPr>
          <w:p w14:paraId="38168972">
            <w:pPr>
              <w:pStyle w:val="29"/>
              <w:suppressLineNumbers w:val="0"/>
              <w:spacing w:beforeAutospacing="0" w:afterAutospacing="0"/>
              <w:ind w:left="0" w:right="0"/>
              <w:rPr>
                <w:rFonts w:hint="default"/>
                <w:color w:val="auto"/>
                <w:highlight w:val="none"/>
              </w:rPr>
            </w:pPr>
            <w:bookmarkStart w:id="5644" w:name="_Toc27971"/>
            <w:r>
              <w:rPr>
                <w:rFonts w:hint="default"/>
                <w:color w:val="auto"/>
                <w:highlight w:val="none"/>
              </w:rPr>
              <w:t>20.40</w:t>
            </w:r>
            <w:bookmarkEnd w:id="5644"/>
          </w:p>
        </w:tc>
        <w:tc>
          <w:tcPr>
            <w:tcW w:w="702" w:type="dxa"/>
            <w:tcBorders>
              <w:tl2br w:val="nil"/>
              <w:tr2bl w:val="nil"/>
            </w:tcBorders>
          </w:tcPr>
          <w:p w14:paraId="6C6389BA">
            <w:pPr>
              <w:pStyle w:val="29"/>
              <w:suppressLineNumbers w:val="0"/>
              <w:spacing w:beforeAutospacing="0" w:afterAutospacing="0"/>
              <w:ind w:left="0" w:right="0"/>
              <w:rPr>
                <w:rFonts w:hint="default"/>
                <w:color w:val="auto"/>
                <w:highlight w:val="none"/>
              </w:rPr>
            </w:pPr>
            <w:r>
              <w:rPr>
                <w:rFonts w:hint="default"/>
                <w:color w:val="auto"/>
                <w:highlight w:val="none"/>
              </w:rPr>
              <w:t>19.94</w:t>
            </w:r>
          </w:p>
        </w:tc>
        <w:tc>
          <w:tcPr>
            <w:tcW w:w="702" w:type="dxa"/>
            <w:tcBorders>
              <w:tl2br w:val="nil"/>
              <w:tr2bl w:val="nil"/>
            </w:tcBorders>
          </w:tcPr>
          <w:p w14:paraId="77431B3C">
            <w:pPr>
              <w:pStyle w:val="29"/>
              <w:suppressLineNumbers w:val="0"/>
              <w:spacing w:beforeAutospacing="0" w:afterAutospacing="0"/>
              <w:ind w:left="0" w:right="0"/>
              <w:rPr>
                <w:rFonts w:hint="default"/>
                <w:color w:val="auto"/>
                <w:highlight w:val="none"/>
              </w:rPr>
            </w:pPr>
            <w:r>
              <w:rPr>
                <w:rFonts w:hint="default"/>
                <w:color w:val="auto"/>
                <w:highlight w:val="none"/>
              </w:rPr>
              <w:t>15.32</w:t>
            </w:r>
          </w:p>
        </w:tc>
        <w:tc>
          <w:tcPr>
            <w:tcW w:w="702" w:type="dxa"/>
            <w:tcBorders>
              <w:tl2br w:val="nil"/>
              <w:tr2bl w:val="nil"/>
            </w:tcBorders>
          </w:tcPr>
          <w:p w14:paraId="3A94927B">
            <w:pPr>
              <w:pStyle w:val="29"/>
              <w:suppressLineNumbers w:val="0"/>
              <w:spacing w:beforeAutospacing="0" w:afterAutospacing="0"/>
              <w:ind w:left="0" w:right="0"/>
              <w:rPr>
                <w:rFonts w:hint="default"/>
                <w:color w:val="auto"/>
                <w:highlight w:val="none"/>
              </w:rPr>
            </w:pPr>
            <w:bookmarkStart w:id="5645" w:name="_Toc27943"/>
            <w:r>
              <w:rPr>
                <w:rFonts w:hint="default"/>
                <w:color w:val="auto"/>
                <w:highlight w:val="none"/>
              </w:rPr>
              <w:t>9.78</w:t>
            </w:r>
            <w:bookmarkEnd w:id="5645"/>
          </w:p>
        </w:tc>
        <w:tc>
          <w:tcPr>
            <w:tcW w:w="715" w:type="dxa"/>
            <w:tcBorders>
              <w:tl2br w:val="nil"/>
              <w:tr2bl w:val="nil"/>
            </w:tcBorders>
          </w:tcPr>
          <w:p w14:paraId="6A15FFB6">
            <w:pPr>
              <w:pStyle w:val="29"/>
              <w:suppressLineNumbers w:val="0"/>
              <w:spacing w:beforeAutospacing="0" w:afterAutospacing="0"/>
              <w:ind w:left="0" w:right="0"/>
              <w:rPr>
                <w:rFonts w:hint="default"/>
                <w:color w:val="auto"/>
                <w:highlight w:val="none"/>
              </w:rPr>
            </w:pPr>
            <w:bookmarkStart w:id="5646" w:name="_Toc30511"/>
            <w:r>
              <w:rPr>
                <w:rFonts w:hint="default"/>
                <w:color w:val="auto"/>
                <w:highlight w:val="none"/>
              </w:rPr>
              <w:t>0.01</w:t>
            </w:r>
            <w:bookmarkEnd w:id="5646"/>
          </w:p>
        </w:tc>
      </w:tr>
      <w:tr w14:paraId="773D2A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exact"/>
        </w:trPr>
        <w:tc>
          <w:tcPr>
            <w:tcW w:w="663" w:type="dxa"/>
            <w:tcBorders>
              <w:tl2br w:val="nil"/>
              <w:tr2bl w:val="nil"/>
            </w:tcBorders>
          </w:tcPr>
          <w:p w14:paraId="2C7924EA">
            <w:pPr>
              <w:pStyle w:val="29"/>
              <w:suppressLineNumbers w:val="0"/>
              <w:spacing w:beforeAutospacing="0" w:afterAutospacing="0"/>
              <w:ind w:left="0" w:right="0"/>
              <w:rPr>
                <w:rFonts w:hint="default"/>
                <w:color w:val="auto"/>
                <w:highlight w:val="none"/>
              </w:rPr>
            </w:pPr>
            <w:bookmarkStart w:id="5647" w:name="_Toc6692"/>
            <w:r>
              <w:rPr>
                <w:rFonts w:hint="default"/>
                <w:color w:val="auto"/>
                <w:highlight w:val="none"/>
              </w:rPr>
              <w:t>8</w:t>
            </w:r>
            <w:bookmarkEnd w:id="5647"/>
          </w:p>
        </w:tc>
        <w:tc>
          <w:tcPr>
            <w:tcW w:w="600" w:type="dxa"/>
            <w:tcBorders>
              <w:tl2br w:val="nil"/>
              <w:tr2bl w:val="nil"/>
            </w:tcBorders>
          </w:tcPr>
          <w:p w14:paraId="0EB69760">
            <w:pPr>
              <w:pStyle w:val="29"/>
              <w:suppressLineNumbers w:val="0"/>
              <w:spacing w:beforeAutospacing="0" w:afterAutospacing="0"/>
              <w:ind w:left="0" w:right="0"/>
              <w:rPr>
                <w:rFonts w:hint="default"/>
                <w:color w:val="auto"/>
                <w:highlight w:val="none"/>
              </w:rPr>
            </w:pPr>
            <w:r>
              <w:rPr>
                <w:rFonts w:hint="default"/>
                <w:color w:val="auto"/>
                <w:highlight w:val="none"/>
              </w:rPr>
              <w:t>0.13</w:t>
            </w:r>
          </w:p>
        </w:tc>
        <w:tc>
          <w:tcPr>
            <w:tcW w:w="702" w:type="dxa"/>
            <w:tcBorders>
              <w:tl2br w:val="nil"/>
              <w:tr2bl w:val="nil"/>
            </w:tcBorders>
          </w:tcPr>
          <w:p w14:paraId="58BBA7F1">
            <w:pPr>
              <w:pStyle w:val="29"/>
              <w:suppressLineNumbers w:val="0"/>
              <w:spacing w:beforeAutospacing="0" w:afterAutospacing="0"/>
              <w:ind w:left="0" w:right="0"/>
              <w:rPr>
                <w:rFonts w:hint="default"/>
                <w:color w:val="auto"/>
                <w:highlight w:val="none"/>
              </w:rPr>
            </w:pPr>
            <w:r>
              <w:rPr>
                <w:rFonts w:hint="default"/>
                <w:color w:val="auto"/>
                <w:highlight w:val="none"/>
              </w:rPr>
              <w:t>5.76</w:t>
            </w:r>
          </w:p>
        </w:tc>
        <w:tc>
          <w:tcPr>
            <w:tcW w:w="702" w:type="dxa"/>
            <w:tcBorders>
              <w:tl2br w:val="nil"/>
              <w:tr2bl w:val="nil"/>
            </w:tcBorders>
          </w:tcPr>
          <w:p w14:paraId="3C686026">
            <w:pPr>
              <w:pStyle w:val="29"/>
              <w:suppressLineNumbers w:val="0"/>
              <w:spacing w:beforeAutospacing="0" w:afterAutospacing="0"/>
              <w:ind w:left="0" w:right="0"/>
              <w:rPr>
                <w:rFonts w:hint="default"/>
                <w:color w:val="auto"/>
                <w:highlight w:val="none"/>
              </w:rPr>
            </w:pPr>
            <w:bookmarkStart w:id="5648" w:name="_Toc17343"/>
            <w:r>
              <w:rPr>
                <w:rFonts w:hint="default"/>
                <w:color w:val="auto"/>
                <w:highlight w:val="none"/>
              </w:rPr>
              <w:t>5.48</w:t>
            </w:r>
            <w:bookmarkEnd w:id="5648"/>
          </w:p>
        </w:tc>
        <w:tc>
          <w:tcPr>
            <w:tcW w:w="702" w:type="dxa"/>
            <w:tcBorders>
              <w:tl2br w:val="nil"/>
              <w:tr2bl w:val="nil"/>
            </w:tcBorders>
          </w:tcPr>
          <w:p w14:paraId="38C13A44">
            <w:pPr>
              <w:pStyle w:val="29"/>
              <w:suppressLineNumbers w:val="0"/>
              <w:spacing w:beforeAutospacing="0" w:afterAutospacing="0"/>
              <w:ind w:left="0" w:right="0"/>
              <w:rPr>
                <w:rFonts w:hint="default"/>
                <w:color w:val="auto"/>
                <w:highlight w:val="none"/>
              </w:rPr>
            </w:pPr>
            <w:bookmarkStart w:id="5649" w:name="_Toc10477"/>
            <w:r>
              <w:rPr>
                <w:rFonts w:hint="default"/>
                <w:color w:val="auto"/>
                <w:highlight w:val="none"/>
              </w:rPr>
              <w:t>6.15</w:t>
            </w:r>
            <w:bookmarkEnd w:id="5649"/>
          </w:p>
        </w:tc>
        <w:tc>
          <w:tcPr>
            <w:tcW w:w="702" w:type="dxa"/>
            <w:tcBorders>
              <w:tl2br w:val="nil"/>
              <w:tr2bl w:val="nil"/>
            </w:tcBorders>
          </w:tcPr>
          <w:p w14:paraId="02F8470A">
            <w:pPr>
              <w:pStyle w:val="29"/>
              <w:suppressLineNumbers w:val="0"/>
              <w:spacing w:beforeAutospacing="0" w:afterAutospacing="0"/>
              <w:ind w:left="0" w:right="0"/>
              <w:rPr>
                <w:rFonts w:hint="default"/>
                <w:color w:val="auto"/>
                <w:highlight w:val="none"/>
              </w:rPr>
            </w:pPr>
            <w:bookmarkStart w:id="5650" w:name="_Toc14466"/>
            <w:r>
              <w:rPr>
                <w:rFonts w:hint="default"/>
                <w:color w:val="auto"/>
                <w:highlight w:val="none"/>
              </w:rPr>
              <w:t>8.72</w:t>
            </w:r>
            <w:bookmarkEnd w:id="5650"/>
          </w:p>
        </w:tc>
        <w:tc>
          <w:tcPr>
            <w:tcW w:w="702" w:type="dxa"/>
            <w:tcBorders>
              <w:tl2br w:val="nil"/>
              <w:tr2bl w:val="nil"/>
            </w:tcBorders>
          </w:tcPr>
          <w:p w14:paraId="6082AB43">
            <w:pPr>
              <w:pStyle w:val="29"/>
              <w:suppressLineNumbers w:val="0"/>
              <w:spacing w:beforeAutospacing="0" w:afterAutospacing="0"/>
              <w:ind w:left="0" w:right="0"/>
              <w:rPr>
                <w:rFonts w:hint="default"/>
                <w:color w:val="auto"/>
                <w:highlight w:val="none"/>
              </w:rPr>
            </w:pPr>
            <w:bookmarkStart w:id="5651" w:name="_Toc29587"/>
            <w:r>
              <w:rPr>
                <w:rFonts w:hint="default"/>
                <w:color w:val="auto"/>
                <w:highlight w:val="none"/>
              </w:rPr>
              <w:t>12.00</w:t>
            </w:r>
            <w:bookmarkEnd w:id="5651"/>
          </w:p>
        </w:tc>
        <w:tc>
          <w:tcPr>
            <w:tcW w:w="702" w:type="dxa"/>
            <w:tcBorders>
              <w:tl2br w:val="nil"/>
              <w:tr2bl w:val="nil"/>
            </w:tcBorders>
          </w:tcPr>
          <w:p w14:paraId="6AFFD843">
            <w:pPr>
              <w:pStyle w:val="29"/>
              <w:suppressLineNumbers w:val="0"/>
              <w:spacing w:beforeAutospacing="0" w:afterAutospacing="0"/>
              <w:ind w:left="0" w:right="0"/>
              <w:rPr>
                <w:rFonts w:hint="default"/>
                <w:color w:val="auto"/>
                <w:highlight w:val="none"/>
              </w:rPr>
            </w:pPr>
            <w:bookmarkStart w:id="5652" w:name="_Toc20322"/>
            <w:r>
              <w:rPr>
                <w:rFonts w:hint="default"/>
                <w:color w:val="auto"/>
                <w:highlight w:val="none"/>
              </w:rPr>
              <w:t>16.04</w:t>
            </w:r>
            <w:bookmarkEnd w:id="5652"/>
          </w:p>
        </w:tc>
        <w:tc>
          <w:tcPr>
            <w:tcW w:w="702" w:type="dxa"/>
            <w:tcBorders>
              <w:tl2br w:val="nil"/>
              <w:tr2bl w:val="nil"/>
            </w:tcBorders>
          </w:tcPr>
          <w:p w14:paraId="0BE13638">
            <w:pPr>
              <w:pStyle w:val="29"/>
              <w:suppressLineNumbers w:val="0"/>
              <w:spacing w:beforeAutospacing="0" w:afterAutospacing="0"/>
              <w:ind w:left="0" w:right="0"/>
              <w:rPr>
                <w:rFonts w:hint="default"/>
                <w:color w:val="auto"/>
                <w:highlight w:val="none"/>
              </w:rPr>
            </w:pPr>
            <w:bookmarkStart w:id="5653" w:name="_Toc30116"/>
            <w:r>
              <w:rPr>
                <w:rFonts w:hint="default"/>
                <w:color w:val="auto"/>
                <w:highlight w:val="none"/>
              </w:rPr>
              <w:t>19.03</w:t>
            </w:r>
            <w:bookmarkEnd w:id="5653"/>
          </w:p>
        </w:tc>
        <w:tc>
          <w:tcPr>
            <w:tcW w:w="702" w:type="dxa"/>
            <w:tcBorders>
              <w:tl2br w:val="nil"/>
              <w:tr2bl w:val="nil"/>
            </w:tcBorders>
          </w:tcPr>
          <w:p w14:paraId="30F4FE43">
            <w:pPr>
              <w:pStyle w:val="29"/>
              <w:suppressLineNumbers w:val="0"/>
              <w:spacing w:beforeAutospacing="0" w:afterAutospacing="0"/>
              <w:ind w:left="0" w:right="0"/>
              <w:rPr>
                <w:rFonts w:hint="default"/>
                <w:color w:val="auto"/>
                <w:highlight w:val="none"/>
              </w:rPr>
            </w:pPr>
            <w:bookmarkStart w:id="5654" w:name="_Toc29633"/>
            <w:r>
              <w:rPr>
                <w:rFonts w:hint="default"/>
                <w:color w:val="auto"/>
                <w:highlight w:val="none"/>
              </w:rPr>
              <w:t>19.18</w:t>
            </w:r>
            <w:bookmarkEnd w:id="5654"/>
          </w:p>
        </w:tc>
        <w:tc>
          <w:tcPr>
            <w:tcW w:w="702" w:type="dxa"/>
            <w:tcBorders>
              <w:tl2br w:val="nil"/>
              <w:tr2bl w:val="nil"/>
            </w:tcBorders>
          </w:tcPr>
          <w:p w14:paraId="47288178">
            <w:pPr>
              <w:pStyle w:val="29"/>
              <w:suppressLineNumbers w:val="0"/>
              <w:spacing w:beforeAutospacing="0" w:afterAutospacing="0"/>
              <w:ind w:left="0" w:right="0"/>
              <w:rPr>
                <w:rFonts w:hint="default"/>
                <w:color w:val="auto"/>
                <w:highlight w:val="none"/>
              </w:rPr>
            </w:pPr>
            <w:bookmarkStart w:id="5655" w:name="_Toc3312"/>
            <w:r>
              <w:rPr>
                <w:rFonts w:hint="default"/>
                <w:color w:val="auto"/>
                <w:highlight w:val="none"/>
              </w:rPr>
              <w:t>15.09</w:t>
            </w:r>
            <w:bookmarkEnd w:id="5655"/>
          </w:p>
        </w:tc>
        <w:tc>
          <w:tcPr>
            <w:tcW w:w="702" w:type="dxa"/>
            <w:tcBorders>
              <w:tl2br w:val="nil"/>
              <w:tr2bl w:val="nil"/>
            </w:tcBorders>
          </w:tcPr>
          <w:p w14:paraId="0541D930">
            <w:pPr>
              <w:pStyle w:val="29"/>
              <w:suppressLineNumbers w:val="0"/>
              <w:spacing w:beforeAutospacing="0" w:afterAutospacing="0"/>
              <w:ind w:left="0" w:right="0"/>
              <w:rPr>
                <w:rFonts w:hint="default"/>
                <w:color w:val="auto"/>
                <w:highlight w:val="none"/>
              </w:rPr>
            </w:pPr>
            <w:bookmarkStart w:id="5656" w:name="_Toc5189"/>
            <w:r>
              <w:rPr>
                <w:rFonts w:hint="default"/>
                <w:color w:val="auto"/>
                <w:highlight w:val="none"/>
              </w:rPr>
              <w:t>9.75</w:t>
            </w:r>
            <w:bookmarkEnd w:id="5656"/>
          </w:p>
        </w:tc>
        <w:tc>
          <w:tcPr>
            <w:tcW w:w="715" w:type="dxa"/>
            <w:tcBorders>
              <w:tl2br w:val="nil"/>
              <w:tr2bl w:val="nil"/>
            </w:tcBorders>
          </w:tcPr>
          <w:p w14:paraId="41C56B9B">
            <w:pPr>
              <w:pStyle w:val="29"/>
              <w:suppressLineNumbers w:val="0"/>
              <w:spacing w:beforeAutospacing="0" w:afterAutospacing="0"/>
              <w:ind w:left="0" w:right="0"/>
              <w:rPr>
                <w:rFonts w:hint="default"/>
                <w:color w:val="auto"/>
                <w:highlight w:val="none"/>
              </w:rPr>
            </w:pPr>
            <w:bookmarkStart w:id="5657" w:name="_Toc7503"/>
            <w:r>
              <w:rPr>
                <w:rFonts w:hint="default"/>
                <w:color w:val="auto"/>
                <w:highlight w:val="none"/>
              </w:rPr>
              <w:t>0.03</w:t>
            </w:r>
            <w:bookmarkEnd w:id="5657"/>
          </w:p>
        </w:tc>
      </w:tr>
      <w:tr w14:paraId="33FA1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exact"/>
        </w:trPr>
        <w:tc>
          <w:tcPr>
            <w:tcW w:w="663" w:type="dxa"/>
            <w:tcBorders>
              <w:tl2br w:val="nil"/>
              <w:tr2bl w:val="nil"/>
            </w:tcBorders>
          </w:tcPr>
          <w:p w14:paraId="3FA8AB90">
            <w:pPr>
              <w:pStyle w:val="29"/>
              <w:suppressLineNumbers w:val="0"/>
              <w:spacing w:beforeAutospacing="0" w:afterAutospacing="0"/>
              <w:ind w:left="0" w:right="0"/>
              <w:rPr>
                <w:rFonts w:hint="default"/>
                <w:color w:val="auto"/>
                <w:highlight w:val="none"/>
              </w:rPr>
            </w:pPr>
            <w:bookmarkStart w:id="5658" w:name="_Toc7682"/>
            <w:r>
              <w:rPr>
                <w:rFonts w:hint="default"/>
                <w:color w:val="auto"/>
                <w:highlight w:val="none"/>
              </w:rPr>
              <w:t>10</w:t>
            </w:r>
            <w:bookmarkEnd w:id="5658"/>
          </w:p>
        </w:tc>
        <w:tc>
          <w:tcPr>
            <w:tcW w:w="600" w:type="dxa"/>
            <w:tcBorders>
              <w:tl2br w:val="nil"/>
              <w:tr2bl w:val="nil"/>
            </w:tcBorders>
          </w:tcPr>
          <w:p w14:paraId="2E46CC26">
            <w:pPr>
              <w:pStyle w:val="29"/>
              <w:suppressLineNumbers w:val="0"/>
              <w:spacing w:beforeAutospacing="0" w:afterAutospacing="0"/>
              <w:ind w:left="0" w:right="0"/>
              <w:rPr>
                <w:rFonts w:hint="default"/>
                <w:color w:val="auto"/>
                <w:highlight w:val="none"/>
              </w:rPr>
            </w:pPr>
            <w:bookmarkStart w:id="5659" w:name="_Toc7583"/>
            <w:r>
              <w:rPr>
                <w:rFonts w:hint="default"/>
                <w:color w:val="auto"/>
                <w:highlight w:val="none"/>
              </w:rPr>
              <w:t>2.76</w:t>
            </w:r>
            <w:bookmarkEnd w:id="5659"/>
          </w:p>
        </w:tc>
        <w:tc>
          <w:tcPr>
            <w:tcW w:w="702" w:type="dxa"/>
            <w:tcBorders>
              <w:tl2br w:val="nil"/>
              <w:tr2bl w:val="nil"/>
            </w:tcBorders>
          </w:tcPr>
          <w:p w14:paraId="33342C9C">
            <w:pPr>
              <w:pStyle w:val="29"/>
              <w:suppressLineNumbers w:val="0"/>
              <w:spacing w:beforeAutospacing="0" w:afterAutospacing="0"/>
              <w:ind w:left="0" w:right="0"/>
              <w:rPr>
                <w:rFonts w:hint="default"/>
                <w:color w:val="auto"/>
                <w:highlight w:val="none"/>
              </w:rPr>
            </w:pPr>
            <w:bookmarkStart w:id="5660" w:name="_Toc23064"/>
            <w:r>
              <w:rPr>
                <w:rFonts w:hint="default"/>
                <w:color w:val="auto"/>
                <w:highlight w:val="none"/>
              </w:rPr>
              <w:t>6.34</w:t>
            </w:r>
            <w:bookmarkEnd w:id="5660"/>
          </w:p>
        </w:tc>
        <w:tc>
          <w:tcPr>
            <w:tcW w:w="702" w:type="dxa"/>
            <w:tcBorders>
              <w:tl2br w:val="nil"/>
              <w:tr2bl w:val="nil"/>
            </w:tcBorders>
          </w:tcPr>
          <w:p w14:paraId="09A0D0A1">
            <w:pPr>
              <w:pStyle w:val="29"/>
              <w:suppressLineNumbers w:val="0"/>
              <w:spacing w:beforeAutospacing="0" w:afterAutospacing="0"/>
              <w:ind w:left="0" w:right="0"/>
              <w:rPr>
                <w:rFonts w:hint="default"/>
                <w:color w:val="auto"/>
                <w:highlight w:val="none"/>
              </w:rPr>
            </w:pPr>
            <w:bookmarkStart w:id="5661" w:name="_Toc29037"/>
            <w:r>
              <w:rPr>
                <w:rFonts w:hint="default"/>
                <w:color w:val="auto"/>
                <w:highlight w:val="none"/>
              </w:rPr>
              <w:t>5.99</w:t>
            </w:r>
            <w:bookmarkEnd w:id="5661"/>
          </w:p>
        </w:tc>
        <w:tc>
          <w:tcPr>
            <w:tcW w:w="702" w:type="dxa"/>
            <w:tcBorders>
              <w:tl2br w:val="nil"/>
              <w:tr2bl w:val="nil"/>
            </w:tcBorders>
          </w:tcPr>
          <w:p w14:paraId="2E5DC8BF">
            <w:pPr>
              <w:pStyle w:val="29"/>
              <w:suppressLineNumbers w:val="0"/>
              <w:spacing w:beforeAutospacing="0" w:afterAutospacing="0"/>
              <w:ind w:left="0" w:right="0"/>
              <w:rPr>
                <w:rFonts w:hint="default"/>
                <w:color w:val="auto"/>
                <w:highlight w:val="none"/>
              </w:rPr>
            </w:pPr>
            <w:bookmarkStart w:id="5662" w:name="_Toc2335"/>
            <w:r>
              <w:rPr>
                <w:rFonts w:hint="default"/>
                <w:color w:val="auto"/>
                <w:highlight w:val="none"/>
              </w:rPr>
              <w:t>6.27</w:t>
            </w:r>
            <w:bookmarkEnd w:id="5662"/>
          </w:p>
        </w:tc>
        <w:tc>
          <w:tcPr>
            <w:tcW w:w="702" w:type="dxa"/>
            <w:tcBorders>
              <w:tl2br w:val="nil"/>
              <w:tr2bl w:val="nil"/>
            </w:tcBorders>
          </w:tcPr>
          <w:p w14:paraId="457F70AE">
            <w:pPr>
              <w:pStyle w:val="29"/>
              <w:suppressLineNumbers w:val="0"/>
              <w:spacing w:beforeAutospacing="0" w:afterAutospacing="0"/>
              <w:ind w:left="0" w:right="0"/>
              <w:rPr>
                <w:rFonts w:hint="default"/>
                <w:color w:val="auto"/>
                <w:highlight w:val="none"/>
              </w:rPr>
            </w:pPr>
            <w:bookmarkStart w:id="5663" w:name="_Toc7465"/>
            <w:r>
              <w:rPr>
                <w:rFonts w:hint="default"/>
                <w:color w:val="auto"/>
                <w:highlight w:val="none"/>
              </w:rPr>
              <w:t>8.16</w:t>
            </w:r>
            <w:bookmarkEnd w:id="5663"/>
          </w:p>
        </w:tc>
        <w:tc>
          <w:tcPr>
            <w:tcW w:w="702" w:type="dxa"/>
            <w:tcBorders>
              <w:tl2br w:val="nil"/>
              <w:tr2bl w:val="nil"/>
            </w:tcBorders>
          </w:tcPr>
          <w:p w14:paraId="4CCFA21A">
            <w:pPr>
              <w:pStyle w:val="29"/>
              <w:suppressLineNumbers w:val="0"/>
              <w:spacing w:beforeAutospacing="0" w:afterAutospacing="0"/>
              <w:ind w:left="0" w:right="0"/>
              <w:rPr>
                <w:rFonts w:hint="default"/>
                <w:color w:val="auto"/>
                <w:highlight w:val="none"/>
              </w:rPr>
            </w:pPr>
            <w:bookmarkStart w:id="5664" w:name="_Toc13078"/>
            <w:r>
              <w:rPr>
                <w:rFonts w:hint="default"/>
                <w:color w:val="auto"/>
                <w:highlight w:val="none"/>
              </w:rPr>
              <w:t>10.85</w:t>
            </w:r>
            <w:bookmarkEnd w:id="5664"/>
          </w:p>
        </w:tc>
        <w:tc>
          <w:tcPr>
            <w:tcW w:w="702" w:type="dxa"/>
            <w:tcBorders>
              <w:tl2br w:val="nil"/>
              <w:tr2bl w:val="nil"/>
            </w:tcBorders>
          </w:tcPr>
          <w:p w14:paraId="5ED1CF6E">
            <w:pPr>
              <w:pStyle w:val="29"/>
              <w:suppressLineNumbers w:val="0"/>
              <w:spacing w:beforeAutospacing="0" w:afterAutospacing="0"/>
              <w:ind w:left="0" w:right="0"/>
              <w:rPr>
                <w:rFonts w:hint="default"/>
                <w:color w:val="auto"/>
                <w:highlight w:val="none"/>
              </w:rPr>
            </w:pPr>
            <w:bookmarkStart w:id="5665" w:name="_Toc4323"/>
            <w:r>
              <w:rPr>
                <w:rFonts w:hint="default"/>
                <w:color w:val="auto"/>
                <w:highlight w:val="none"/>
              </w:rPr>
              <w:t>14.41</w:t>
            </w:r>
            <w:bookmarkEnd w:id="5665"/>
          </w:p>
        </w:tc>
        <w:tc>
          <w:tcPr>
            <w:tcW w:w="702" w:type="dxa"/>
            <w:tcBorders>
              <w:tl2br w:val="nil"/>
              <w:tr2bl w:val="nil"/>
            </w:tcBorders>
          </w:tcPr>
          <w:p w14:paraId="0798E33E">
            <w:pPr>
              <w:pStyle w:val="29"/>
              <w:suppressLineNumbers w:val="0"/>
              <w:spacing w:beforeAutospacing="0" w:afterAutospacing="0"/>
              <w:ind w:left="0" w:right="0"/>
              <w:rPr>
                <w:rFonts w:hint="default"/>
                <w:color w:val="auto"/>
                <w:highlight w:val="none"/>
              </w:rPr>
            </w:pPr>
            <w:r>
              <w:rPr>
                <w:rFonts w:hint="default"/>
                <w:color w:val="auto"/>
                <w:highlight w:val="none"/>
              </w:rPr>
              <w:t>17.44</w:t>
            </w:r>
          </w:p>
        </w:tc>
        <w:tc>
          <w:tcPr>
            <w:tcW w:w="702" w:type="dxa"/>
            <w:tcBorders>
              <w:tl2br w:val="nil"/>
              <w:tr2bl w:val="nil"/>
            </w:tcBorders>
          </w:tcPr>
          <w:p w14:paraId="6013A8B8">
            <w:pPr>
              <w:pStyle w:val="29"/>
              <w:suppressLineNumbers w:val="0"/>
              <w:spacing w:beforeAutospacing="0" w:afterAutospacing="0"/>
              <w:ind w:left="0" w:right="0"/>
              <w:rPr>
                <w:rFonts w:hint="default"/>
                <w:color w:val="auto"/>
                <w:highlight w:val="none"/>
              </w:rPr>
            </w:pPr>
            <w:r>
              <w:rPr>
                <w:rFonts w:hint="default"/>
                <w:color w:val="auto"/>
                <w:highlight w:val="none"/>
              </w:rPr>
              <w:t>18.14</w:t>
            </w:r>
          </w:p>
        </w:tc>
        <w:tc>
          <w:tcPr>
            <w:tcW w:w="702" w:type="dxa"/>
            <w:tcBorders>
              <w:tl2br w:val="nil"/>
              <w:tr2bl w:val="nil"/>
            </w:tcBorders>
          </w:tcPr>
          <w:p w14:paraId="2D859419">
            <w:pPr>
              <w:pStyle w:val="29"/>
              <w:suppressLineNumbers w:val="0"/>
              <w:spacing w:beforeAutospacing="0" w:afterAutospacing="0"/>
              <w:ind w:left="0" w:right="0"/>
              <w:rPr>
                <w:rFonts w:hint="default"/>
                <w:color w:val="auto"/>
                <w:highlight w:val="none"/>
              </w:rPr>
            </w:pPr>
            <w:r>
              <w:rPr>
                <w:rFonts w:hint="default"/>
                <w:color w:val="auto"/>
                <w:highlight w:val="none"/>
              </w:rPr>
              <w:t>14.71</w:t>
            </w:r>
          </w:p>
        </w:tc>
        <w:tc>
          <w:tcPr>
            <w:tcW w:w="702" w:type="dxa"/>
            <w:tcBorders>
              <w:tl2br w:val="nil"/>
              <w:tr2bl w:val="nil"/>
            </w:tcBorders>
          </w:tcPr>
          <w:p w14:paraId="75F20496">
            <w:pPr>
              <w:pStyle w:val="29"/>
              <w:suppressLineNumbers w:val="0"/>
              <w:spacing w:beforeAutospacing="0" w:afterAutospacing="0"/>
              <w:ind w:left="0" w:right="0"/>
              <w:rPr>
                <w:rFonts w:hint="default"/>
                <w:color w:val="auto"/>
                <w:highlight w:val="none"/>
              </w:rPr>
            </w:pPr>
            <w:bookmarkStart w:id="5666" w:name="_Toc3385"/>
            <w:r>
              <w:rPr>
                <w:rFonts w:hint="default"/>
                <w:color w:val="auto"/>
                <w:highlight w:val="none"/>
              </w:rPr>
              <w:t>9.68</w:t>
            </w:r>
            <w:bookmarkEnd w:id="5666"/>
          </w:p>
        </w:tc>
        <w:tc>
          <w:tcPr>
            <w:tcW w:w="715" w:type="dxa"/>
            <w:tcBorders>
              <w:tl2br w:val="nil"/>
              <w:tr2bl w:val="nil"/>
            </w:tcBorders>
          </w:tcPr>
          <w:p w14:paraId="09E18870">
            <w:pPr>
              <w:pStyle w:val="29"/>
              <w:suppressLineNumbers w:val="0"/>
              <w:spacing w:beforeAutospacing="0" w:afterAutospacing="0"/>
              <w:ind w:left="0" w:right="0"/>
              <w:rPr>
                <w:rFonts w:hint="default"/>
                <w:color w:val="auto"/>
                <w:highlight w:val="none"/>
              </w:rPr>
            </w:pPr>
            <w:bookmarkStart w:id="5667" w:name="_Toc7542"/>
            <w:r>
              <w:rPr>
                <w:rFonts w:hint="default"/>
                <w:color w:val="auto"/>
                <w:highlight w:val="none"/>
              </w:rPr>
              <w:t>0.08</w:t>
            </w:r>
            <w:bookmarkEnd w:id="5667"/>
          </w:p>
        </w:tc>
      </w:tr>
    </w:tbl>
    <w:p w14:paraId="34028C2F">
      <w:pPr>
        <w:pStyle w:val="9"/>
        <w:spacing w:line="276" w:lineRule="auto"/>
        <w:ind w:firstLine="0" w:firstLineChars="0"/>
        <w:jc w:val="center"/>
        <w:rPr>
          <w:rFonts w:ascii="Times New Roman" w:hAnsi="Times New Roman"/>
          <w:b/>
          <w:color w:val="auto"/>
          <w:sz w:val="21"/>
          <w:highlight w:val="none"/>
        </w:rPr>
      </w:pPr>
      <w:r>
        <w:rPr>
          <w:rFonts w:ascii="Times New Roman" w:hAnsi="Times New Roman"/>
          <w:b/>
          <w:color w:val="auto"/>
          <w:sz w:val="21"/>
          <w:highlight w:val="none"/>
        </w:rPr>
        <w:drawing>
          <wp:inline distT="0" distB="0" distL="114300" distR="114300">
            <wp:extent cx="5269230" cy="3415030"/>
            <wp:effectExtent l="0" t="0" r="7620" b="13970"/>
            <wp:docPr id="41" name="图片 41" descr="171342510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13425109692"/>
                    <pic:cNvPicPr>
                      <a:picLocks noChangeAspect="1"/>
                    </pic:cNvPicPr>
                  </pic:nvPicPr>
                  <pic:blipFill>
                    <a:blip r:embed="rId73"/>
                    <a:stretch>
                      <a:fillRect/>
                    </a:stretch>
                  </pic:blipFill>
                  <pic:spPr>
                    <a:xfrm>
                      <a:off x="0" y="0"/>
                      <a:ext cx="5269230" cy="3415030"/>
                    </a:xfrm>
                    <a:prstGeom prst="rect">
                      <a:avLst/>
                    </a:prstGeom>
                  </pic:spPr>
                </pic:pic>
              </a:graphicData>
            </a:graphic>
          </wp:inline>
        </w:drawing>
      </w:r>
    </w:p>
    <w:p w14:paraId="404F2935">
      <w:pPr>
        <w:pStyle w:val="9"/>
        <w:spacing w:line="276" w:lineRule="auto"/>
        <w:ind w:firstLine="0" w:firstLineChars="0"/>
        <w:jc w:val="center"/>
        <w:rPr>
          <w:rFonts w:ascii="Times New Roman" w:hAnsi="Times New Roman"/>
          <w:b/>
          <w:bCs/>
          <w:color w:val="auto"/>
          <w:highlight w:val="none"/>
        </w:rPr>
      </w:pPr>
      <w:r>
        <w:rPr>
          <w:rFonts w:hint="eastAsia" w:ascii="Times New Roman" w:hAnsi="Times New Roman"/>
          <w:b/>
          <w:bCs/>
          <w:color w:val="auto"/>
          <w:highlight w:val="none"/>
        </w:rPr>
        <w:t>图6.2-1 地表水水温预测结果</w:t>
      </w:r>
    </w:p>
    <w:p w14:paraId="47173B39">
      <w:pPr>
        <w:rPr>
          <w:rFonts w:hint="eastAsia" w:ascii="宋体" w:hAnsi="宋体" w:eastAsia="宋体"/>
          <w:color w:val="auto"/>
          <w:szCs w:val="24"/>
          <w:highlight w:val="none"/>
        </w:rPr>
      </w:pPr>
      <w:r>
        <w:rPr>
          <w:rFonts w:hint="eastAsia" w:ascii="宋体" w:hAnsi="宋体"/>
          <w:color w:val="auto"/>
          <w:szCs w:val="24"/>
          <w:highlight w:val="none"/>
        </w:rPr>
        <w:t>根据以上预测，水温可满足生态用水温度，水库周边无排放污水的企业存</w:t>
      </w:r>
      <w:r>
        <w:rPr>
          <w:rFonts w:hint="eastAsia" w:ascii="宋体" w:hAnsi="宋体" w:eastAsia="宋体"/>
          <w:color w:val="auto"/>
          <w:szCs w:val="24"/>
          <w:highlight w:val="none"/>
        </w:rPr>
        <w:t>在，水库水温仅受当地气候影响。</w:t>
      </w:r>
    </w:p>
    <w:p w14:paraId="1285F36D">
      <w:pPr>
        <w:rPr>
          <w:rFonts w:hint="default" w:ascii="宋体" w:hAnsi="宋体" w:eastAsia="宋体"/>
          <w:color w:val="auto"/>
          <w:szCs w:val="24"/>
          <w:highlight w:val="none"/>
          <w:lang w:val="en-US" w:eastAsia="zh-CN"/>
        </w:rPr>
      </w:pPr>
      <w:r>
        <w:rPr>
          <w:rFonts w:hint="eastAsia" w:ascii="宋体" w:hAnsi="宋体" w:eastAsia="宋体"/>
          <w:color w:val="auto"/>
          <w:szCs w:val="24"/>
          <w:highlight w:val="none"/>
          <w:lang w:val="en-US" w:eastAsia="zh-CN"/>
        </w:rPr>
        <w:t>②河道水温</w:t>
      </w:r>
    </w:p>
    <w:p w14:paraId="1328441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color w:val="auto"/>
          <w:highlight w:val="none"/>
          <w:lang w:val="en-US" w:eastAsia="zh-CN"/>
        </w:rPr>
        <w:t>由于水库水温受当地气候影响，下泄到下游河道，对下游河道水温基本无</w:t>
      </w:r>
      <w:r>
        <w:rPr>
          <w:rFonts w:hint="eastAsia" w:eastAsia="宋体" w:cs="Times New Roman"/>
          <w:color w:val="auto"/>
          <w:sz w:val="24"/>
          <w:szCs w:val="24"/>
          <w:highlight w:val="none"/>
          <w:lang w:val="en-US" w:eastAsia="zh-CN"/>
        </w:rPr>
        <w:t>影响，河道水温为当地地表水温。</w:t>
      </w:r>
    </w:p>
    <w:p w14:paraId="7C2DB3D9">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（5）对地表水环境正效益分析</w:t>
      </w:r>
    </w:p>
    <w:p w14:paraId="1E760E4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本工程</w:t>
      </w:r>
      <w:r>
        <w:rPr>
          <w:rFonts w:hint="default" w:eastAsia="宋体" w:cs="Times New Roman"/>
          <w:color w:val="auto"/>
          <w:sz w:val="24"/>
          <w:szCs w:val="24"/>
          <w:highlight w:val="none"/>
          <w:lang w:val="en-US" w:eastAsia="zh-CN"/>
        </w:rPr>
        <w:t>运营期不产生废水等污染物，项目治理后，不仅可以进一步消除河道塌岸险情，还将进一步增</w:t>
      </w:r>
      <w:r>
        <w:rPr>
          <w:rFonts w:hint="default" w:cs="Times New Roman"/>
          <w:color w:val="auto"/>
          <w:sz w:val="24"/>
          <w:szCs w:val="24"/>
          <w:highlight w:val="none"/>
          <w:lang w:val="en-US" w:eastAsia="zh-CN"/>
        </w:rPr>
        <w:t>强治理河道洪水调度和排水排洪能力，河道防洪排水功能得到充分发挥，既能保证社会公共财产安全，又能充分体现生态水利的理念，使得各河道流速加快，排水流量增加，项目实施后，可以明显改善河道水质状况。项目运营期将</w:t>
      </w:r>
      <w:r>
        <w:rPr>
          <w:rFonts w:hint="eastAsia" w:cs="Times New Roman"/>
          <w:color w:val="auto"/>
          <w:sz w:val="24"/>
          <w:szCs w:val="24"/>
          <w:highlight w:val="none"/>
          <w:lang w:val="en-US" w:eastAsia="zh-CN"/>
        </w:rPr>
        <w:t>一定程度上增大河道水体流速</w:t>
      </w:r>
      <w:r>
        <w:rPr>
          <w:rFonts w:hint="default" w:cs="Times New Roman"/>
          <w:color w:val="auto"/>
          <w:sz w:val="24"/>
          <w:szCs w:val="24"/>
          <w:highlight w:val="none"/>
          <w:lang w:val="en-US" w:eastAsia="zh-CN"/>
        </w:rPr>
        <w:t>，满足设计的排水和防洪标准要求，不会对河道内的水文情势造成较大改变，</w:t>
      </w:r>
      <w:r>
        <w:rPr>
          <w:rFonts w:hint="eastAsia" w:cs="Times New Roman"/>
          <w:color w:val="auto"/>
          <w:sz w:val="24"/>
          <w:szCs w:val="24"/>
          <w:highlight w:val="none"/>
          <w:lang w:val="en-US" w:eastAsia="zh-CN"/>
        </w:rPr>
        <w:t>本工程</w:t>
      </w:r>
      <w:r>
        <w:rPr>
          <w:rFonts w:hint="default" w:cs="Times New Roman"/>
          <w:color w:val="auto"/>
          <w:sz w:val="24"/>
          <w:szCs w:val="24"/>
          <w:highlight w:val="none"/>
          <w:lang w:val="en-US" w:eastAsia="zh-CN"/>
        </w:rPr>
        <w:t>的建设在运营期对水环境影响较小</w:t>
      </w:r>
      <w:r>
        <w:rPr>
          <w:rFonts w:hint="eastAsia" w:cs="Times New Roman"/>
          <w:color w:val="auto"/>
          <w:sz w:val="24"/>
          <w:szCs w:val="24"/>
          <w:highlight w:val="none"/>
          <w:lang w:val="en-US" w:eastAsia="zh-CN"/>
        </w:rPr>
        <w:t>。</w:t>
      </w:r>
    </w:p>
    <w:p w14:paraId="413BB0F6">
      <w:pPr>
        <w:rPr>
          <w:rFonts w:hint="default"/>
          <w:color w:val="auto"/>
          <w:highlight w:val="none"/>
          <w:lang w:val="en-US" w:eastAsia="zh-CN"/>
        </w:rPr>
      </w:pPr>
    </w:p>
    <w:p w14:paraId="3B90976B">
      <w:pPr>
        <w:pStyle w:val="4"/>
        <w:bidi w:val="0"/>
        <w:rPr>
          <w:rFonts w:hint="default"/>
          <w:color w:val="auto"/>
          <w:highlight w:val="none"/>
          <w:lang w:val="en-US" w:eastAsia="zh-CN"/>
        </w:rPr>
      </w:pPr>
      <w:bookmarkStart w:id="5668" w:name="_Toc20684"/>
      <w:bookmarkStart w:id="5669" w:name="_Toc6228"/>
      <w:r>
        <w:rPr>
          <w:rFonts w:hint="default"/>
          <w:color w:val="auto"/>
          <w:highlight w:val="none"/>
          <w:lang w:val="en-US" w:eastAsia="zh-CN"/>
        </w:rPr>
        <w:t>6.3声环境影响评价</w:t>
      </w:r>
      <w:bookmarkEnd w:id="5543"/>
      <w:bookmarkEnd w:id="5544"/>
      <w:bookmarkEnd w:id="5668"/>
      <w:bookmarkEnd w:id="5669"/>
    </w:p>
    <w:p w14:paraId="7F4730D1">
      <w:pPr>
        <w:pStyle w:val="6"/>
        <w:bidi w:val="0"/>
        <w:rPr>
          <w:rFonts w:hint="default" w:ascii="Times New Roman" w:hAnsi="Times New Roman" w:cs="Times New Roman"/>
          <w:color w:val="auto"/>
          <w:sz w:val="28"/>
          <w:szCs w:val="28"/>
          <w:highlight w:val="none"/>
          <w:lang w:eastAsia="zh-CN"/>
        </w:rPr>
      </w:pPr>
      <w:bookmarkStart w:id="5670" w:name="_Toc20452"/>
      <w:bookmarkStart w:id="5671" w:name="_Toc22526"/>
      <w:bookmarkStart w:id="5672" w:name="_Toc28035"/>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eastAsia="zh-CN"/>
        </w:rPr>
        <w:t>1施工期声环境影响分析</w:t>
      </w:r>
      <w:bookmarkEnd w:id="5670"/>
      <w:bookmarkEnd w:id="5671"/>
      <w:bookmarkEnd w:id="5672"/>
    </w:p>
    <w:p w14:paraId="4F9E7D2C">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工程施工期噪声源主要来自施工机械设备运行产生的噪声和机动车辆行驶产生的噪声。</w:t>
      </w:r>
    </w:p>
    <w:p w14:paraId="0985A097">
      <w:pPr>
        <w:pStyle w:val="7"/>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3.1.1</w:t>
      </w:r>
      <w:r>
        <w:rPr>
          <w:rFonts w:hint="default" w:ascii="Times New Roman" w:hAnsi="Times New Roman" w:cs="Times New Roman"/>
          <w:color w:val="auto"/>
          <w:sz w:val="28"/>
          <w:szCs w:val="28"/>
          <w:highlight w:val="none"/>
          <w:lang w:eastAsia="zh-CN"/>
        </w:rPr>
        <w:t>施工机械噪声</w:t>
      </w:r>
    </w:p>
    <w:p w14:paraId="173A98E9">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工程涉及的施工机械种类和数目较多，噪声源复杂且声级各异，所涉及的机械设备主要有挖掘机、推土机、运输车辆等，固定噪声源主要来自施工区的土方开挖、土方回填、混凝土浇筑等施工活动，因施工机械噪声是间断声源，且施工时间短，因此评价仅对噪声源在不同距离处的噪声贡献值进行预测。</w:t>
      </w:r>
    </w:p>
    <w:p w14:paraId="415164AF">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设备声源特征及周围声环境特点，各设备声源可视为连续、稳态、点声源，声场为半自由声场，预测模式选择《环境影响评价技术导则声环境》（HJ2.4-2021）中点声源几何发散衰减模式进行噪声预测，预测公式如下：</w:t>
      </w:r>
    </w:p>
    <w:p w14:paraId="0BBB5046">
      <w:pPr>
        <w:pStyle w:val="13"/>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LA（r）=LAw-20lg（r）-8</w:t>
      </w:r>
    </w:p>
    <w:p w14:paraId="4F7CB116">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式中：</w:t>
      </w:r>
    </w:p>
    <w:p w14:paraId="4079647E">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LA（r）——距声源r（m）处A声级，dB(A</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p>
    <w:p w14:paraId="436A6397">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LAw——点声源A计权声功率计，dB；</w:t>
      </w:r>
    </w:p>
    <w:p w14:paraId="25BFA1E8">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r——预测点距声源的距离，m。</w:t>
      </w:r>
    </w:p>
    <w:p w14:paraId="51D6FE97">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根据工程施工特点，主要典型施工设备源强及衰减预测见表6.3-1</w:t>
      </w:r>
    </w:p>
    <w:p w14:paraId="1592C13A">
      <w:pPr>
        <w:widowControl/>
        <w:jc w:val="center"/>
        <w:rPr>
          <w:rFonts w:hint="default" w:ascii="Times New Roman" w:hAnsi="Times New Roman" w:cs="Times New Roman"/>
          <w:b/>
          <w:bCs/>
          <w:color w:val="auto"/>
          <w:kern w:val="0"/>
          <w:sz w:val="24"/>
          <w:szCs w:val="24"/>
          <w:highlight w:val="none"/>
          <w:lang w:eastAsia="zh-CN" w:bidi="ar"/>
        </w:rPr>
      </w:pPr>
      <w:r>
        <w:rPr>
          <w:rFonts w:hint="default" w:ascii="Times New Roman" w:hAnsi="Times New Roman" w:cs="Times New Roman"/>
          <w:b/>
          <w:bCs/>
          <w:color w:val="auto"/>
          <w:kern w:val="0"/>
          <w:sz w:val="24"/>
          <w:szCs w:val="24"/>
          <w:highlight w:val="none"/>
          <w:lang w:eastAsia="zh-CN" w:bidi="ar"/>
        </w:rPr>
        <w:t>表6.3-1主要施工机械噪声源强表</w:t>
      </w:r>
    </w:p>
    <w:tbl>
      <w:tblPr>
        <w:tblStyle w:val="3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546"/>
        <w:gridCol w:w="958"/>
        <w:gridCol w:w="784"/>
        <w:gridCol w:w="750"/>
        <w:gridCol w:w="716"/>
        <w:gridCol w:w="784"/>
        <w:gridCol w:w="739"/>
        <w:gridCol w:w="721"/>
      </w:tblGrid>
      <w:tr w14:paraId="49D59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070" w:type="dxa"/>
            <w:gridSpan w:val="2"/>
            <w:tcBorders>
              <w:tl2br w:val="nil"/>
              <w:tr2bl w:val="nil"/>
            </w:tcBorders>
            <w:vAlign w:val="center"/>
          </w:tcPr>
          <w:p w14:paraId="42981C70">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噪声源</w:t>
            </w:r>
          </w:p>
        </w:tc>
        <w:tc>
          <w:tcPr>
            <w:tcW w:w="5452" w:type="dxa"/>
            <w:gridSpan w:val="7"/>
            <w:tcBorders>
              <w:tl2br w:val="nil"/>
              <w:tr2bl w:val="nil"/>
            </w:tcBorders>
            <w:vAlign w:val="center"/>
          </w:tcPr>
          <w:p w14:paraId="4495A56B">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距噪声源不同距离噪声级dB(A)</w:t>
            </w:r>
          </w:p>
        </w:tc>
      </w:tr>
      <w:tr w14:paraId="65BCD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0A197DA1">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噪声设备</w:t>
            </w:r>
          </w:p>
        </w:tc>
        <w:tc>
          <w:tcPr>
            <w:tcW w:w="1546" w:type="dxa"/>
            <w:tcBorders>
              <w:tl2br w:val="nil"/>
              <w:tr2bl w:val="nil"/>
            </w:tcBorders>
            <w:vAlign w:val="center"/>
          </w:tcPr>
          <w:p w14:paraId="520BEA95">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噪声级dB(A)</w:t>
            </w:r>
          </w:p>
        </w:tc>
        <w:tc>
          <w:tcPr>
            <w:tcW w:w="958" w:type="dxa"/>
            <w:tcBorders>
              <w:tl2br w:val="nil"/>
              <w:tr2bl w:val="nil"/>
            </w:tcBorders>
            <w:vAlign w:val="center"/>
          </w:tcPr>
          <w:p w14:paraId="4B054A42">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20m</w:t>
            </w:r>
          </w:p>
        </w:tc>
        <w:tc>
          <w:tcPr>
            <w:tcW w:w="784" w:type="dxa"/>
            <w:tcBorders>
              <w:tl2br w:val="nil"/>
              <w:tr2bl w:val="nil"/>
            </w:tcBorders>
            <w:vAlign w:val="center"/>
          </w:tcPr>
          <w:p w14:paraId="71B9C172">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40m</w:t>
            </w:r>
          </w:p>
        </w:tc>
        <w:tc>
          <w:tcPr>
            <w:tcW w:w="750" w:type="dxa"/>
            <w:tcBorders>
              <w:tl2br w:val="nil"/>
              <w:tr2bl w:val="nil"/>
            </w:tcBorders>
            <w:vAlign w:val="center"/>
          </w:tcPr>
          <w:p w14:paraId="5F0157C9">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60m</w:t>
            </w:r>
          </w:p>
        </w:tc>
        <w:tc>
          <w:tcPr>
            <w:tcW w:w="716" w:type="dxa"/>
            <w:tcBorders>
              <w:tl2br w:val="nil"/>
              <w:tr2bl w:val="nil"/>
            </w:tcBorders>
            <w:vAlign w:val="center"/>
          </w:tcPr>
          <w:p w14:paraId="5FE65AC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80m</w:t>
            </w:r>
          </w:p>
        </w:tc>
        <w:tc>
          <w:tcPr>
            <w:tcW w:w="784" w:type="dxa"/>
            <w:tcBorders>
              <w:tl2br w:val="nil"/>
              <w:tr2bl w:val="nil"/>
            </w:tcBorders>
            <w:vAlign w:val="center"/>
          </w:tcPr>
          <w:p w14:paraId="6071A4DC">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100m</w:t>
            </w:r>
          </w:p>
        </w:tc>
        <w:tc>
          <w:tcPr>
            <w:tcW w:w="739" w:type="dxa"/>
            <w:tcBorders>
              <w:tl2br w:val="nil"/>
              <w:tr2bl w:val="nil"/>
            </w:tcBorders>
            <w:vAlign w:val="center"/>
          </w:tcPr>
          <w:p w14:paraId="126F7691">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150m</w:t>
            </w:r>
          </w:p>
        </w:tc>
        <w:tc>
          <w:tcPr>
            <w:tcW w:w="721" w:type="dxa"/>
            <w:tcBorders>
              <w:tl2br w:val="nil"/>
              <w:tr2bl w:val="nil"/>
            </w:tcBorders>
            <w:vAlign w:val="center"/>
          </w:tcPr>
          <w:p w14:paraId="2CCD9ADC">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200m</w:t>
            </w:r>
          </w:p>
        </w:tc>
      </w:tr>
      <w:tr w14:paraId="0912F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49058011">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推土机</w:t>
            </w:r>
          </w:p>
        </w:tc>
        <w:tc>
          <w:tcPr>
            <w:tcW w:w="1546" w:type="dxa"/>
            <w:tcBorders>
              <w:tl2br w:val="nil"/>
              <w:tr2bl w:val="nil"/>
            </w:tcBorders>
            <w:vAlign w:val="center"/>
          </w:tcPr>
          <w:p w14:paraId="7EF9359A">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96</w:t>
            </w:r>
          </w:p>
        </w:tc>
        <w:tc>
          <w:tcPr>
            <w:tcW w:w="958" w:type="dxa"/>
            <w:tcBorders>
              <w:tl2br w:val="nil"/>
              <w:tr2bl w:val="nil"/>
            </w:tcBorders>
            <w:vAlign w:val="center"/>
          </w:tcPr>
          <w:p w14:paraId="66EA6ED6">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62.9</w:t>
            </w:r>
          </w:p>
        </w:tc>
        <w:tc>
          <w:tcPr>
            <w:tcW w:w="784" w:type="dxa"/>
            <w:tcBorders>
              <w:tl2br w:val="nil"/>
              <w:tr2bl w:val="nil"/>
            </w:tcBorders>
            <w:vAlign w:val="center"/>
          </w:tcPr>
          <w:p w14:paraId="0512C98F">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56.9</w:t>
            </w:r>
          </w:p>
        </w:tc>
        <w:tc>
          <w:tcPr>
            <w:tcW w:w="750" w:type="dxa"/>
            <w:tcBorders>
              <w:tl2br w:val="nil"/>
              <w:tr2bl w:val="nil"/>
            </w:tcBorders>
            <w:vAlign w:val="center"/>
          </w:tcPr>
          <w:p w14:paraId="2B25BB6B">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53.3</w:t>
            </w:r>
          </w:p>
        </w:tc>
        <w:tc>
          <w:tcPr>
            <w:tcW w:w="716" w:type="dxa"/>
            <w:tcBorders>
              <w:tl2br w:val="nil"/>
              <w:tr2bl w:val="nil"/>
            </w:tcBorders>
            <w:vAlign w:val="center"/>
          </w:tcPr>
          <w:p w14:paraId="222253D0">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50.8</w:t>
            </w:r>
          </w:p>
        </w:tc>
        <w:tc>
          <w:tcPr>
            <w:tcW w:w="784" w:type="dxa"/>
            <w:tcBorders>
              <w:tl2br w:val="nil"/>
              <w:tr2bl w:val="nil"/>
            </w:tcBorders>
            <w:vAlign w:val="center"/>
          </w:tcPr>
          <w:p w14:paraId="030CC25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48.8</w:t>
            </w:r>
          </w:p>
        </w:tc>
        <w:tc>
          <w:tcPr>
            <w:tcW w:w="739" w:type="dxa"/>
            <w:tcBorders>
              <w:tl2br w:val="nil"/>
              <w:tr2bl w:val="nil"/>
            </w:tcBorders>
            <w:vAlign w:val="center"/>
          </w:tcPr>
          <w:p w14:paraId="6CF71E83">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45.3</w:t>
            </w:r>
          </w:p>
        </w:tc>
        <w:tc>
          <w:tcPr>
            <w:tcW w:w="721" w:type="dxa"/>
            <w:tcBorders>
              <w:tl2br w:val="nil"/>
              <w:tr2bl w:val="nil"/>
            </w:tcBorders>
            <w:vAlign w:val="center"/>
          </w:tcPr>
          <w:p w14:paraId="3AA6798D">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42.7</w:t>
            </w:r>
          </w:p>
        </w:tc>
      </w:tr>
      <w:tr w14:paraId="365D6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10C5E108">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挖掘机</w:t>
            </w:r>
          </w:p>
        </w:tc>
        <w:tc>
          <w:tcPr>
            <w:tcW w:w="1546" w:type="dxa"/>
            <w:tcBorders>
              <w:tl2br w:val="nil"/>
              <w:tr2bl w:val="nil"/>
            </w:tcBorders>
            <w:vAlign w:val="center"/>
          </w:tcPr>
          <w:p w14:paraId="30ACE169">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96</w:t>
            </w:r>
          </w:p>
        </w:tc>
        <w:tc>
          <w:tcPr>
            <w:tcW w:w="958" w:type="dxa"/>
            <w:tcBorders>
              <w:tl2br w:val="nil"/>
              <w:tr2bl w:val="nil"/>
            </w:tcBorders>
            <w:vAlign w:val="center"/>
          </w:tcPr>
          <w:p w14:paraId="72ED1EF6">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62.9</w:t>
            </w:r>
          </w:p>
        </w:tc>
        <w:tc>
          <w:tcPr>
            <w:tcW w:w="784" w:type="dxa"/>
            <w:tcBorders>
              <w:tl2br w:val="nil"/>
              <w:tr2bl w:val="nil"/>
            </w:tcBorders>
            <w:vAlign w:val="center"/>
          </w:tcPr>
          <w:p w14:paraId="05950F7E">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56.9</w:t>
            </w:r>
          </w:p>
        </w:tc>
        <w:tc>
          <w:tcPr>
            <w:tcW w:w="750" w:type="dxa"/>
            <w:tcBorders>
              <w:tl2br w:val="nil"/>
              <w:tr2bl w:val="nil"/>
            </w:tcBorders>
            <w:vAlign w:val="center"/>
          </w:tcPr>
          <w:p w14:paraId="578CF118">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53.3</w:t>
            </w:r>
          </w:p>
        </w:tc>
        <w:tc>
          <w:tcPr>
            <w:tcW w:w="716" w:type="dxa"/>
            <w:tcBorders>
              <w:tl2br w:val="nil"/>
              <w:tr2bl w:val="nil"/>
            </w:tcBorders>
            <w:vAlign w:val="center"/>
          </w:tcPr>
          <w:p w14:paraId="5C27AF3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50.8</w:t>
            </w:r>
          </w:p>
        </w:tc>
        <w:tc>
          <w:tcPr>
            <w:tcW w:w="784" w:type="dxa"/>
            <w:tcBorders>
              <w:tl2br w:val="nil"/>
              <w:tr2bl w:val="nil"/>
            </w:tcBorders>
            <w:vAlign w:val="center"/>
          </w:tcPr>
          <w:p w14:paraId="28FEA051">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48.8</w:t>
            </w:r>
          </w:p>
        </w:tc>
        <w:tc>
          <w:tcPr>
            <w:tcW w:w="739" w:type="dxa"/>
            <w:tcBorders>
              <w:tl2br w:val="nil"/>
              <w:tr2bl w:val="nil"/>
            </w:tcBorders>
            <w:vAlign w:val="center"/>
          </w:tcPr>
          <w:p w14:paraId="69320E33">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53.3</w:t>
            </w:r>
          </w:p>
        </w:tc>
        <w:tc>
          <w:tcPr>
            <w:tcW w:w="721" w:type="dxa"/>
            <w:tcBorders>
              <w:tl2br w:val="nil"/>
              <w:tr2bl w:val="nil"/>
            </w:tcBorders>
            <w:vAlign w:val="center"/>
          </w:tcPr>
          <w:p w14:paraId="241F2AE1">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42.7</w:t>
            </w:r>
          </w:p>
        </w:tc>
      </w:tr>
      <w:tr w14:paraId="7C72A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631F2059">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装载机</w:t>
            </w:r>
          </w:p>
        </w:tc>
        <w:tc>
          <w:tcPr>
            <w:tcW w:w="1546" w:type="dxa"/>
            <w:tcBorders>
              <w:tl2br w:val="nil"/>
              <w:tr2bl w:val="nil"/>
            </w:tcBorders>
            <w:vAlign w:val="center"/>
          </w:tcPr>
          <w:p w14:paraId="03B54A5C">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98</w:t>
            </w:r>
          </w:p>
        </w:tc>
        <w:tc>
          <w:tcPr>
            <w:tcW w:w="958" w:type="dxa"/>
            <w:tcBorders>
              <w:tl2br w:val="nil"/>
              <w:tr2bl w:val="nil"/>
            </w:tcBorders>
            <w:vAlign w:val="center"/>
          </w:tcPr>
          <w:p w14:paraId="06E0FCFC">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64.9</w:t>
            </w:r>
          </w:p>
        </w:tc>
        <w:tc>
          <w:tcPr>
            <w:tcW w:w="784" w:type="dxa"/>
            <w:tcBorders>
              <w:tl2br w:val="nil"/>
              <w:tr2bl w:val="nil"/>
            </w:tcBorders>
            <w:vAlign w:val="center"/>
          </w:tcPr>
          <w:p w14:paraId="20F7473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58.9</w:t>
            </w:r>
          </w:p>
        </w:tc>
        <w:tc>
          <w:tcPr>
            <w:tcW w:w="750" w:type="dxa"/>
            <w:tcBorders>
              <w:tl2br w:val="nil"/>
              <w:tr2bl w:val="nil"/>
            </w:tcBorders>
            <w:vAlign w:val="center"/>
          </w:tcPr>
          <w:p w14:paraId="0229C69D">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55.3</w:t>
            </w:r>
          </w:p>
        </w:tc>
        <w:tc>
          <w:tcPr>
            <w:tcW w:w="716" w:type="dxa"/>
            <w:tcBorders>
              <w:tl2br w:val="nil"/>
              <w:tr2bl w:val="nil"/>
            </w:tcBorders>
            <w:vAlign w:val="center"/>
          </w:tcPr>
          <w:p w14:paraId="5866902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52.8</w:t>
            </w:r>
          </w:p>
        </w:tc>
        <w:tc>
          <w:tcPr>
            <w:tcW w:w="784" w:type="dxa"/>
            <w:tcBorders>
              <w:tl2br w:val="nil"/>
              <w:tr2bl w:val="nil"/>
            </w:tcBorders>
            <w:vAlign w:val="center"/>
          </w:tcPr>
          <w:p w14:paraId="074DC1A8">
            <w:pPr>
              <w:pStyle w:val="64"/>
              <w:keepNext w:val="0"/>
              <w:keepLines w:val="0"/>
              <w:suppressLineNumbers w:val="0"/>
              <w:overflowPunct w:val="0"/>
              <w:spacing w:before="0" w:beforeAutospacing="0" w:after="0" w:afterAutospacing="0"/>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50.8</w:t>
            </w:r>
          </w:p>
        </w:tc>
        <w:tc>
          <w:tcPr>
            <w:tcW w:w="739" w:type="dxa"/>
            <w:tcBorders>
              <w:tl2br w:val="nil"/>
              <w:tr2bl w:val="nil"/>
            </w:tcBorders>
            <w:vAlign w:val="center"/>
          </w:tcPr>
          <w:p w14:paraId="6E27E691">
            <w:pPr>
              <w:pStyle w:val="64"/>
              <w:keepNext w:val="0"/>
              <w:keepLines w:val="0"/>
              <w:suppressLineNumbers w:val="0"/>
              <w:overflowPunct w:val="0"/>
              <w:spacing w:before="0" w:beforeAutospacing="0" w:after="0" w:afterAutospacing="0"/>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47.2</w:t>
            </w:r>
          </w:p>
        </w:tc>
        <w:tc>
          <w:tcPr>
            <w:tcW w:w="721" w:type="dxa"/>
            <w:tcBorders>
              <w:tl2br w:val="nil"/>
              <w:tr2bl w:val="nil"/>
            </w:tcBorders>
            <w:vAlign w:val="center"/>
          </w:tcPr>
          <w:p w14:paraId="33F4FBEB">
            <w:pPr>
              <w:pStyle w:val="64"/>
              <w:keepNext w:val="0"/>
              <w:keepLines w:val="0"/>
              <w:suppressLineNumbers w:val="0"/>
              <w:overflowPunct w:val="0"/>
              <w:spacing w:before="0" w:beforeAutospacing="0" w:after="0" w:afterAutospacing="0"/>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44.7</w:t>
            </w:r>
          </w:p>
        </w:tc>
      </w:tr>
      <w:tr w14:paraId="3169C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3A6F9256">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汽车起重机</w:t>
            </w:r>
          </w:p>
        </w:tc>
        <w:tc>
          <w:tcPr>
            <w:tcW w:w="1546" w:type="dxa"/>
            <w:tcBorders>
              <w:tl2br w:val="nil"/>
              <w:tr2bl w:val="nil"/>
            </w:tcBorders>
            <w:vAlign w:val="center"/>
          </w:tcPr>
          <w:p w14:paraId="6E8177ED">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91</w:t>
            </w:r>
          </w:p>
        </w:tc>
        <w:tc>
          <w:tcPr>
            <w:tcW w:w="958" w:type="dxa"/>
            <w:tcBorders>
              <w:tl2br w:val="nil"/>
              <w:tr2bl w:val="nil"/>
            </w:tcBorders>
            <w:vAlign w:val="center"/>
          </w:tcPr>
          <w:p w14:paraId="0714756F">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57.9</w:t>
            </w:r>
          </w:p>
        </w:tc>
        <w:tc>
          <w:tcPr>
            <w:tcW w:w="784" w:type="dxa"/>
            <w:tcBorders>
              <w:tl2br w:val="nil"/>
              <w:tr2bl w:val="nil"/>
            </w:tcBorders>
            <w:vAlign w:val="center"/>
          </w:tcPr>
          <w:p w14:paraId="0C83637D">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51.9</w:t>
            </w:r>
          </w:p>
        </w:tc>
        <w:tc>
          <w:tcPr>
            <w:tcW w:w="750" w:type="dxa"/>
            <w:tcBorders>
              <w:tl2br w:val="nil"/>
              <w:tr2bl w:val="nil"/>
            </w:tcBorders>
            <w:vAlign w:val="center"/>
          </w:tcPr>
          <w:p w14:paraId="1F8EF77B">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48.3</w:t>
            </w:r>
          </w:p>
        </w:tc>
        <w:tc>
          <w:tcPr>
            <w:tcW w:w="716" w:type="dxa"/>
            <w:tcBorders>
              <w:tl2br w:val="nil"/>
              <w:tr2bl w:val="nil"/>
            </w:tcBorders>
            <w:vAlign w:val="center"/>
          </w:tcPr>
          <w:p w14:paraId="4E11D8DF">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45.8</w:t>
            </w:r>
          </w:p>
        </w:tc>
        <w:tc>
          <w:tcPr>
            <w:tcW w:w="784" w:type="dxa"/>
            <w:tcBorders>
              <w:tl2br w:val="nil"/>
              <w:tr2bl w:val="nil"/>
            </w:tcBorders>
            <w:vAlign w:val="center"/>
          </w:tcPr>
          <w:p w14:paraId="5791F14B">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43.8</w:t>
            </w:r>
          </w:p>
        </w:tc>
        <w:tc>
          <w:tcPr>
            <w:tcW w:w="739" w:type="dxa"/>
            <w:tcBorders>
              <w:tl2br w:val="nil"/>
              <w:tr2bl w:val="nil"/>
            </w:tcBorders>
            <w:vAlign w:val="center"/>
          </w:tcPr>
          <w:p w14:paraId="3D0437B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40.3</w:t>
            </w:r>
          </w:p>
        </w:tc>
        <w:tc>
          <w:tcPr>
            <w:tcW w:w="721" w:type="dxa"/>
            <w:tcBorders>
              <w:tl2br w:val="nil"/>
              <w:tr2bl w:val="nil"/>
            </w:tcBorders>
            <w:vAlign w:val="center"/>
          </w:tcPr>
          <w:p w14:paraId="5CC270C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37.7</w:t>
            </w:r>
          </w:p>
        </w:tc>
      </w:tr>
      <w:tr w14:paraId="75BF3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6D99F49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振捣器</w:t>
            </w:r>
          </w:p>
        </w:tc>
        <w:tc>
          <w:tcPr>
            <w:tcW w:w="1546" w:type="dxa"/>
            <w:tcBorders>
              <w:tl2br w:val="nil"/>
              <w:tr2bl w:val="nil"/>
            </w:tcBorders>
            <w:vAlign w:val="center"/>
          </w:tcPr>
          <w:p w14:paraId="23667E7A">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100</w:t>
            </w:r>
          </w:p>
        </w:tc>
        <w:tc>
          <w:tcPr>
            <w:tcW w:w="958" w:type="dxa"/>
            <w:tcBorders>
              <w:tl2br w:val="nil"/>
              <w:tr2bl w:val="nil"/>
            </w:tcBorders>
            <w:vAlign w:val="center"/>
          </w:tcPr>
          <w:p w14:paraId="26EA54AA">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56.9</w:t>
            </w:r>
          </w:p>
        </w:tc>
        <w:tc>
          <w:tcPr>
            <w:tcW w:w="784" w:type="dxa"/>
            <w:tcBorders>
              <w:tl2br w:val="nil"/>
              <w:tr2bl w:val="nil"/>
            </w:tcBorders>
            <w:vAlign w:val="center"/>
          </w:tcPr>
          <w:p w14:paraId="7A08CD38">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60.9</w:t>
            </w:r>
          </w:p>
        </w:tc>
        <w:tc>
          <w:tcPr>
            <w:tcW w:w="750" w:type="dxa"/>
            <w:tcBorders>
              <w:tl2br w:val="nil"/>
              <w:tr2bl w:val="nil"/>
            </w:tcBorders>
            <w:vAlign w:val="center"/>
          </w:tcPr>
          <w:p w14:paraId="08410383">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57.3</w:t>
            </w:r>
          </w:p>
        </w:tc>
        <w:tc>
          <w:tcPr>
            <w:tcW w:w="716" w:type="dxa"/>
            <w:tcBorders>
              <w:tl2br w:val="nil"/>
              <w:tr2bl w:val="nil"/>
            </w:tcBorders>
            <w:vAlign w:val="center"/>
          </w:tcPr>
          <w:p w14:paraId="18FFB35F">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54.8</w:t>
            </w:r>
          </w:p>
        </w:tc>
        <w:tc>
          <w:tcPr>
            <w:tcW w:w="784" w:type="dxa"/>
            <w:tcBorders>
              <w:tl2br w:val="nil"/>
              <w:tr2bl w:val="nil"/>
            </w:tcBorders>
            <w:vAlign w:val="center"/>
          </w:tcPr>
          <w:p w14:paraId="3BAA93F4">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52.8</w:t>
            </w:r>
          </w:p>
        </w:tc>
        <w:tc>
          <w:tcPr>
            <w:tcW w:w="739" w:type="dxa"/>
            <w:tcBorders>
              <w:tl2br w:val="nil"/>
              <w:tr2bl w:val="nil"/>
            </w:tcBorders>
            <w:vAlign w:val="center"/>
          </w:tcPr>
          <w:p w14:paraId="203A2207">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49.3</w:t>
            </w:r>
          </w:p>
        </w:tc>
        <w:tc>
          <w:tcPr>
            <w:tcW w:w="721" w:type="dxa"/>
            <w:tcBorders>
              <w:tl2br w:val="nil"/>
              <w:tr2bl w:val="nil"/>
            </w:tcBorders>
            <w:vAlign w:val="center"/>
          </w:tcPr>
          <w:p w14:paraId="5F31BE5C">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46.7</w:t>
            </w:r>
          </w:p>
        </w:tc>
      </w:tr>
      <w:tr w14:paraId="521D5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4" w:type="dxa"/>
            <w:tcBorders>
              <w:tl2br w:val="nil"/>
              <w:tr2bl w:val="nil"/>
            </w:tcBorders>
            <w:vAlign w:val="center"/>
          </w:tcPr>
          <w:p w14:paraId="53F9A792">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运输卡车</w:t>
            </w:r>
          </w:p>
        </w:tc>
        <w:tc>
          <w:tcPr>
            <w:tcW w:w="1546" w:type="dxa"/>
            <w:tcBorders>
              <w:tl2br w:val="nil"/>
              <w:tr2bl w:val="nil"/>
            </w:tcBorders>
            <w:vAlign w:val="center"/>
          </w:tcPr>
          <w:p w14:paraId="5857786D">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94</w:t>
            </w:r>
          </w:p>
        </w:tc>
        <w:tc>
          <w:tcPr>
            <w:tcW w:w="958" w:type="dxa"/>
            <w:tcBorders>
              <w:tl2br w:val="nil"/>
              <w:tr2bl w:val="nil"/>
            </w:tcBorders>
            <w:vAlign w:val="center"/>
          </w:tcPr>
          <w:p w14:paraId="0AAA0D17">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66.9</w:t>
            </w:r>
          </w:p>
        </w:tc>
        <w:tc>
          <w:tcPr>
            <w:tcW w:w="784" w:type="dxa"/>
            <w:tcBorders>
              <w:tl2br w:val="nil"/>
              <w:tr2bl w:val="nil"/>
            </w:tcBorders>
            <w:vAlign w:val="center"/>
          </w:tcPr>
          <w:p w14:paraId="721C8FD3">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54.9</w:t>
            </w:r>
          </w:p>
        </w:tc>
        <w:tc>
          <w:tcPr>
            <w:tcW w:w="750" w:type="dxa"/>
            <w:tcBorders>
              <w:tl2br w:val="nil"/>
              <w:tr2bl w:val="nil"/>
            </w:tcBorders>
            <w:vAlign w:val="center"/>
          </w:tcPr>
          <w:p w14:paraId="55924F76">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51.3</w:t>
            </w:r>
          </w:p>
        </w:tc>
        <w:tc>
          <w:tcPr>
            <w:tcW w:w="716" w:type="dxa"/>
            <w:tcBorders>
              <w:tl2br w:val="nil"/>
              <w:tr2bl w:val="nil"/>
            </w:tcBorders>
            <w:vAlign w:val="center"/>
          </w:tcPr>
          <w:p w14:paraId="5C2CC51E">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48.8</w:t>
            </w:r>
          </w:p>
        </w:tc>
        <w:tc>
          <w:tcPr>
            <w:tcW w:w="784" w:type="dxa"/>
            <w:tcBorders>
              <w:tl2br w:val="nil"/>
              <w:tr2bl w:val="nil"/>
            </w:tcBorders>
            <w:vAlign w:val="center"/>
          </w:tcPr>
          <w:p w14:paraId="12F968D8">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46.8</w:t>
            </w:r>
          </w:p>
        </w:tc>
        <w:tc>
          <w:tcPr>
            <w:tcW w:w="739" w:type="dxa"/>
            <w:tcBorders>
              <w:tl2br w:val="nil"/>
              <w:tr2bl w:val="nil"/>
            </w:tcBorders>
            <w:vAlign w:val="center"/>
          </w:tcPr>
          <w:p w14:paraId="1DF2B535">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43.2</w:t>
            </w:r>
          </w:p>
        </w:tc>
        <w:tc>
          <w:tcPr>
            <w:tcW w:w="721" w:type="dxa"/>
            <w:tcBorders>
              <w:tl2br w:val="nil"/>
              <w:tr2bl w:val="nil"/>
            </w:tcBorders>
            <w:vAlign w:val="center"/>
          </w:tcPr>
          <w:p w14:paraId="3D212912">
            <w:pPr>
              <w:pStyle w:val="64"/>
              <w:keepNext w:val="0"/>
              <w:keepLines w:val="0"/>
              <w:suppressLineNumbers w:val="0"/>
              <w:overflowPunct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40.7</w:t>
            </w:r>
          </w:p>
        </w:tc>
      </w:tr>
    </w:tbl>
    <w:p w14:paraId="5A186D29">
      <w:pPr>
        <w:pStyle w:val="3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由上表可知，各施工活动中，噪声最大的是装载机、振捣器。按照《建筑施工场界环境噪声排放标准》（</w:t>
      </w:r>
      <w:r>
        <w:rPr>
          <w:rFonts w:hint="eastAsia" w:cs="Times New Roman"/>
          <w:color w:val="auto"/>
          <w:sz w:val="24"/>
          <w:szCs w:val="24"/>
          <w:highlight w:val="none"/>
          <w:lang w:eastAsia="zh-CN"/>
        </w:rPr>
        <w:t>GB12523-2025</w:t>
      </w:r>
      <w:r>
        <w:rPr>
          <w:rFonts w:hint="default" w:ascii="Times New Roman" w:hAnsi="Times New Roman" w:cs="Times New Roman"/>
          <w:color w:val="auto"/>
          <w:sz w:val="24"/>
          <w:szCs w:val="24"/>
          <w:highlight w:val="none"/>
          <w:lang w:eastAsia="zh-CN"/>
        </w:rPr>
        <w:t>）要求，从预测结果看，昼间在距施工场地20m以外、夜间在80m以外基本达到标准限值（昼间70dB(A</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、夜间55dB(A</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在实际施工过程，同一场地中会出现多台机械同时作业，施工噪声影响的范围比预测值还要大，鉴于实际情况较为复杂，很难一一用声级叠加公式进行计算，因此，本次评价声环境敏感点施工影响估算仅主要考虑噪声最大的机械。</w:t>
      </w:r>
    </w:p>
    <w:p w14:paraId="5EF50AFF">
      <w:pPr>
        <w:widowControl/>
        <w:jc w:val="center"/>
        <w:rPr>
          <w:rFonts w:hint="default" w:ascii="Times New Roman" w:hAnsi="Times New Roman" w:cs="Times New Roman"/>
          <w:b/>
          <w:bCs/>
          <w:color w:val="auto"/>
          <w:kern w:val="0"/>
          <w:sz w:val="24"/>
          <w:szCs w:val="24"/>
          <w:highlight w:val="none"/>
          <w:lang w:val="en-US" w:eastAsia="zh-CN" w:bidi="ar"/>
        </w:rPr>
      </w:pPr>
      <w:r>
        <w:rPr>
          <w:rFonts w:hint="default" w:ascii="Times New Roman" w:hAnsi="Times New Roman" w:cs="Times New Roman"/>
          <w:b/>
          <w:bCs/>
          <w:color w:val="auto"/>
          <w:kern w:val="0"/>
          <w:sz w:val="24"/>
          <w:szCs w:val="24"/>
          <w:highlight w:val="none"/>
          <w:lang w:val="en-US" w:eastAsia="zh-CN" w:bidi="ar"/>
        </w:rPr>
        <w:t>表6.3-2施工期噪声环境敏感点及其影响</w:t>
      </w:r>
    </w:p>
    <w:tbl>
      <w:tblPr>
        <w:tblStyle w:val="3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2007"/>
        <w:gridCol w:w="2112"/>
        <w:gridCol w:w="1615"/>
        <w:gridCol w:w="1499"/>
      </w:tblGrid>
      <w:tr w14:paraId="53B5D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vMerge w:val="restart"/>
            <w:tcBorders>
              <w:tl2br w:val="nil"/>
              <w:tr2bl w:val="nil"/>
            </w:tcBorders>
            <w:vAlign w:val="center"/>
          </w:tcPr>
          <w:p w14:paraId="4068793B">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sz w:val="21"/>
                <w:szCs w:val="21"/>
                <w:highlight w:val="none"/>
                <w:lang w:eastAsia="zh-CN"/>
              </w:rPr>
              <w:t xml:space="preserve">序号 </w:t>
            </w:r>
          </w:p>
        </w:tc>
        <w:tc>
          <w:tcPr>
            <w:tcW w:w="2007" w:type="dxa"/>
            <w:vMerge w:val="restart"/>
            <w:tcBorders>
              <w:tl2br w:val="nil"/>
              <w:tr2bl w:val="nil"/>
            </w:tcBorders>
            <w:vAlign w:val="center"/>
          </w:tcPr>
          <w:p w14:paraId="7CAE0A57">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敏感点</w:t>
            </w:r>
          </w:p>
        </w:tc>
        <w:tc>
          <w:tcPr>
            <w:tcW w:w="2112" w:type="dxa"/>
            <w:vMerge w:val="restart"/>
            <w:tcBorders>
              <w:tl2br w:val="nil"/>
              <w:tr2bl w:val="nil"/>
            </w:tcBorders>
            <w:vAlign w:val="center"/>
          </w:tcPr>
          <w:p w14:paraId="0E6F68F5">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与施工点最近距离</w:t>
            </w:r>
          </w:p>
        </w:tc>
        <w:tc>
          <w:tcPr>
            <w:tcW w:w="3114" w:type="dxa"/>
            <w:gridSpan w:val="2"/>
            <w:tcBorders>
              <w:tl2br w:val="nil"/>
              <w:tr2bl w:val="nil"/>
            </w:tcBorders>
            <w:vAlign w:val="center"/>
          </w:tcPr>
          <w:p w14:paraId="06761CA7">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达标分析</w:t>
            </w:r>
          </w:p>
        </w:tc>
      </w:tr>
      <w:tr w14:paraId="096C9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vMerge w:val="continue"/>
            <w:tcBorders>
              <w:tl2br w:val="nil"/>
              <w:tr2bl w:val="nil"/>
            </w:tcBorders>
            <w:vAlign w:val="center"/>
          </w:tcPr>
          <w:p w14:paraId="3899A9B3">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sz w:val="21"/>
                <w:szCs w:val="21"/>
                <w:highlight w:val="none"/>
              </w:rPr>
            </w:pPr>
          </w:p>
        </w:tc>
        <w:tc>
          <w:tcPr>
            <w:tcW w:w="2007" w:type="dxa"/>
            <w:vMerge w:val="continue"/>
            <w:tcBorders>
              <w:tl2br w:val="nil"/>
              <w:tr2bl w:val="nil"/>
            </w:tcBorders>
            <w:vAlign w:val="center"/>
          </w:tcPr>
          <w:p w14:paraId="5B4B5FF0">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sz w:val="21"/>
                <w:szCs w:val="21"/>
                <w:highlight w:val="none"/>
              </w:rPr>
            </w:pPr>
          </w:p>
        </w:tc>
        <w:tc>
          <w:tcPr>
            <w:tcW w:w="2112" w:type="dxa"/>
            <w:vMerge w:val="continue"/>
            <w:tcBorders>
              <w:tl2br w:val="nil"/>
              <w:tr2bl w:val="nil"/>
            </w:tcBorders>
            <w:vAlign w:val="center"/>
          </w:tcPr>
          <w:p w14:paraId="5717BBA9">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sz w:val="21"/>
                <w:szCs w:val="21"/>
                <w:highlight w:val="none"/>
              </w:rPr>
            </w:pPr>
          </w:p>
        </w:tc>
        <w:tc>
          <w:tcPr>
            <w:tcW w:w="1615" w:type="dxa"/>
            <w:tcBorders>
              <w:tl2br w:val="nil"/>
              <w:tr2bl w:val="nil"/>
            </w:tcBorders>
            <w:vAlign w:val="center"/>
          </w:tcPr>
          <w:p w14:paraId="76DD1ACF">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昼间（55）</w:t>
            </w:r>
          </w:p>
        </w:tc>
        <w:tc>
          <w:tcPr>
            <w:tcW w:w="1499" w:type="dxa"/>
            <w:tcBorders>
              <w:tl2br w:val="nil"/>
              <w:tr2bl w:val="nil"/>
            </w:tcBorders>
            <w:vAlign w:val="center"/>
          </w:tcPr>
          <w:p w14:paraId="417ED5F6">
            <w:pPr>
              <w:pStyle w:val="64"/>
              <w:keepNext w:val="0"/>
              <w:keepLines w:val="0"/>
              <w:pageBreakBefore w:val="0"/>
              <w:suppressLineNumbers w:val="0"/>
              <w:kinsoku/>
              <w:wordWrap/>
              <w:overflowPunct w:val="0"/>
              <w:autoSpaceDE/>
              <w:autoSpaceDN/>
              <w:bidi w:val="0"/>
              <w:spacing w:before="0" w:beforeAutospacing="0" w:after="0" w:afterAutospacing="0"/>
              <w:ind w:left="0" w:right="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夜间（45）</w:t>
            </w:r>
          </w:p>
        </w:tc>
      </w:tr>
      <w:tr w14:paraId="4EB4A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09E47BC0">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673" w:name="_Toc11866"/>
            <w:bookmarkStart w:id="5674" w:name="_Toc10764"/>
            <w:bookmarkStart w:id="5675" w:name="_Toc22048"/>
            <w:bookmarkStart w:id="5676" w:name="_Toc11063"/>
            <w:bookmarkStart w:id="5677" w:name="_Toc16537"/>
            <w:r>
              <w:rPr>
                <w:rFonts w:hint="default" w:ascii="Times New Roman" w:hAnsi="Times New Roman" w:cs="Times New Roman"/>
                <w:color w:val="auto"/>
                <w:sz w:val="21"/>
                <w:szCs w:val="21"/>
                <w:highlight w:val="none"/>
              </w:rPr>
              <w:t>1</w:t>
            </w:r>
            <w:bookmarkEnd w:id="5673"/>
            <w:bookmarkEnd w:id="5674"/>
            <w:bookmarkEnd w:id="5675"/>
            <w:bookmarkEnd w:id="5676"/>
            <w:bookmarkEnd w:id="5677"/>
          </w:p>
        </w:tc>
        <w:tc>
          <w:tcPr>
            <w:tcW w:w="2007" w:type="dxa"/>
            <w:tcBorders>
              <w:tl2br w:val="nil"/>
              <w:tr2bl w:val="nil"/>
            </w:tcBorders>
            <w:vAlign w:val="center"/>
          </w:tcPr>
          <w:p w14:paraId="35066896">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678" w:name="_Toc47"/>
            <w:bookmarkStart w:id="5679" w:name="_Toc4050"/>
            <w:bookmarkStart w:id="5680" w:name="_Toc3456"/>
            <w:r>
              <w:rPr>
                <w:rFonts w:hint="default" w:ascii="Times New Roman" w:hAnsi="Times New Roman" w:eastAsia="宋体" w:cs="Times New Roman"/>
                <w:color w:val="auto"/>
                <w:sz w:val="21"/>
                <w:szCs w:val="21"/>
                <w:highlight w:val="none"/>
                <w:lang w:val="en-US" w:eastAsia="zh-CN"/>
              </w:rPr>
              <w:t>史崾蚬村</w:t>
            </w:r>
            <w:bookmarkEnd w:id="5678"/>
            <w:bookmarkEnd w:id="5679"/>
            <w:bookmarkEnd w:id="5680"/>
          </w:p>
        </w:tc>
        <w:tc>
          <w:tcPr>
            <w:tcW w:w="2112" w:type="dxa"/>
            <w:tcBorders>
              <w:tl2br w:val="nil"/>
              <w:tr2bl w:val="nil"/>
            </w:tcBorders>
            <w:vAlign w:val="center"/>
          </w:tcPr>
          <w:p w14:paraId="14A5C64A">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681" w:name="_Toc20353"/>
            <w:bookmarkStart w:id="5682" w:name="_Toc20420"/>
            <w:bookmarkStart w:id="5683" w:name="_Toc22544"/>
            <w:r>
              <w:rPr>
                <w:rFonts w:hint="eastAsia" w:cs="Times New Roman"/>
                <w:color w:val="auto"/>
                <w:sz w:val="21"/>
                <w:szCs w:val="21"/>
                <w:highlight w:val="none"/>
                <w:lang w:val="en-US" w:eastAsia="zh-CN"/>
              </w:rPr>
              <w:t>N,58</w:t>
            </w:r>
            <w:r>
              <w:rPr>
                <w:rFonts w:hint="default" w:ascii="Times New Roman" w:hAnsi="Times New Roman" w:cs="Times New Roman"/>
                <w:color w:val="auto"/>
                <w:sz w:val="21"/>
                <w:szCs w:val="21"/>
                <w:highlight w:val="none"/>
              </w:rPr>
              <w:t>m</w:t>
            </w:r>
            <w:bookmarkEnd w:id="5681"/>
            <w:bookmarkEnd w:id="5682"/>
            <w:bookmarkEnd w:id="5683"/>
          </w:p>
        </w:tc>
        <w:tc>
          <w:tcPr>
            <w:tcW w:w="1615" w:type="dxa"/>
            <w:tcBorders>
              <w:tl2br w:val="nil"/>
              <w:tr2bl w:val="nil"/>
            </w:tcBorders>
            <w:vAlign w:val="center"/>
          </w:tcPr>
          <w:p w14:paraId="79CD6549">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684" w:name="_Toc19681"/>
            <w:bookmarkStart w:id="5685" w:name="_Toc1530"/>
            <w:bookmarkStart w:id="5686" w:name="_Toc16148"/>
            <w:bookmarkStart w:id="5687" w:name="_Toc31188"/>
            <w:bookmarkStart w:id="5688" w:name="_Toc22026"/>
            <w:r>
              <w:rPr>
                <w:rFonts w:hint="default" w:ascii="Times New Roman" w:hAnsi="Times New Roman" w:cs="Times New Roman"/>
                <w:color w:val="auto"/>
                <w:sz w:val="21"/>
                <w:szCs w:val="21"/>
                <w:highlight w:val="none"/>
                <w:lang w:val="en-US" w:eastAsia="zh-CN"/>
              </w:rPr>
              <w:t>达标</w:t>
            </w:r>
            <w:bookmarkEnd w:id="5684"/>
            <w:bookmarkEnd w:id="5685"/>
            <w:bookmarkEnd w:id="5686"/>
            <w:bookmarkEnd w:id="5687"/>
            <w:bookmarkEnd w:id="5688"/>
          </w:p>
        </w:tc>
        <w:tc>
          <w:tcPr>
            <w:tcW w:w="1499" w:type="dxa"/>
            <w:tcBorders>
              <w:tl2br w:val="nil"/>
              <w:tr2bl w:val="nil"/>
            </w:tcBorders>
            <w:vAlign w:val="center"/>
          </w:tcPr>
          <w:p w14:paraId="55001401">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6DE1F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3953679E">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689" w:name="_Toc14435"/>
            <w:bookmarkStart w:id="5690" w:name="_Toc11737"/>
            <w:bookmarkStart w:id="5691" w:name="_Toc2550"/>
            <w:bookmarkStart w:id="5692" w:name="_Toc18371"/>
            <w:bookmarkStart w:id="5693" w:name="_Toc4248"/>
            <w:r>
              <w:rPr>
                <w:rFonts w:hint="default" w:ascii="Times New Roman" w:hAnsi="Times New Roman" w:cs="Times New Roman"/>
                <w:color w:val="auto"/>
                <w:sz w:val="21"/>
                <w:szCs w:val="21"/>
                <w:highlight w:val="none"/>
              </w:rPr>
              <w:t>2</w:t>
            </w:r>
            <w:bookmarkEnd w:id="5689"/>
            <w:bookmarkEnd w:id="5690"/>
            <w:bookmarkEnd w:id="5691"/>
            <w:bookmarkEnd w:id="5692"/>
            <w:bookmarkEnd w:id="5693"/>
          </w:p>
        </w:tc>
        <w:tc>
          <w:tcPr>
            <w:tcW w:w="2007" w:type="dxa"/>
            <w:tcBorders>
              <w:tl2br w:val="nil"/>
              <w:tr2bl w:val="nil"/>
            </w:tcBorders>
            <w:vAlign w:val="center"/>
          </w:tcPr>
          <w:p w14:paraId="2E9E0F87">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694" w:name="_Toc2992"/>
            <w:bookmarkStart w:id="5695" w:name="_Toc6951"/>
            <w:bookmarkStart w:id="5696" w:name="_Toc29993"/>
            <w:r>
              <w:rPr>
                <w:rFonts w:hint="default" w:ascii="Times New Roman" w:hAnsi="Times New Roman" w:eastAsia="宋体" w:cs="Times New Roman"/>
                <w:color w:val="auto"/>
                <w:sz w:val="21"/>
                <w:szCs w:val="21"/>
                <w:highlight w:val="none"/>
                <w:lang w:val="en-US" w:eastAsia="zh-CN"/>
              </w:rPr>
              <w:t>李洼村</w:t>
            </w:r>
            <w:bookmarkEnd w:id="5694"/>
            <w:bookmarkEnd w:id="5695"/>
            <w:bookmarkEnd w:id="5696"/>
          </w:p>
        </w:tc>
        <w:tc>
          <w:tcPr>
            <w:tcW w:w="2112" w:type="dxa"/>
            <w:tcBorders>
              <w:tl2br w:val="nil"/>
              <w:tr2bl w:val="nil"/>
            </w:tcBorders>
            <w:vAlign w:val="center"/>
          </w:tcPr>
          <w:p w14:paraId="67B2C069">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697" w:name="_Toc20567"/>
            <w:bookmarkStart w:id="5698" w:name="_Toc31857"/>
            <w:bookmarkStart w:id="5699" w:name="_Toc602"/>
            <w:r>
              <w:rPr>
                <w:rFonts w:hint="eastAsia" w:cs="Times New Roman"/>
                <w:color w:val="auto"/>
                <w:sz w:val="21"/>
                <w:szCs w:val="21"/>
                <w:highlight w:val="none"/>
                <w:lang w:val="en-US" w:eastAsia="zh-CN"/>
              </w:rPr>
              <w:t>N,52</w:t>
            </w:r>
            <w:r>
              <w:rPr>
                <w:rFonts w:hint="default" w:ascii="Times New Roman" w:hAnsi="Times New Roman" w:cs="Times New Roman"/>
                <w:color w:val="auto"/>
                <w:sz w:val="21"/>
                <w:szCs w:val="21"/>
                <w:highlight w:val="none"/>
              </w:rPr>
              <w:t>m</w:t>
            </w:r>
            <w:bookmarkEnd w:id="5697"/>
            <w:bookmarkEnd w:id="5698"/>
            <w:bookmarkEnd w:id="5699"/>
          </w:p>
        </w:tc>
        <w:tc>
          <w:tcPr>
            <w:tcW w:w="1615" w:type="dxa"/>
            <w:tcBorders>
              <w:tl2br w:val="nil"/>
              <w:tr2bl w:val="nil"/>
            </w:tcBorders>
            <w:vAlign w:val="center"/>
          </w:tcPr>
          <w:p w14:paraId="5B800FFA">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00" w:name="_Toc6643"/>
            <w:bookmarkStart w:id="5701" w:name="_Toc16843"/>
            <w:bookmarkStart w:id="5702" w:name="_Toc22434"/>
            <w:bookmarkStart w:id="5703" w:name="_Toc231"/>
            <w:bookmarkStart w:id="5704" w:name="_Toc878"/>
            <w:r>
              <w:rPr>
                <w:rFonts w:hint="default" w:ascii="Times New Roman" w:hAnsi="Times New Roman" w:cs="Times New Roman"/>
                <w:color w:val="auto"/>
                <w:sz w:val="21"/>
                <w:szCs w:val="21"/>
                <w:highlight w:val="none"/>
                <w:lang w:val="en-US" w:eastAsia="zh-CN"/>
              </w:rPr>
              <w:t>达标</w:t>
            </w:r>
            <w:bookmarkEnd w:id="5700"/>
            <w:bookmarkEnd w:id="5701"/>
            <w:bookmarkEnd w:id="5702"/>
            <w:bookmarkEnd w:id="5703"/>
            <w:bookmarkEnd w:id="5704"/>
          </w:p>
        </w:tc>
        <w:tc>
          <w:tcPr>
            <w:tcW w:w="1499" w:type="dxa"/>
            <w:tcBorders>
              <w:tl2br w:val="nil"/>
              <w:tr2bl w:val="nil"/>
            </w:tcBorders>
            <w:vAlign w:val="center"/>
          </w:tcPr>
          <w:p w14:paraId="1FE36E0A">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74612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40F60548">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05" w:name="_Toc21651"/>
            <w:bookmarkStart w:id="5706" w:name="_Toc24938"/>
            <w:bookmarkStart w:id="5707" w:name="_Toc22982"/>
            <w:bookmarkStart w:id="5708" w:name="_Toc27821"/>
            <w:bookmarkStart w:id="5709" w:name="_Toc5859"/>
            <w:r>
              <w:rPr>
                <w:rFonts w:hint="default" w:ascii="Times New Roman" w:hAnsi="Times New Roman" w:cs="Times New Roman"/>
                <w:color w:val="auto"/>
                <w:sz w:val="21"/>
                <w:szCs w:val="21"/>
                <w:highlight w:val="none"/>
              </w:rPr>
              <w:t>3</w:t>
            </w:r>
            <w:bookmarkEnd w:id="5705"/>
            <w:bookmarkEnd w:id="5706"/>
            <w:bookmarkEnd w:id="5707"/>
            <w:bookmarkEnd w:id="5708"/>
            <w:bookmarkEnd w:id="5709"/>
          </w:p>
        </w:tc>
        <w:tc>
          <w:tcPr>
            <w:tcW w:w="2007" w:type="dxa"/>
            <w:tcBorders>
              <w:tl2br w:val="nil"/>
              <w:tr2bl w:val="nil"/>
            </w:tcBorders>
            <w:vAlign w:val="center"/>
          </w:tcPr>
          <w:p w14:paraId="4F0EDBDF">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710" w:name="_Toc20490"/>
            <w:bookmarkStart w:id="5711" w:name="_Toc20264"/>
            <w:bookmarkStart w:id="5712" w:name="_Toc30766"/>
            <w:r>
              <w:rPr>
                <w:rFonts w:hint="default" w:ascii="Times New Roman" w:hAnsi="Times New Roman" w:eastAsia="宋体" w:cs="Times New Roman"/>
                <w:color w:val="auto"/>
                <w:sz w:val="21"/>
                <w:szCs w:val="21"/>
                <w:highlight w:val="none"/>
                <w:lang w:val="en-US" w:eastAsia="zh-CN"/>
              </w:rPr>
              <w:t>罗堡村</w:t>
            </w:r>
            <w:bookmarkEnd w:id="5710"/>
            <w:bookmarkEnd w:id="5711"/>
            <w:bookmarkEnd w:id="5712"/>
          </w:p>
        </w:tc>
        <w:tc>
          <w:tcPr>
            <w:tcW w:w="2112" w:type="dxa"/>
            <w:tcBorders>
              <w:tl2br w:val="nil"/>
              <w:tr2bl w:val="nil"/>
            </w:tcBorders>
            <w:vAlign w:val="center"/>
          </w:tcPr>
          <w:p w14:paraId="300AC04B">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13" w:name="_Toc29792"/>
            <w:bookmarkStart w:id="5714" w:name="_Toc2426"/>
            <w:bookmarkStart w:id="5715" w:name="_Toc21415"/>
            <w:bookmarkStart w:id="5716" w:name="_Toc24418"/>
            <w:bookmarkStart w:id="5717" w:name="_Toc6625"/>
            <w:r>
              <w:rPr>
                <w:rFonts w:hint="eastAsia" w:cs="Times New Roman"/>
                <w:color w:val="auto"/>
                <w:sz w:val="21"/>
                <w:szCs w:val="21"/>
                <w:highlight w:val="none"/>
                <w:lang w:val="en-US" w:eastAsia="zh-CN"/>
              </w:rPr>
              <w:t>N,110</w:t>
            </w:r>
            <w:r>
              <w:rPr>
                <w:rFonts w:hint="default" w:ascii="Times New Roman" w:hAnsi="Times New Roman" w:cs="Times New Roman"/>
                <w:color w:val="auto"/>
                <w:sz w:val="21"/>
                <w:szCs w:val="21"/>
                <w:highlight w:val="none"/>
              </w:rPr>
              <w:t>m</w:t>
            </w:r>
            <w:bookmarkEnd w:id="5713"/>
            <w:bookmarkEnd w:id="5714"/>
            <w:bookmarkEnd w:id="5715"/>
            <w:bookmarkEnd w:id="5716"/>
            <w:bookmarkEnd w:id="5717"/>
          </w:p>
        </w:tc>
        <w:tc>
          <w:tcPr>
            <w:tcW w:w="1615" w:type="dxa"/>
            <w:tcBorders>
              <w:tl2br w:val="nil"/>
              <w:tr2bl w:val="nil"/>
            </w:tcBorders>
            <w:vAlign w:val="center"/>
          </w:tcPr>
          <w:p w14:paraId="7EB7DC03">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718" w:name="_Toc4555"/>
            <w:bookmarkStart w:id="5719" w:name="_Toc7702"/>
            <w:bookmarkStart w:id="5720" w:name="_Toc27368"/>
            <w:bookmarkStart w:id="5721" w:name="_Toc5280"/>
            <w:bookmarkStart w:id="5722" w:name="_Toc19012"/>
            <w:r>
              <w:rPr>
                <w:rFonts w:hint="default" w:ascii="Times New Roman" w:hAnsi="Times New Roman" w:eastAsia="宋体" w:cs="Times New Roman"/>
                <w:color w:val="auto"/>
                <w:sz w:val="21"/>
                <w:szCs w:val="21"/>
                <w:highlight w:val="none"/>
                <w:lang w:val="en-US" w:eastAsia="zh-CN"/>
              </w:rPr>
              <w:t>达标</w:t>
            </w:r>
            <w:bookmarkEnd w:id="5718"/>
            <w:bookmarkEnd w:id="5719"/>
            <w:bookmarkEnd w:id="5720"/>
            <w:bookmarkEnd w:id="5721"/>
            <w:bookmarkEnd w:id="5722"/>
          </w:p>
        </w:tc>
        <w:tc>
          <w:tcPr>
            <w:tcW w:w="1499" w:type="dxa"/>
            <w:tcBorders>
              <w:tl2br w:val="nil"/>
              <w:tr2bl w:val="nil"/>
            </w:tcBorders>
            <w:vAlign w:val="center"/>
          </w:tcPr>
          <w:p w14:paraId="68B76A36">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60F2F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9" w:type="dxa"/>
            <w:tcBorders>
              <w:tl2br w:val="nil"/>
              <w:tr2bl w:val="nil"/>
            </w:tcBorders>
            <w:vAlign w:val="center"/>
          </w:tcPr>
          <w:p w14:paraId="7397C46A">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23" w:name="_Toc23338"/>
            <w:bookmarkStart w:id="5724" w:name="_Toc21817"/>
            <w:bookmarkStart w:id="5725" w:name="_Toc11330"/>
            <w:bookmarkStart w:id="5726" w:name="_Toc10913"/>
            <w:bookmarkStart w:id="5727" w:name="_Toc18854"/>
            <w:r>
              <w:rPr>
                <w:rFonts w:hint="default" w:ascii="Times New Roman" w:hAnsi="Times New Roman" w:cs="Times New Roman"/>
                <w:color w:val="auto"/>
                <w:sz w:val="21"/>
                <w:szCs w:val="21"/>
                <w:highlight w:val="none"/>
              </w:rPr>
              <w:t>4</w:t>
            </w:r>
            <w:bookmarkEnd w:id="5723"/>
            <w:bookmarkEnd w:id="5724"/>
            <w:bookmarkEnd w:id="5725"/>
            <w:bookmarkEnd w:id="5726"/>
            <w:bookmarkEnd w:id="5727"/>
          </w:p>
        </w:tc>
        <w:tc>
          <w:tcPr>
            <w:tcW w:w="2007" w:type="dxa"/>
            <w:tcBorders>
              <w:tl2br w:val="nil"/>
              <w:tr2bl w:val="nil"/>
            </w:tcBorders>
            <w:vAlign w:val="center"/>
          </w:tcPr>
          <w:p w14:paraId="652FD7D4">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728" w:name="_Toc2910"/>
            <w:bookmarkStart w:id="5729" w:name="_Toc23479"/>
            <w:bookmarkStart w:id="5730" w:name="_Toc23057"/>
            <w:r>
              <w:rPr>
                <w:rFonts w:hint="default" w:ascii="Times New Roman" w:hAnsi="Times New Roman" w:eastAsia="宋体" w:cs="Times New Roman"/>
                <w:color w:val="auto"/>
                <w:sz w:val="21"/>
                <w:szCs w:val="21"/>
                <w:highlight w:val="none"/>
                <w:lang w:val="en-US" w:eastAsia="zh-CN"/>
              </w:rPr>
              <w:t>沙河村</w:t>
            </w:r>
            <w:bookmarkEnd w:id="5728"/>
            <w:bookmarkEnd w:id="5729"/>
            <w:bookmarkEnd w:id="5730"/>
          </w:p>
        </w:tc>
        <w:tc>
          <w:tcPr>
            <w:tcW w:w="2112" w:type="dxa"/>
            <w:tcBorders>
              <w:tl2br w:val="nil"/>
              <w:tr2bl w:val="nil"/>
            </w:tcBorders>
            <w:vAlign w:val="center"/>
          </w:tcPr>
          <w:p w14:paraId="7E3FC3EA">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31" w:name="_Toc11225"/>
            <w:bookmarkStart w:id="5732" w:name="_Toc22642"/>
            <w:bookmarkStart w:id="5733" w:name="_Toc21753"/>
            <w:bookmarkStart w:id="5734" w:name="_Toc20740"/>
            <w:bookmarkStart w:id="5735" w:name="_Toc3981"/>
            <w:r>
              <w:rPr>
                <w:rFonts w:hint="eastAsia" w:cs="Times New Roman"/>
                <w:color w:val="auto"/>
                <w:sz w:val="21"/>
                <w:szCs w:val="21"/>
                <w:highlight w:val="none"/>
                <w:lang w:val="en-US" w:eastAsia="zh-CN"/>
              </w:rPr>
              <w:t>W,1</w:t>
            </w:r>
            <w:r>
              <w:rPr>
                <w:rFonts w:hint="default" w:ascii="Times New Roman" w:hAnsi="Times New Roman" w:cs="Times New Roman"/>
                <w:color w:val="auto"/>
                <w:sz w:val="21"/>
                <w:szCs w:val="21"/>
                <w:highlight w:val="none"/>
              </w:rPr>
              <w:t>0m</w:t>
            </w:r>
            <w:bookmarkEnd w:id="5731"/>
            <w:bookmarkEnd w:id="5732"/>
            <w:bookmarkEnd w:id="5733"/>
            <w:bookmarkEnd w:id="5734"/>
            <w:bookmarkEnd w:id="5735"/>
          </w:p>
        </w:tc>
        <w:tc>
          <w:tcPr>
            <w:tcW w:w="1615" w:type="dxa"/>
            <w:tcBorders>
              <w:tl2br w:val="nil"/>
              <w:tr2bl w:val="nil"/>
            </w:tcBorders>
            <w:vAlign w:val="center"/>
          </w:tcPr>
          <w:p w14:paraId="08BFE3D3">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736" w:name="_Toc27072"/>
            <w:bookmarkStart w:id="5737" w:name="_Toc21062"/>
            <w:bookmarkStart w:id="5738" w:name="_Toc12747"/>
            <w:r>
              <w:rPr>
                <w:rFonts w:hint="default" w:ascii="Times New Roman" w:hAnsi="Times New Roman" w:eastAsia="宋体" w:cs="Times New Roman"/>
                <w:color w:val="auto"/>
                <w:sz w:val="21"/>
                <w:szCs w:val="21"/>
                <w:highlight w:val="none"/>
                <w:lang w:val="en-US" w:eastAsia="zh-CN"/>
              </w:rPr>
              <w:t>超标</w:t>
            </w:r>
            <w:bookmarkEnd w:id="5736"/>
            <w:bookmarkEnd w:id="5737"/>
            <w:bookmarkEnd w:id="5738"/>
          </w:p>
        </w:tc>
        <w:tc>
          <w:tcPr>
            <w:tcW w:w="1499" w:type="dxa"/>
            <w:tcBorders>
              <w:tl2br w:val="nil"/>
              <w:tr2bl w:val="nil"/>
            </w:tcBorders>
            <w:vAlign w:val="center"/>
          </w:tcPr>
          <w:p w14:paraId="444E7FB3">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1CB72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628247B0">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39" w:name="_Toc1859"/>
            <w:bookmarkStart w:id="5740" w:name="_Toc6647"/>
            <w:bookmarkStart w:id="5741" w:name="_Toc23480"/>
            <w:bookmarkStart w:id="5742" w:name="_Toc3430"/>
            <w:bookmarkStart w:id="5743" w:name="_Toc24407"/>
            <w:r>
              <w:rPr>
                <w:rFonts w:hint="default" w:ascii="Times New Roman" w:hAnsi="Times New Roman" w:cs="Times New Roman"/>
                <w:color w:val="auto"/>
                <w:sz w:val="21"/>
                <w:szCs w:val="21"/>
                <w:highlight w:val="none"/>
              </w:rPr>
              <w:t>5</w:t>
            </w:r>
            <w:bookmarkEnd w:id="5739"/>
            <w:bookmarkEnd w:id="5740"/>
            <w:bookmarkEnd w:id="5741"/>
            <w:bookmarkEnd w:id="5742"/>
            <w:bookmarkEnd w:id="5743"/>
          </w:p>
        </w:tc>
        <w:tc>
          <w:tcPr>
            <w:tcW w:w="2007" w:type="dxa"/>
            <w:tcBorders>
              <w:tl2br w:val="nil"/>
              <w:tr2bl w:val="nil"/>
            </w:tcBorders>
            <w:vAlign w:val="center"/>
          </w:tcPr>
          <w:p w14:paraId="4F66B142">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744" w:name="_Toc31613"/>
            <w:bookmarkStart w:id="5745" w:name="_Toc10966"/>
            <w:bookmarkStart w:id="5746" w:name="_Toc9660"/>
            <w:r>
              <w:rPr>
                <w:rFonts w:hint="default" w:ascii="Times New Roman" w:hAnsi="Times New Roman" w:eastAsia="宋体" w:cs="Times New Roman"/>
                <w:color w:val="auto"/>
                <w:sz w:val="21"/>
                <w:szCs w:val="21"/>
                <w:highlight w:val="none"/>
                <w:lang w:val="en-US" w:eastAsia="zh-CN"/>
              </w:rPr>
              <w:t>袁穆公路两侧居民区</w:t>
            </w:r>
            <w:bookmarkEnd w:id="5744"/>
            <w:bookmarkEnd w:id="5745"/>
            <w:bookmarkEnd w:id="5746"/>
          </w:p>
        </w:tc>
        <w:tc>
          <w:tcPr>
            <w:tcW w:w="2112" w:type="dxa"/>
            <w:tcBorders>
              <w:tl2br w:val="nil"/>
              <w:tr2bl w:val="nil"/>
            </w:tcBorders>
            <w:vAlign w:val="center"/>
          </w:tcPr>
          <w:p w14:paraId="0A9FB3BB">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47" w:name="_Toc12393"/>
            <w:bookmarkStart w:id="5748" w:name="_Toc4477"/>
            <w:bookmarkStart w:id="5749" w:name="_Toc16156"/>
            <w:r>
              <w:rPr>
                <w:rFonts w:hint="eastAsia" w:cs="Times New Roman"/>
                <w:color w:val="auto"/>
                <w:sz w:val="21"/>
                <w:szCs w:val="21"/>
                <w:highlight w:val="none"/>
                <w:lang w:val="en-US" w:eastAsia="zh-CN"/>
              </w:rPr>
              <w:t>E,112</w:t>
            </w:r>
            <w:r>
              <w:rPr>
                <w:rFonts w:hint="default" w:ascii="Times New Roman" w:hAnsi="Times New Roman" w:cs="Times New Roman"/>
                <w:color w:val="auto"/>
                <w:sz w:val="21"/>
                <w:szCs w:val="21"/>
                <w:highlight w:val="none"/>
              </w:rPr>
              <w:t>m</w:t>
            </w:r>
            <w:bookmarkEnd w:id="5747"/>
            <w:bookmarkEnd w:id="5748"/>
            <w:bookmarkEnd w:id="5749"/>
          </w:p>
        </w:tc>
        <w:tc>
          <w:tcPr>
            <w:tcW w:w="1615" w:type="dxa"/>
            <w:tcBorders>
              <w:tl2br w:val="nil"/>
              <w:tr2bl w:val="nil"/>
            </w:tcBorders>
            <w:vAlign w:val="center"/>
          </w:tcPr>
          <w:p w14:paraId="3D3673E1">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750" w:name="_Toc15180"/>
            <w:bookmarkStart w:id="5751" w:name="_Toc18215"/>
            <w:bookmarkStart w:id="5752" w:name="_Toc18400"/>
            <w:bookmarkStart w:id="5753" w:name="_Toc8807"/>
            <w:bookmarkStart w:id="5754" w:name="_Toc1774"/>
            <w:r>
              <w:rPr>
                <w:rFonts w:hint="default" w:ascii="Times New Roman" w:hAnsi="Times New Roman" w:eastAsia="宋体" w:cs="Times New Roman"/>
                <w:color w:val="auto"/>
                <w:sz w:val="21"/>
                <w:szCs w:val="21"/>
                <w:highlight w:val="none"/>
                <w:lang w:val="en-US" w:eastAsia="zh-CN"/>
              </w:rPr>
              <w:t>达标</w:t>
            </w:r>
            <w:bookmarkEnd w:id="5750"/>
            <w:bookmarkEnd w:id="5751"/>
            <w:bookmarkEnd w:id="5752"/>
            <w:bookmarkEnd w:id="5753"/>
            <w:bookmarkEnd w:id="5754"/>
          </w:p>
        </w:tc>
        <w:tc>
          <w:tcPr>
            <w:tcW w:w="1499" w:type="dxa"/>
            <w:tcBorders>
              <w:tl2br w:val="nil"/>
              <w:tr2bl w:val="nil"/>
            </w:tcBorders>
            <w:vAlign w:val="center"/>
          </w:tcPr>
          <w:p w14:paraId="32D1FF0F">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22DA3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43DF35C0">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55" w:name="_Toc15524"/>
            <w:bookmarkStart w:id="5756" w:name="_Toc5141"/>
            <w:bookmarkStart w:id="5757" w:name="_Toc17200"/>
            <w:bookmarkStart w:id="5758" w:name="_Toc32438"/>
            <w:bookmarkStart w:id="5759" w:name="_Toc19801"/>
            <w:r>
              <w:rPr>
                <w:rFonts w:hint="default" w:ascii="Times New Roman" w:hAnsi="Times New Roman" w:cs="Times New Roman"/>
                <w:color w:val="auto"/>
                <w:sz w:val="21"/>
                <w:szCs w:val="21"/>
                <w:highlight w:val="none"/>
              </w:rPr>
              <w:t>6</w:t>
            </w:r>
            <w:bookmarkEnd w:id="5755"/>
            <w:bookmarkEnd w:id="5756"/>
            <w:bookmarkEnd w:id="5757"/>
            <w:bookmarkEnd w:id="5758"/>
            <w:bookmarkEnd w:id="5759"/>
          </w:p>
        </w:tc>
        <w:tc>
          <w:tcPr>
            <w:tcW w:w="2007" w:type="dxa"/>
            <w:tcBorders>
              <w:tl2br w:val="nil"/>
              <w:tr2bl w:val="nil"/>
            </w:tcBorders>
            <w:vAlign w:val="center"/>
          </w:tcPr>
          <w:p w14:paraId="7DCD1353">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760" w:name="_Toc8325"/>
            <w:bookmarkStart w:id="5761" w:name="_Toc1152"/>
            <w:bookmarkStart w:id="5762" w:name="_Toc22004"/>
            <w:r>
              <w:rPr>
                <w:rFonts w:hint="default" w:ascii="Times New Roman" w:hAnsi="Times New Roman" w:eastAsia="宋体" w:cs="Times New Roman"/>
                <w:color w:val="auto"/>
                <w:sz w:val="21"/>
                <w:szCs w:val="21"/>
                <w:highlight w:val="none"/>
                <w:lang w:val="en-US" w:eastAsia="zh-CN"/>
              </w:rPr>
              <w:t>郑庄村</w:t>
            </w:r>
            <w:bookmarkEnd w:id="5760"/>
            <w:bookmarkEnd w:id="5761"/>
            <w:bookmarkEnd w:id="5762"/>
          </w:p>
        </w:tc>
        <w:tc>
          <w:tcPr>
            <w:tcW w:w="2112" w:type="dxa"/>
            <w:tcBorders>
              <w:tl2br w:val="nil"/>
              <w:tr2bl w:val="nil"/>
            </w:tcBorders>
            <w:vAlign w:val="center"/>
          </w:tcPr>
          <w:p w14:paraId="7599A0DC">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63" w:name="_Toc21588"/>
            <w:bookmarkStart w:id="5764" w:name="_Toc10856"/>
            <w:bookmarkStart w:id="5765" w:name="_Toc22569"/>
            <w:r>
              <w:rPr>
                <w:rFonts w:hint="eastAsia" w:cs="Times New Roman"/>
                <w:color w:val="auto"/>
                <w:sz w:val="21"/>
                <w:szCs w:val="21"/>
                <w:highlight w:val="none"/>
                <w:lang w:val="en-US" w:eastAsia="zh-CN"/>
              </w:rPr>
              <w:t>N,31</w:t>
            </w:r>
            <w:r>
              <w:rPr>
                <w:rFonts w:hint="default" w:ascii="Times New Roman" w:hAnsi="Times New Roman" w:cs="Times New Roman"/>
                <w:color w:val="auto"/>
                <w:sz w:val="21"/>
                <w:szCs w:val="21"/>
                <w:highlight w:val="none"/>
              </w:rPr>
              <w:t>m</w:t>
            </w:r>
            <w:bookmarkEnd w:id="5763"/>
            <w:bookmarkEnd w:id="5764"/>
            <w:bookmarkEnd w:id="5765"/>
          </w:p>
        </w:tc>
        <w:tc>
          <w:tcPr>
            <w:tcW w:w="1615" w:type="dxa"/>
            <w:tcBorders>
              <w:tl2br w:val="nil"/>
              <w:tr2bl w:val="nil"/>
            </w:tcBorders>
            <w:vAlign w:val="center"/>
          </w:tcPr>
          <w:p w14:paraId="56237CC9">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766" w:name="_Toc3443"/>
            <w:bookmarkStart w:id="5767" w:name="_Toc23555"/>
            <w:bookmarkStart w:id="5768" w:name="_Toc13926"/>
            <w:r>
              <w:rPr>
                <w:rFonts w:hint="default" w:ascii="Times New Roman" w:hAnsi="Times New Roman" w:eastAsia="宋体" w:cs="Times New Roman"/>
                <w:color w:val="auto"/>
                <w:sz w:val="21"/>
                <w:szCs w:val="21"/>
                <w:highlight w:val="none"/>
                <w:lang w:val="en-US" w:eastAsia="zh-CN"/>
              </w:rPr>
              <w:t>达标</w:t>
            </w:r>
            <w:bookmarkEnd w:id="5766"/>
            <w:bookmarkEnd w:id="5767"/>
            <w:bookmarkEnd w:id="5768"/>
          </w:p>
        </w:tc>
        <w:tc>
          <w:tcPr>
            <w:tcW w:w="1499" w:type="dxa"/>
            <w:tcBorders>
              <w:tl2br w:val="nil"/>
              <w:tr2bl w:val="nil"/>
            </w:tcBorders>
            <w:vAlign w:val="center"/>
          </w:tcPr>
          <w:p w14:paraId="6797E7D5">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67CD8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5E674776">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69" w:name="_Toc20817"/>
            <w:bookmarkStart w:id="5770" w:name="_Toc3832"/>
            <w:bookmarkStart w:id="5771" w:name="_Toc19767"/>
            <w:bookmarkStart w:id="5772" w:name="_Toc7697"/>
            <w:bookmarkStart w:id="5773" w:name="_Toc18408"/>
            <w:r>
              <w:rPr>
                <w:rFonts w:hint="default" w:ascii="Times New Roman" w:hAnsi="Times New Roman" w:cs="Times New Roman"/>
                <w:color w:val="auto"/>
                <w:sz w:val="21"/>
                <w:szCs w:val="21"/>
                <w:highlight w:val="none"/>
              </w:rPr>
              <w:t>7</w:t>
            </w:r>
            <w:bookmarkEnd w:id="5769"/>
            <w:bookmarkEnd w:id="5770"/>
            <w:bookmarkEnd w:id="5771"/>
            <w:bookmarkEnd w:id="5772"/>
            <w:bookmarkEnd w:id="5773"/>
          </w:p>
        </w:tc>
        <w:tc>
          <w:tcPr>
            <w:tcW w:w="2007" w:type="dxa"/>
            <w:tcBorders>
              <w:tl2br w:val="nil"/>
              <w:tr2bl w:val="nil"/>
            </w:tcBorders>
            <w:vAlign w:val="center"/>
          </w:tcPr>
          <w:p w14:paraId="7A404692">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774" w:name="_Toc20401"/>
            <w:bookmarkStart w:id="5775" w:name="_Toc18627"/>
            <w:bookmarkStart w:id="5776" w:name="_Toc28351"/>
            <w:r>
              <w:rPr>
                <w:rFonts w:hint="default" w:ascii="Times New Roman" w:hAnsi="Times New Roman" w:eastAsia="宋体" w:cs="Times New Roman"/>
                <w:color w:val="auto"/>
                <w:sz w:val="21"/>
                <w:szCs w:val="21"/>
                <w:highlight w:val="none"/>
                <w:lang w:val="en-US" w:eastAsia="zh-CN"/>
              </w:rPr>
              <w:t>党沟村</w:t>
            </w:r>
            <w:bookmarkEnd w:id="5774"/>
            <w:bookmarkEnd w:id="5775"/>
            <w:bookmarkEnd w:id="5776"/>
          </w:p>
        </w:tc>
        <w:tc>
          <w:tcPr>
            <w:tcW w:w="2112" w:type="dxa"/>
            <w:tcBorders>
              <w:tl2br w:val="nil"/>
              <w:tr2bl w:val="nil"/>
            </w:tcBorders>
            <w:vAlign w:val="center"/>
          </w:tcPr>
          <w:p w14:paraId="1DF65299">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77" w:name="_Toc16489"/>
            <w:bookmarkStart w:id="5778" w:name="_Toc26505"/>
            <w:bookmarkStart w:id="5779" w:name="_Toc6617"/>
            <w:r>
              <w:rPr>
                <w:rFonts w:hint="eastAsia" w:cs="Times New Roman"/>
                <w:color w:val="auto"/>
                <w:sz w:val="21"/>
                <w:szCs w:val="21"/>
                <w:highlight w:val="none"/>
                <w:lang w:val="en-US" w:eastAsia="zh-CN"/>
              </w:rPr>
              <w:t>S,36</w:t>
            </w:r>
            <w:r>
              <w:rPr>
                <w:rFonts w:hint="default" w:ascii="Times New Roman" w:hAnsi="Times New Roman" w:cs="Times New Roman"/>
                <w:color w:val="auto"/>
                <w:sz w:val="21"/>
                <w:szCs w:val="21"/>
                <w:highlight w:val="none"/>
              </w:rPr>
              <w:t>m</w:t>
            </w:r>
            <w:bookmarkEnd w:id="5777"/>
            <w:bookmarkEnd w:id="5778"/>
            <w:bookmarkEnd w:id="5779"/>
          </w:p>
        </w:tc>
        <w:tc>
          <w:tcPr>
            <w:tcW w:w="1615" w:type="dxa"/>
            <w:tcBorders>
              <w:tl2br w:val="nil"/>
              <w:tr2bl w:val="nil"/>
            </w:tcBorders>
            <w:vAlign w:val="center"/>
          </w:tcPr>
          <w:p w14:paraId="13109F3F">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780" w:name="_Toc20732"/>
            <w:bookmarkStart w:id="5781" w:name="_Toc16853"/>
            <w:bookmarkStart w:id="5782" w:name="_Toc29010"/>
            <w:r>
              <w:rPr>
                <w:rFonts w:hint="default" w:ascii="Times New Roman" w:hAnsi="Times New Roman" w:eastAsia="宋体" w:cs="Times New Roman"/>
                <w:color w:val="auto"/>
                <w:sz w:val="21"/>
                <w:szCs w:val="21"/>
                <w:highlight w:val="none"/>
                <w:lang w:val="en-US" w:eastAsia="zh-CN"/>
              </w:rPr>
              <w:t>达标</w:t>
            </w:r>
            <w:bookmarkEnd w:id="5780"/>
            <w:bookmarkEnd w:id="5781"/>
            <w:bookmarkEnd w:id="5782"/>
          </w:p>
        </w:tc>
        <w:tc>
          <w:tcPr>
            <w:tcW w:w="1499" w:type="dxa"/>
            <w:tcBorders>
              <w:tl2br w:val="nil"/>
              <w:tr2bl w:val="nil"/>
            </w:tcBorders>
            <w:vAlign w:val="center"/>
          </w:tcPr>
          <w:p w14:paraId="345D8FF0">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38F41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406C10A3">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83" w:name="_Toc7854"/>
            <w:bookmarkStart w:id="5784" w:name="_Toc31846"/>
            <w:bookmarkStart w:id="5785" w:name="_Toc5528"/>
            <w:bookmarkStart w:id="5786" w:name="_Toc29750"/>
            <w:bookmarkStart w:id="5787" w:name="_Toc13342"/>
            <w:r>
              <w:rPr>
                <w:rFonts w:hint="default" w:ascii="Times New Roman" w:hAnsi="Times New Roman" w:cs="Times New Roman"/>
                <w:color w:val="auto"/>
                <w:sz w:val="21"/>
                <w:szCs w:val="21"/>
                <w:highlight w:val="none"/>
              </w:rPr>
              <w:t>8</w:t>
            </w:r>
            <w:bookmarkEnd w:id="5783"/>
            <w:bookmarkEnd w:id="5784"/>
            <w:bookmarkEnd w:id="5785"/>
            <w:bookmarkEnd w:id="5786"/>
            <w:bookmarkEnd w:id="5787"/>
          </w:p>
        </w:tc>
        <w:tc>
          <w:tcPr>
            <w:tcW w:w="2007" w:type="dxa"/>
            <w:tcBorders>
              <w:tl2br w:val="nil"/>
              <w:tr2bl w:val="nil"/>
            </w:tcBorders>
            <w:vAlign w:val="center"/>
          </w:tcPr>
          <w:p w14:paraId="307CAD75">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788" w:name="_Toc25862"/>
            <w:bookmarkStart w:id="5789" w:name="_Toc12324"/>
            <w:bookmarkStart w:id="5790" w:name="_Toc23594"/>
            <w:r>
              <w:rPr>
                <w:rFonts w:hint="default" w:ascii="Times New Roman" w:hAnsi="Times New Roman" w:eastAsia="宋体" w:cs="Times New Roman"/>
                <w:color w:val="auto"/>
                <w:sz w:val="21"/>
                <w:szCs w:val="21"/>
                <w:highlight w:val="none"/>
                <w:lang w:val="en-US" w:eastAsia="zh-CN"/>
              </w:rPr>
              <w:t>田庄村</w:t>
            </w:r>
            <w:bookmarkEnd w:id="5788"/>
            <w:bookmarkEnd w:id="5789"/>
            <w:bookmarkEnd w:id="5790"/>
          </w:p>
        </w:tc>
        <w:tc>
          <w:tcPr>
            <w:tcW w:w="2112" w:type="dxa"/>
            <w:tcBorders>
              <w:tl2br w:val="nil"/>
              <w:tr2bl w:val="nil"/>
            </w:tcBorders>
            <w:vAlign w:val="center"/>
          </w:tcPr>
          <w:p w14:paraId="011A963D">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91" w:name="_Toc8871"/>
            <w:bookmarkStart w:id="5792" w:name="_Toc9714"/>
            <w:bookmarkStart w:id="5793" w:name="_Toc8684"/>
            <w:r>
              <w:rPr>
                <w:rFonts w:hint="eastAsia" w:cs="Times New Roman"/>
                <w:color w:val="auto"/>
                <w:sz w:val="21"/>
                <w:szCs w:val="21"/>
                <w:highlight w:val="none"/>
                <w:lang w:val="en-US" w:eastAsia="zh-CN"/>
              </w:rPr>
              <w:t>N,28</w:t>
            </w:r>
            <w:r>
              <w:rPr>
                <w:rFonts w:hint="default" w:ascii="Times New Roman" w:hAnsi="Times New Roman" w:cs="Times New Roman"/>
                <w:color w:val="auto"/>
                <w:sz w:val="21"/>
                <w:szCs w:val="21"/>
                <w:highlight w:val="none"/>
              </w:rPr>
              <w:t>m</w:t>
            </w:r>
            <w:bookmarkEnd w:id="5791"/>
            <w:bookmarkEnd w:id="5792"/>
            <w:bookmarkEnd w:id="5793"/>
          </w:p>
        </w:tc>
        <w:tc>
          <w:tcPr>
            <w:tcW w:w="1615" w:type="dxa"/>
            <w:tcBorders>
              <w:tl2br w:val="nil"/>
              <w:tr2bl w:val="nil"/>
            </w:tcBorders>
            <w:vAlign w:val="center"/>
          </w:tcPr>
          <w:p w14:paraId="550721EC">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794" w:name="_Toc6161"/>
            <w:bookmarkStart w:id="5795" w:name="_Toc26502"/>
            <w:bookmarkStart w:id="5796" w:name="_Toc4178"/>
            <w:r>
              <w:rPr>
                <w:rFonts w:hint="default" w:ascii="Times New Roman" w:hAnsi="Times New Roman" w:eastAsia="宋体" w:cs="Times New Roman"/>
                <w:color w:val="auto"/>
                <w:sz w:val="21"/>
                <w:szCs w:val="21"/>
                <w:highlight w:val="none"/>
                <w:lang w:val="en-US" w:eastAsia="zh-CN"/>
              </w:rPr>
              <w:t>达标</w:t>
            </w:r>
            <w:bookmarkEnd w:id="5794"/>
            <w:bookmarkEnd w:id="5795"/>
            <w:bookmarkEnd w:id="5796"/>
          </w:p>
        </w:tc>
        <w:tc>
          <w:tcPr>
            <w:tcW w:w="1499" w:type="dxa"/>
            <w:tcBorders>
              <w:tl2br w:val="nil"/>
              <w:tr2bl w:val="nil"/>
            </w:tcBorders>
            <w:vAlign w:val="center"/>
          </w:tcPr>
          <w:p w14:paraId="0ED29336">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7A345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3D42B35D">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797" w:name="_Toc6767"/>
            <w:bookmarkStart w:id="5798" w:name="_Toc27349"/>
            <w:bookmarkStart w:id="5799" w:name="_Toc7212"/>
            <w:bookmarkStart w:id="5800" w:name="_Toc21325"/>
            <w:bookmarkStart w:id="5801" w:name="_Toc673"/>
            <w:r>
              <w:rPr>
                <w:rFonts w:hint="default" w:ascii="Times New Roman" w:hAnsi="Times New Roman" w:cs="Times New Roman"/>
                <w:color w:val="auto"/>
                <w:sz w:val="21"/>
                <w:szCs w:val="21"/>
                <w:highlight w:val="none"/>
              </w:rPr>
              <w:t>9</w:t>
            </w:r>
            <w:bookmarkEnd w:id="5797"/>
            <w:bookmarkEnd w:id="5798"/>
            <w:bookmarkEnd w:id="5799"/>
            <w:bookmarkEnd w:id="5800"/>
            <w:bookmarkEnd w:id="5801"/>
          </w:p>
        </w:tc>
        <w:tc>
          <w:tcPr>
            <w:tcW w:w="2007" w:type="dxa"/>
            <w:tcBorders>
              <w:tl2br w:val="nil"/>
              <w:tr2bl w:val="nil"/>
            </w:tcBorders>
            <w:vAlign w:val="center"/>
          </w:tcPr>
          <w:p w14:paraId="5090E0D5">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802" w:name="_Toc24679"/>
            <w:bookmarkStart w:id="5803" w:name="_Toc18585"/>
            <w:bookmarkStart w:id="5804" w:name="_Toc32506"/>
            <w:r>
              <w:rPr>
                <w:rFonts w:hint="default" w:ascii="Times New Roman" w:hAnsi="Times New Roman" w:eastAsia="宋体" w:cs="Times New Roman"/>
                <w:color w:val="auto"/>
                <w:sz w:val="21"/>
                <w:szCs w:val="21"/>
                <w:highlight w:val="none"/>
                <w:lang w:val="en-US" w:eastAsia="zh-CN"/>
              </w:rPr>
              <w:t>焦家湾村</w:t>
            </w:r>
            <w:bookmarkEnd w:id="5802"/>
            <w:bookmarkEnd w:id="5803"/>
            <w:bookmarkEnd w:id="5804"/>
          </w:p>
        </w:tc>
        <w:tc>
          <w:tcPr>
            <w:tcW w:w="2112" w:type="dxa"/>
            <w:tcBorders>
              <w:tl2br w:val="nil"/>
              <w:tr2bl w:val="nil"/>
            </w:tcBorders>
            <w:vAlign w:val="center"/>
          </w:tcPr>
          <w:p w14:paraId="616BD889">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05" w:name="_Toc21931"/>
            <w:bookmarkStart w:id="5806" w:name="_Toc20037"/>
            <w:bookmarkStart w:id="5807" w:name="_Toc4430"/>
            <w:r>
              <w:rPr>
                <w:rFonts w:hint="eastAsia" w:cs="Times New Roman"/>
                <w:color w:val="auto"/>
                <w:sz w:val="21"/>
                <w:szCs w:val="21"/>
                <w:highlight w:val="none"/>
                <w:lang w:val="en-US" w:eastAsia="zh-CN"/>
              </w:rPr>
              <w:t>N,40</w:t>
            </w:r>
            <w:r>
              <w:rPr>
                <w:rFonts w:hint="default" w:ascii="Times New Roman" w:hAnsi="Times New Roman" w:cs="Times New Roman"/>
                <w:color w:val="auto"/>
                <w:sz w:val="21"/>
                <w:szCs w:val="21"/>
                <w:highlight w:val="none"/>
              </w:rPr>
              <w:t>m</w:t>
            </w:r>
            <w:bookmarkEnd w:id="5805"/>
            <w:bookmarkEnd w:id="5806"/>
            <w:bookmarkEnd w:id="5807"/>
          </w:p>
        </w:tc>
        <w:tc>
          <w:tcPr>
            <w:tcW w:w="1615" w:type="dxa"/>
            <w:tcBorders>
              <w:tl2br w:val="nil"/>
              <w:tr2bl w:val="nil"/>
            </w:tcBorders>
            <w:vAlign w:val="center"/>
          </w:tcPr>
          <w:p w14:paraId="56323EFF">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808" w:name="_Toc29754"/>
            <w:bookmarkStart w:id="5809" w:name="_Toc22255"/>
            <w:bookmarkStart w:id="5810" w:name="_Toc10737"/>
            <w:bookmarkStart w:id="5811" w:name="_Toc20838"/>
            <w:bookmarkStart w:id="5812" w:name="_Toc9989"/>
            <w:r>
              <w:rPr>
                <w:rFonts w:hint="default" w:ascii="Times New Roman" w:hAnsi="Times New Roman" w:eastAsia="宋体" w:cs="Times New Roman"/>
                <w:color w:val="auto"/>
                <w:sz w:val="21"/>
                <w:szCs w:val="21"/>
                <w:highlight w:val="none"/>
                <w:lang w:val="en-US" w:eastAsia="zh-CN"/>
              </w:rPr>
              <w:t>达标</w:t>
            </w:r>
            <w:bookmarkEnd w:id="5808"/>
            <w:bookmarkEnd w:id="5809"/>
            <w:bookmarkEnd w:id="5810"/>
            <w:bookmarkEnd w:id="5811"/>
            <w:bookmarkEnd w:id="5812"/>
          </w:p>
        </w:tc>
        <w:tc>
          <w:tcPr>
            <w:tcW w:w="1499" w:type="dxa"/>
            <w:tcBorders>
              <w:tl2br w:val="nil"/>
              <w:tr2bl w:val="nil"/>
            </w:tcBorders>
            <w:vAlign w:val="center"/>
          </w:tcPr>
          <w:p w14:paraId="6544B285">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4EB5D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18576B97">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13" w:name="_Toc24363"/>
            <w:bookmarkStart w:id="5814" w:name="_Toc30326"/>
            <w:bookmarkStart w:id="5815" w:name="_Toc30670"/>
            <w:bookmarkStart w:id="5816" w:name="_Toc18699"/>
            <w:bookmarkStart w:id="5817" w:name="_Toc14956"/>
            <w:r>
              <w:rPr>
                <w:rFonts w:hint="default" w:ascii="Times New Roman" w:hAnsi="Times New Roman" w:cs="Times New Roman"/>
                <w:color w:val="auto"/>
                <w:sz w:val="21"/>
                <w:szCs w:val="21"/>
                <w:highlight w:val="none"/>
              </w:rPr>
              <w:t>10</w:t>
            </w:r>
            <w:bookmarkEnd w:id="5813"/>
            <w:bookmarkEnd w:id="5814"/>
            <w:bookmarkEnd w:id="5815"/>
            <w:bookmarkEnd w:id="5816"/>
            <w:bookmarkEnd w:id="5817"/>
          </w:p>
        </w:tc>
        <w:tc>
          <w:tcPr>
            <w:tcW w:w="2007" w:type="dxa"/>
            <w:tcBorders>
              <w:tl2br w:val="nil"/>
              <w:tr2bl w:val="nil"/>
            </w:tcBorders>
            <w:vAlign w:val="center"/>
          </w:tcPr>
          <w:p w14:paraId="05681366">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818" w:name="_Toc17063"/>
            <w:bookmarkStart w:id="5819" w:name="_Toc13744"/>
            <w:bookmarkStart w:id="5820" w:name="_Toc25641"/>
            <w:r>
              <w:rPr>
                <w:rFonts w:hint="default" w:ascii="Times New Roman" w:hAnsi="Times New Roman" w:eastAsia="宋体" w:cs="Times New Roman"/>
                <w:color w:val="auto"/>
                <w:sz w:val="21"/>
                <w:szCs w:val="21"/>
                <w:highlight w:val="none"/>
                <w:lang w:val="en-US" w:eastAsia="zh-CN"/>
              </w:rPr>
              <w:t>川口村</w:t>
            </w:r>
            <w:bookmarkEnd w:id="5818"/>
            <w:bookmarkEnd w:id="5819"/>
            <w:bookmarkEnd w:id="5820"/>
          </w:p>
        </w:tc>
        <w:tc>
          <w:tcPr>
            <w:tcW w:w="2112" w:type="dxa"/>
            <w:tcBorders>
              <w:tl2br w:val="nil"/>
              <w:tr2bl w:val="nil"/>
            </w:tcBorders>
            <w:vAlign w:val="center"/>
          </w:tcPr>
          <w:p w14:paraId="49C42FBE">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21" w:name="_Toc27123"/>
            <w:bookmarkStart w:id="5822" w:name="_Toc20273"/>
            <w:bookmarkStart w:id="5823" w:name="_Toc695"/>
            <w:bookmarkStart w:id="5824" w:name="_Toc6910"/>
            <w:bookmarkStart w:id="5825" w:name="_Toc15845"/>
            <w:r>
              <w:rPr>
                <w:rFonts w:hint="eastAsia" w:cs="Times New Roman"/>
                <w:color w:val="auto"/>
                <w:sz w:val="21"/>
                <w:szCs w:val="21"/>
                <w:highlight w:val="none"/>
                <w:lang w:val="en-US" w:eastAsia="zh-CN"/>
              </w:rPr>
              <w:t>S,1</w:t>
            </w:r>
            <w:r>
              <w:rPr>
                <w:rFonts w:hint="default" w:ascii="Times New Roman" w:hAnsi="Times New Roman" w:cs="Times New Roman"/>
                <w:color w:val="auto"/>
                <w:sz w:val="21"/>
                <w:szCs w:val="21"/>
                <w:highlight w:val="none"/>
              </w:rPr>
              <w:t>2m</w:t>
            </w:r>
            <w:bookmarkEnd w:id="5821"/>
            <w:bookmarkEnd w:id="5822"/>
            <w:bookmarkEnd w:id="5823"/>
            <w:bookmarkEnd w:id="5824"/>
            <w:bookmarkEnd w:id="5825"/>
          </w:p>
        </w:tc>
        <w:tc>
          <w:tcPr>
            <w:tcW w:w="1615" w:type="dxa"/>
            <w:tcBorders>
              <w:tl2br w:val="nil"/>
              <w:tr2bl w:val="nil"/>
            </w:tcBorders>
            <w:vAlign w:val="center"/>
          </w:tcPr>
          <w:p w14:paraId="30C5E113">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826" w:name="_Toc11558"/>
            <w:bookmarkStart w:id="5827" w:name="_Toc1115"/>
            <w:bookmarkStart w:id="5828" w:name="_Toc13122"/>
            <w:bookmarkStart w:id="5829" w:name="_Toc6561"/>
            <w:bookmarkStart w:id="5830" w:name="_Toc15535"/>
            <w:r>
              <w:rPr>
                <w:rFonts w:hint="default" w:ascii="Times New Roman" w:hAnsi="Times New Roman" w:eastAsia="宋体" w:cs="Times New Roman"/>
                <w:color w:val="auto"/>
                <w:sz w:val="21"/>
                <w:szCs w:val="21"/>
                <w:highlight w:val="none"/>
                <w:lang w:val="en-US" w:eastAsia="zh-CN"/>
              </w:rPr>
              <w:t>超标</w:t>
            </w:r>
            <w:bookmarkEnd w:id="5826"/>
            <w:bookmarkEnd w:id="5827"/>
            <w:bookmarkEnd w:id="5828"/>
            <w:bookmarkEnd w:id="5829"/>
            <w:bookmarkEnd w:id="5830"/>
          </w:p>
        </w:tc>
        <w:tc>
          <w:tcPr>
            <w:tcW w:w="1499" w:type="dxa"/>
            <w:tcBorders>
              <w:tl2br w:val="nil"/>
              <w:tr2bl w:val="nil"/>
            </w:tcBorders>
            <w:vAlign w:val="center"/>
          </w:tcPr>
          <w:p w14:paraId="24198BAE">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301C2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89" w:type="dxa"/>
            <w:tcBorders>
              <w:tl2br w:val="nil"/>
              <w:tr2bl w:val="nil"/>
            </w:tcBorders>
            <w:vAlign w:val="center"/>
          </w:tcPr>
          <w:p w14:paraId="0D4A3C51">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31" w:name="_Toc24375"/>
            <w:bookmarkStart w:id="5832" w:name="_Toc18349"/>
            <w:bookmarkStart w:id="5833" w:name="_Toc16868"/>
            <w:bookmarkStart w:id="5834" w:name="_Toc22025"/>
            <w:bookmarkStart w:id="5835" w:name="_Toc26965"/>
            <w:r>
              <w:rPr>
                <w:rFonts w:hint="default" w:ascii="Times New Roman" w:hAnsi="Times New Roman" w:cs="Times New Roman"/>
                <w:color w:val="auto"/>
                <w:sz w:val="21"/>
                <w:szCs w:val="21"/>
                <w:highlight w:val="none"/>
              </w:rPr>
              <w:t>11</w:t>
            </w:r>
            <w:bookmarkEnd w:id="5831"/>
            <w:bookmarkEnd w:id="5832"/>
            <w:bookmarkEnd w:id="5833"/>
            <w:bookmarkEnd w:id="5834"/>
            <w:bookmarkEnd w:id="5835"/>
          </w:p>
        </w:tc>
        <w:tc>
          <w:tcPr>
            <w:tcW w:w="2007" w:type="dxa"/>
            <w:tcBorders>
              <w:tl2br w:val="nil"/>
              <w:tr2bl w:val="nil"/>
            </w:tcBorders>
            <w:vAlign w:val="center"/>
          </w:tcPr>
          <w:p w14:paraId="5C4746FF">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836" w:name="_Toc9261"/>
            <w:bookmarkStart w:id="5837" w:name="_Toc17212"/>
            <w:bookmarkStart w:id="5838" w:name="_Toc2845"/>
            <w:r>
              <w:rPr>
                <w:rFonts w:hint="default" w:ascii="Times New Roman" w:hAnsi="Times New Roman" w:eastAsia="宋体" w:cs="Times New Roman"/>
                <w:color w:val="auto"/>
                <w:sz w:val="21"/>
                <w:szCs w:val="21"/>
                <w:highlight w:val="none"/>
                <w:lang w:val="en-US" w:eastAsia="zh-CN"/>
              </w:rPr>
              <w:t>刘门沟村</w:t>
            </w:r>
            <w:bookmarkEnd w:id="5836"/>
            <w:bookmarkEnd w:id="5837"/>
            <w:bookmarkEnd w:id="5838"/>
          </w:p>
        </w:tc>
        <w:tc>
          <w:tcPr>
            <w:tcW w:w="2112" w:type="dxa"/>
            <w:tcBorders>
              <w:tl2br w:val="nil"/>
              <w:tr2bl w:val="nil"/>
            </w:tcBorders>
            <w:vAlign w:val="center"/>
          </w:tcPr>
          <w:p w14:paraId="126B6C67">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39" w:name="_Toc19060"/>
            <w:bookmarkStart w:id="5840" w:name="_Toc3725"/>
            <w:bookmarkStart w:id="5841" w:name="_Toc3690"/>
            <w:bookmarkStart w:id="5842" w:name="_Toc7437"/>
            <w:bookmarkStart w:id="5843" w:name="_Toc31604"/>
            <w:r>
              <w:rPr>
                <w:rFonts w:hint="eastAsia" w:cs="Times New Roman"/>
                <w:color w:val="auto"/>
                <w:sz w:val="21"/>
                <w:szCs w:val="21"/>
                <w:highlight w:val="none"/>
                <w:lang w:val="en-US" w:eastAsia="zh-CN"/>
              </w:rPr>
              <w:t>NE,</w:t>
            </w:r>
            <w:r>
              <w:rPr>
                <w:rFonts w:hint="default" w:ascii="Times New Roman" w:hAnsi="Times New Roman" w:cs="Times New Roman"/>
                <w:color w:val="auto"/>
                <w:sz w:val="21"/>
                <w:szCs w:val="21"/>
                <w:highlight w:val="none"/>
              </w:rPr>
              <w:t>95m</w:t>
            </w:r>
            <w:bookmarkEnd w:id="5839"/>
            <w:bookmarkEnd w:id="5840"/>
            <w:bookmarkEnd w:id="5841"/>
            <w:bookmarkEnd w:id="5842"/>
            <w:bookmarkEnd w:id="5843"/>
          </w:p>
        </w:tc>
        <w:tc>
          <w:tcPr>
            <w:tcW w:w="1615" w:type="dxa"/>
            <w:tcBorders>
              <w:tl2br w:val="nil"/>
              <w:tr2bl w:val="nil"/>
            </w:tcBorders>
            <w:shd w:val="clear" w:color="auto" w:fill="auto"/>
            <w:vAlign w:val="center"/>
          </w:tcPr>
          <w:p w14:paraId="276276D5">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844" w:name="_Toc13178"/>
            <w:bookmarkStart w:id="5845" w:name="_Toc9619"/>
            <w:bookmarkStart w:id="5846" w:name="_Toc13351"/>
            <w:r>
              <w:rPr>
                <w:rFonts w:hint="default" w:ascii="Times New Roman" w:hAnsi="Times New Roman" w:eastAsia="宋体" w:cs="Times New Roman"/>
                <w:color w:val="auto"/>
                <w:sz w:val="21"/>
                <w:szCs w:val="21"/>
                <w:highlight w:val="none"/>
                <w:lang w:val="en-US" w:eastAsia="zh-CN"/>
              </w:rPr>
              <w:t>达标</w:t>
            </w:r>
            <w:bookmarkEnd w:id="5844"/>
            <w:bookmarkEnd w:id="5845"/>
            <w:bookmarkEnd w:id="5846"/>
          </w:p>
        </w:tc>
        <w:tc>
          <w:tcPr>
            <w:tcW w:w="1499" w:type="dxa"/>
            <w:tcBorders>
              <w:tl2br w:val="nil"/>
              <w:tr2bl w:val="nil"/>
            </w:tcBorders>
            <w:shd w:val="clear" w:color="auto" w:fill="auto"/>
            <w:vAlign w:val="center"/>
          </w:tcPr>
          <w:p w14:paraId="48D4E7D0">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达标</w:t>
            </w:r>
          </w:p>
        </w:tc>
      </w:tr>
      <w:tr w14:paraId="7FF8E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17ED667A">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47" w:name="_Toc18306"/>
            <w:bookmarkStart w:id="5848" w:name="_Toc12247"/>
            <w:bookmarkStart w:id="5849" w:name="_Toc22511"/>
            <w:bookmarkStart w:id="5850" w:name="_Toc3825"/>
            <w:bookmarkStart w:id="5851" w:name="_Toc8918"/>
            <w:r>
              <w:rPr>
                <w:rFonts w:hint="default" w:ascii="Times New Roman" w:hAnsi="Times New Roman" w:cs="Times New Roman"/>
                <w:color w:val="auto"/>
                <w:sz w:val="21"/>
                <w:szCs w:val="21"/>
                <w:highlight w:val="none"/>
              </w:rPr>
              <w:t>12</w:t>
            </w:r>
            <w:bookmarkEnd w:id="5847"/>
            <w:bookmarkEnd w:id="5848"/>
            <w:bookmarkEnd w:id="5849"/>
            <w:bookmarkEnd w:id="5850"/>
            <w:bookmarkEnd w:id="5851"/>
          </w:p>
        </w:tc>
        <w:tc>
          <w:tcPr>
            <w:tcW w:w="2007" w:type="dxa"/>
            <w:tcBorders>
              <w:tl2br w:val="nil"/>
              <w:tr2bl w:val="nil"/>
            </w:tcBorders>
            <w:vAlign w:val="center"/>
          </w:tcPr>
          <w:p w14:paraId="47CF288B">
            <w:pPr>
              <w:pStyle w:val="29"/>
              <w:suppressLineNumbers w:val="0"/>
              <w:bidi w:val="0"/>
              <w:spacing w:beforeAutospacing="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bookmarkStart w:id="5852" w:name="_Toc12056"/>
            <w:bookmarkStart w:id="5853" w:name="_Toc26433"/>
            <w:bookmarkStart w:id="5854" w:name="_Toc12549"/>
            <w:r>
              <w:rPr>
                <w:rFonts w:hint="default" w:ascii="Times New Roman" w:hAnsi="Times New Roman" w:eastAsia="宋体" w:cs="Times New Roman"/>
                <w:color w:val="auto"/>
                <w:sz w:val="21"/>
                <w:szCs w:val="21"/>
                <w:highlight w:val="none"/>
                <w:lang w:val="en-US" w:eastAsia="zh-CN"/>
              </w:rPr>
              <w:t>白杨庄</w:t>
            </w:r>
            <w:bookmarkEnd w:id="5852"/>
            <w:bookmarkEnd w:id="5853"/>
            <w:bookmarkEnd w:id="5854"/>
          </w:p>
        </w:tc>
        <w:tc>
          <w:tcPr>
            <w:tcW w:w="2112" w:type="dxa"/>
            <w:tcBorders>
              <w:tl2br w:val="nil"/>
              <w:tr2bl w:val="nil"/>
            </w:tcBorders>
            <w:vAlign w:val="center"/>
          </w:tcPr>
          <w:p w14:paraId="50B61124">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55" w:name="_Toc4902"/>
            <w:bookmarkStart w:id="5856" w:name="_Toc14661"/>
            <w:bookmarkStart w:id="5857" w:name="_Toc18948"/>
            <w:bookmarkStart w:id="5858" w:name="_Toc15063"/>
            <w:bookmarkStart w:id="5859" w:name="_Toc15662"/>
            <w:r>
              <w:rPr>
                <w:rFonts w:hint="eastAsia" w:cs="Times New Roman"/>
                <w:color w:val="auto"/>
                <w:sz w:val="21"/>
                <w:szCs w:val="21"/>
                <w:highlight w:val="none"/>
                <w:lang w:val="en-US" w:eastAsia="zh-CN"/>
              </w:rPr>
              <w:t>N,32</w:t>
            </w:r>
            <w:r>
              <w:rPr>
                <w:rFonts w:hint="default" w:ascii="Times New Roman" w:hAnsi="Times New Roman" w:cs="Times New Roman"/>
                <w:color w:val="auto"/>
                <w:sz w:val="21"/>
                <w:szCs w:val="21"/>
                <w:highlight w:val="none"/>
              </w:rPr>
              <w:t>m</w:t>
            </w:r>
            <w:bookmarkEnd w:id="5855"/>
            <w:bookmarkEnd w:id="5856"/>
            <w:bookmarkEnd w:id="5857"/>
            <w:bookmarkEnd w:id="5858"/>
            <w:bookmarkEnd w:id="5859"/>
          </w:p>
        </w:tc>
        <w:tc>
          <w:tcPr>
            <w:tcW w:w="1615" w:type="dxa"/>
            <w:tcBorders>
              <w:tl2br w:val="nil"/>
              <w:tr2bl w:val="nil"/>
            </w:tcBorders>
            <w:vAlign w:val="center"/>
          </w:tcPr>
          <w:p w14:paraId="0D98D082">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860" w:name="_Toc29879"/>
            <w:bookmarkStart w:id="5861" w:name="_Toc13156"/>
            <w:bookmarkStart w:id="5862" w:name="_Toc29716"/>
            <w:r>
              <w:rPr>
                <w:rFonts w:hint="default" w:ascii="Times New Roman" w:hAnsi="Times New Roman" w:eastAsia="宋体" w:cs="Times New Roman"/>
                <w:color w:val="auto"/>
                <w:sz w:val="21"/>
                <w:szCs w:val="21"/>
                <w:highlight w:val="none"/>
                <w:lang w:val="en-US" w:eastAsia="zh-CN"/>
              </w:rPr>
              <w:t>达标</w:t>
            </w:r>
            <w:bookmarkEnd w:id="5860"/>
            <w:bookmarkEnd w:id="5861"/>
            <w:bookmarkEnd w:id="5862"/>
          </w:p>
        </w:tc>
        <w:tc>
          <w:tcPr>
            <w:tcW w:w="1499" w:type="dxa"/>
            <w:tcBorders>
              <w:tl2br w:val="nil"/>
              <w:tr2bl w:val="nil"/>
            </w:tcBorders>
            <w:vAlign w:val="center"/>
          </w:tcPr>
          <w:p w14:paraId="7165C1E5">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4210C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6C8BC03F">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63" w:name="_Toc10313"/>
            <w:bookmarkStart w:id="5864" w:name="_Toc14241"/>
            <w:bookmarkStart w:id="5865" w:name="_Toc24685"/>
            <w:bookmarkStart w:id="5866" w:name="_Toc10676"/>
            <w:bookmarkStart w:id="5867" w:name="_Toc6065"/>
            <w:r>
              <w:rPr>
                <w:rFonts w:hint="default" w:ascii="Times New Roman" w:hAnsi="Times New Roman" w:cs="Times New Roman"/>
                <w:color w:val="auto"/>
                <w:sz w:val="21"/>
                <w:szCs w:val="21"/>
                <w:highlight w:val="none"/>
              </w:rPr>
              <w:t>13</w:t>
            </w:r>
            <w:bookmarkEnd w:id="5863"/>
            <w:bookmarkEnd w:id="5864"/>
            <w:bookmarkEnd w:id="5865"/>
            <w:bookmarkEnd w:id="5866"/>
            <w:bookmarkEnd w:id="5867"/>
          </w:p>
        </w:tc>
        <w:tc>
          <w:tcPr>
            <w:tcW w:w="2007" w:type="dxa"/>
            <w:tcBorders>
              <w:tl2br w:val="nil"/>
              <w:tr2bl w:val="nil"/>
            </w:tcBorders>
            <w:vAlign w:val="center"/>
          </w:tcPr>
          <w:p w14:paraId="5CAF3341">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868" w:name="_Toc14636"/>
            <w:bookmarkStart w:id="5869" w:name="_Toc1185"/>
            <w:bookmarkStart w:id="5870" w:name="_Toc32582"/>
            <w:r>
              <w:rPr>
                <w:rFonts w:hint="default" w:ascii="Times New Roman" w:hAnsi="Times New Roman" w:eastAsia="宋体" w:cs="Times New Roman"/>
                <w:color w:val="auto"/>
                <w:sz w:val="21"/>
                <w:szCs w:val="21"/>
                <w:highlight w:val="none"/>
                <w:lang w:val="en-US" w:eastAsia="zh-CN"/>
              </w:rPr>
              <w:t>甘海村</w:t>
            </w:r>
            <w:bookmarkEnd w:id="5868"/>
            <w:bookmarkEnd w:id="5869"/>
            <w:bookmarkEnd w:id="5870"/>
          </w:p>
        </w:tc>
        <w:tc>
          <w:tcPr>
            <w:tcW w:w="2112" w:type="dxa"/>
            <w:tcBorders>
              <w:tl2br w:val="nil"/>
              <w:tr2bl w:val="nil"/>
            </w:tcBorders>
            <w:vAlign w:val="center"/>
          </w:tcPr>
          <w:p w14:paraId="16621A02">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71" w:name="_Toc4667"/>
            <w:bookmarkStart w:id="5872" w:name="_Toc16500"/>
            <w:bookmarkStart w:id="5873" w:name="_Toc29178"/>
            <w:bookmarkStart w:id="5874" w:name="_Toc16107"/>
            <w:bookmarkStart w:id="5875" w:name="_Toc26957"/>
            <w:r>
              <w:rPr>
                <w:rFonts w:hint="eastAsia" w:cs="Times New Roman"/>
                <w:color w:val="auto"/>
                <w:sz w:val="21"/>
                <w:szCs w:val="21"/>
                <w:highlight w:val="none"/>
                <w:lang w:val="en-US" w:eastAsia="zh-CN"/>
              </w:rPr>
              <w:t>N,49</w:t>
            </w:r>
            <w:r>
              <w:rPr>
                <w:rFonts w:hint="default" w:ascii="Times New Roman" w:hAnsi="Times New Roman" w:cs="Times New Roman"/>
                <w:color w:val="auto"/>
                <w:sz w:val="21"/>
                <w:szCs w:val="21"/>
                <w:highlight w:val="none"/>
              </w:rPr>
              <w:t>m</w:t>
            </w:r>
            <w:bookmarkEnd w:id="5871"/>
            <w:bookmarkEnd w:id="5872"/>
            <w:bookmarkEnd w:id="5873"/>
            <w:bookmarkEnd w:id="5874"/>
            <w:bookmarkEnd w:id="5875"/>
          </w:p>
        </w:tc>
        <w:tc>
          <w:tcPr>
            <w:tcW w:w="1615" w:type="dxa"/>
            <w:tcBorders>
              <w:tl2br w:val="nil"/>
              <w:tr2bl w:val="nil"/>
            </w:tcBorders>
            <w:vAlign w:val="center"/>
          </w:tcPr>
          <w:p w14:paraId="6F4A8BC3">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876" w:name="_Toc13166"/>
            <w:bookmarkStart w:id="5877" w:name="_Toc3223"/>
            <w:bookmarkStart w:id="5878" w:name="_Toc5271"/>
            <w:r>
              <w:rPr>
                <w:rFonts w:hint="default" w:ascii="Times New Roman" w:hAnsi="Times New Roman" w:eastAsia="宋体" w:cs="Times New Roman"/>
                <w:color w:val="auto"/>
                <w:sz w:val="21"/>
                <w:szCs w:val="21"/>
                <w:highlight w:val="none"/>
                <w:lang w:val="en-US" w:eastAsia="zh-CN"/>
              </w:rPr>
              <w:t>达标</w:t>
            </w:r>
            <w:bookmarkEnd w:id="5876"/>
            <w:bookmarkEnd w:id="5877"/>
            <w:bookmarkEnd w:id="5878"/>
          </w:p>
        </w:tc>
        <w:tc>
          <w:tcPr>
            <w:tcW w:w="1499" w:type="dxa"/>
            <w:tcBorders>
              <w:tl2br w:val="nil"/>
              <w:tr2bl w:val="nil"/>
            </w:tcBorders>
            <w:vAlign w:val="center"/>
          </w:tcPr>
          <w:p w14:paraId="20C81439">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34A47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630331B1">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79" w:name="_Toc840"/>
            <w:bookmarkStart w:id="5880" w:name="_Toc12910"/>
            <w:bookmarkStart w:id="5881" w:name="_Toc26744"/>
            <w:bookmarkStart w:id="5882" w:name="_Toc14256"/>
            <w:bookmarkStart w:id="5883" w:name="_Toc14620"/>
            <w:r>
              <w:rPr>
                <w:rFonts w:hint="default" w:ascii="Times New Roman" w:hAnsi="Times New Roman" w:cs="Times New Roman"/>
                <w:color w:val="auto"/>
                <w:sz w:val="21"/>
                <w:szCs w:val="21"/>
                <w:highlight w:val="none"/>
              </w:rPr>
              <w:t>14</w:t>
            </w:r>
            <w:bookmarkEnd w:id="5879"/>
            <w:bookmarkEnd w:id="5880"/>
            <w:bookmarkEnd w:id="5881"/>
            <w:bookmarkEnd w:id="5882"/>
            <w:bookmarkEnd w:id="5883"/>
          </w:p>
        </w:tc>
        <w:tc>
          <w:tcPr>
            <w:tcW w:w="2007" w:type="dxa"/>
            <w:tcBorders>
              <w:tl2br w:val="nil"/>
              <w:tr2bl w:val="nil"/>
            </w:tcBorders>
            <w:vAlign w:val="center"/>
          </w:tcPr>
          <w:p w14:paraId="4059B4FB">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lang w:val="en-US" w:eastAsia="zh-CN"/>
              </w:rPr>
            </w:pPr>
            <w:bookmarkStart w:id="5884" w:name="_Toc25022"/>
            <w:bookmarkStart w:id="5885" w:name="_Toc18110"/>
            <w:bookmarkStart w:id="5886" w:name="_Toc12173"/>
            <w:r>
              <w:rPr>
                <w:rFonts w:hint="default" w:ascii="Times New Roman" w:hAnsi="Times New Roman" w:eastAsia="宋体" w:cs="Times New Roman"/>
                <w:color w:val="auto"/>
                <w:sz w:val="21"/>
                <w:szCs w:val="21"/>
                <w:highlight w:val="none"/>
                <w:lang w:val="en-US" w:eastAsia="zh-CN"/>
              </w:rPr>
              <w:t>杨庄村</w:t>
            </w:r>
            <w:bookmarkEnd w:id="5884"/>
            <w:bookmarkEnd w:id="5885"/>
            <w:bookmarkEnd w:id="5886"/>
          </w:p>
        </w:tc>
        <w:tc>
          <w:tcPr>
            <w:tcW w:w="2112" w:type="dxa"/>
            <w:tcBorders>
              <w:tl2br w:val="nil"/>
              <w:tr2bl w:val="nil"/>
            </w:tcBorders>
            <w:vAlign w:val="center"/>
          </w:tcPr>
          <w:p w14:paraId="5F49EF85">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bookmarkStart w:id="5887" w:name="_Toc3559"/>
            <w:bookmarkStart w:id="5888" w:name="_Toc1575"/>
            <w:bookmarkStart w:id="5889" w:name="_Toc23202"/>
            <w:bookmarkStart w:id="5890" w:name="_Toc27272"/>
            <w:bookmarkStart w:id="5891" w:name="_Toc8559"/>
            <w:r>
              <w:rPr>
                <w:rFonts w:hint="eastAsia" w:cs="Times New Roman"/>
                <w:color w:val="auto"/>
                <w:sz w:val="21"/>
                <w:szCs w:val="21"/>
                <w:highlight w:val="none"/>
                <w:lang w:val="en-US" w:eastAsia="zh-CN"/>
              </w:rPr>
              <w:t>N,23</w:t>
            </w:r>
            <w:r>
              <w:rPr>
                <w:rFonts w:hint="default" w:ascii="Times New Roman" w:hAnsi="Times New Roman" w:cs="Times New Roman"/>
                <w:color w:val="auto"/>
                <w:sz w:val="21"/>
                <w:szCs w:val="21"/>
                <w:highlight w:val="none"/>
              </w:rPr>
              <w:t>m</w:t>
            </w:r>
            <w:bookmarkEnd w:id="5887"/>
            <w:bookmarkEnd w:id="5888"/>
            <w:bookmarkEnd w:id="5889"/>
            <w:bookmarkEnd w:id="5890"/>
            <w:bookmarkEnd w:id="5891"/>
          </w:p>
        </w:tc>
        <w:tc>
          <w:tcPr>
            <w:tcW w:w="1615" w:type="dxa"/>
            <w:tcBorders>
              <w:tl2br w:val="nil"/>
              <w:tr2bl w:val="nil"/>
            </w:tcBorders>
            <w:vAlign w:val="center"/>
          </w:tcPr>
          <w:p w14:paraId="40F80A69">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892" w:name="_Toc9800"/>
            <w:bookmarkStart w:id="5893" w:name="_Toc31639"/>
            <w:bookmarkStart w:id="5894" w:name="_Toc30587"/>
            <w:bookmarkStart w:id="5895" w:name="_Toc30975"/>
            <w:bookmarkStart w:id="5896" w:name="_Toc19657"/>
            <w:r>
              <w:rPr>
                <w:rFonts w:hint="default" w:ascii="Times New Roman" w:hAnsi="Times New Roman" w:eastAsia="宋体" w:cs="Times New Roman"/>
                <w:color w:val="auto"/>
                <w:sz w:val="21"/>
                <w:szCs w:val="21"/>
                <w:highlight w:val="none"/>
                <w:lang w:val="en-US" w:eastAsia="zh-CN"/>
              </w:rPr>
              <w:t>达标</w:t>
            </w:r>
            <w:bookmarkEnd w:id="5892"/>
            <w:bookmarkEnd w:id="5893"/>
            <w:bookmarkEnd w:id="5894"/>
            <w:bookmarkEnd w:id="5895"/>
            <w:bookmarkEnd w:id="5896"/>
          </w:p>
        </w:tc>
        <w:tc>
          <w:tcPr>
            <w:tcW w:w="1499" w:type="dxa"/>
            <w:tcBorders>
              <w:tl2br w:val="nil"/>
              <w:tr2bl w:val="nil"/>
            </w:tcBorders>
            <w:vAlign w:val="center"/>
          </w:tcPr>
          <w:p w14:paraId="3385515F">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超标</w:t>
            </w:r>
          </w:p>
        </w:tc>
      </w:tr>
      <w:tr w14:paraId="6413C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6E4448DC">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5897" w:name="_Toc14335"/>
            <w:bookmarkStart w:id="5898" w:name="_Toc28118"/>
            <w:bookmarkStart w:id="5899" w:name="_Toc23050"/>
            <w:r>
              <w:rPr>
                <w:rFonts w:hint="default" w:ascii="Times New Roman" w:hAnsi="Times New Roman" w:eastAsia="宋体" w:cs="Times New Roman"/>
                <w:color w:val="auto"/>
                <w:sz w:val="21"/>
                <w:szCs w:val="21"/>
                <w:highlight w:val="none"/>
                <w:lang w:val="en-US" w:eastAsia="zh-CN"/>
              </w:rPr>
              <w:t>15</w:t>
            </w:r>
            <w:bookmarkEnd w:id="5897"/>
            <w:bookmarkEnd w:id="5898"/>
            <w:bookmarkEnd w:id="5899"/>
          </w:p>
        </w:tc>
        <w:tc>
          <w:tcPr>
            <w:tcW w:w="2007" w:type="dxa"/>
            <w:tcBorders>
              <w:tl2br w:val="nil"/>
              <w:tr2bl w:val="nil"/>
            </w:tcBorders>
            <w:vAlign w:val="center"/>
          </w:tcPr>
          <w:p w14:paraId="4B8BB078">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bookmarkStart w:id="5900" w:name="_Toc24766"/>
            <w:bookmarkStart w:id="5901" w:name="_Toc15558"/>
            <w:bookmarkStart w:id="5902" w:name="_Toc7614"/>
            <w:r>
              <w:rPr>
                <w:rFonts w:hint="default" w:ascii="Times New Roman" w:hAnsi="Times New Roman" w:eastAsia="宋体" w:cs="Times New Roman"/>
                <w:color w:val="auto"/>
                <w:sz w:val="21"/>
                <w:szCs w:val="21"/>
                <w:highlight w:val="none"/>
                <w:lang w:val="en-US" w:eastAsia="zh-CN"/>
              </w:rPr>
              <w:t>古城镇田庄教学点</w:t>
            </w:r>
            <w:bookmarkEnd w:id="5900"/>
            <w:bookmarkEnd w:id="5901"/>
            <w:bookmarkEnd w:id="5902"/>
          </w:p>
        </w:tc>
        <w:tc>
          <w:tcPr>
            <w:tcW w:w="2112" w:type="dxa"/>
            <w:tcBorders>
              <w:tl2br w:val="nil"/>
              <w:tr2bl w:val="nil"/>
            </w:tcBorders>
            <w:vAlign w:val="center"/>
          </w:tcPr>
          <w:p w14:paraId="6535E64A">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eastAsia" w:cs="Times New Roman"/>
                <w:color w:val="auto"/>
                <w:sz w:val="21"/>
                <w:szCs w:val="21"/>
                <w:highlight w:val="none"/>
                <w:lang w:val="en-US" w:eastAsia="zh-CN"/>
              </w:rPr>
            </w:pPr>
            <w:bookmarkStart w:id="5903" w:name="_Toc3150"/>
            <w:bookmarkStart w:id="5904" w:name="_Toc6735"/>
            <w:bookmarkStart w:id="5905" w:name="_Toc12707"/>
            <w:r>
              <w:rPr>
                <w:rFonts w:hint="eastAsia" w:cs="Times New Roman"/>
                <w:color w:val="auto"/>
                <w:sz w:val="21"/>
                <w:szCs w:val="21"/>
                <w:highlight w:val="none"/>
                <w:lang w:val="en-US" w:eastAsia="zh-CN"/>
              </w:rPr>
              <w:t>N,176</w:t>
            </w:r>
            <w:r>
              <w:rPr>
                <w:rFonts w:hint="default" w:ascii="Times New Roman" w:hAnsi="Times New Roman" w:cs="Times New Roman"/>
                <w:color w:val="auto"/>
                <w:sz w:val="21"/>
                <w:szCs w:val="21"/>
                <w:highlight w:val="none"/>
              </w:rPr>
              <w:t>m</w:t>
            </w:r>
            <w:bookmarkEnd w:id="5903"/>
            <w:bookmarkEnd w:id="5904"/>
            <w:bookmarkEnd w:id="5905"/>
          </w:p>
        </w:tc>
        <w:tc>
          <w:tcPr>
            <w:tcW w:w="1615" w:type="dxa"/>
            <w:tcBorders>
              <w:tl2br w:val="nil"/>
              <w:tr2bl w:val="nil"/>
            </w:tcBorders>
            <w:vAlign w:val="center"/>
          </w:tcPr>
          <w:p w14:paraId="179C4266">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906" w:name="_Toc27306"/>
            <w:bookmarkStart w:id="5907" w:name="_Toc6267"/>
            <w:r>
              <w:rPr>
                <w:rFonts w:hint="default" w:ascii="Times New Roman" w:hAnsi="Times New Roman" w:eastAsia="宋体" w:cs="Times New Roman"/>
                <w:color w:val="auto"/>
                <w:sz w:val="21"/>
                <w:szCs w:val="21"/>
                <w:highlight w:val="none"/>
                <w:lang w:val="en-US" w:eastAsia="zh-CN"/>
              </w:rPr>
              <w:t>达标</w:t>
            </w:r>
            <w:bookmarkEnd w:id="5906"/>
            <w:bookmarkEnd w:id="5907"/>
          </w:p>
        </w:tc>
        <w:tc>
          <w:tcPr>
            <w:tcW w:w="1499" w:type="dxa"/>
            <w:tcBorders>
              <w:tl2br w:val="nil"/>
              <w:tr2bl w:val="nil"/>
            </w:tcBorders>
            <w:vAlign w:val="center"/>
          </w:tcPr>
          <w:p w14:paraId="1885E54F">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2C89D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89" w:type="dxa"/>
            <w:tcBorders>
              <w:tl2br w:val="nil"/>
              <w:tr2bl w:val="nil"/>
            </w:tcBorders>
            <w:vAlign w:val="center"/>
          </w:tcPr>
          <w:p w14:paraId="797701EF">
            <w:pPr>
              <w:pStyle w:val="29"/>
              <w:suppressLineNumbers w:val="0"/>
              <w:bidi w:val="0"/>
              <w:spacing w:beforeAutospacing="0" w:afterAutospacing="0"/>
              <w:ind w:left="0" w:leftChars="0" w:right="0" w:rightChars="0" w:firstLine="0" w:firstLineChars="0"/>
              <w:rPr>
                <w:rFonts w:hint="default" w:ascii="Times New Roman" w:hAnsi="Times New Roman" w:cs="Times New Roman"/>
                <w:color w:val="auto"/>
                <w:sz w:val="21"/>
                <w:szCs w:val="21"/>
                <w:highlight w:val="none"/>
              </w:rPr>
            </w:pPr>
            <w:bookmarkStart w:id="5908" w:name="_Toc26517"/>
            <w:bookmarkStart w:id="5909" w:name="_Toc28643"/>
            <w:bookmarkStart w:id="5910" w:name="_Toc697"/>
            <w:r>
              <w:rPr>
                <w:rFonts w:hint="default" w:ascii="Times New Roman" w:hAnsi="Times New Roman" w:eastAsia="宋体" w:cs="Times New Roman"/>
                <w:color w:val="auto"/>
                <w:sz w:val="21"/>
                <w:szCs w:val="21"/>
                <w:highlight w:val="none"/>
                <w:lang w:val="en-US" w:eastAsia="zh-CN"/>
              </w:rPr>
              <w:t>16</w:t>
            </w:r>
            <w:bookmarkEnd w:id="5908"/>
            <w:bookmarkEnd w:id="5909"/>
            <w:bookmarkEnd w:id="5910"/>
          </w:p>
        </w:tc>
        <w:tc>
          <w:tcPr>
            <w:tcW w:w="2007" w:type="dxa"/>
            <w:tcBorders>
              <w:tl2br w:val="nil"/>
              <w:tr2bl w:val="nil"/>
            </w:tcBorders>
            <w:vAlign w:val="center"/>
          </w:tcPr>
          <w:p w14:paraId="63B4BF44">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bookmarkStart w:id="5911" w:name="_Toc28941"/>
            <w:bookmarkStart w:id="5912" w:name="_Toc11561"/>
            <w:bookmarkStart w:id="5913" w:name="_Toc3744"/>
            <w:r>
              <w:rPr>
                <w:rFonts w:hint="default" w:ascii="Times New Roman" w:hAnsi="Times New Roman" w:eastAsia="宋体" w:cs="Times New Roman"/>
                <w:color w:val="auto"/>
                <w:sz w:val="21"/>
                <w:szCs w:val="21"/>
                <w:highlight w:val="none"/>
                <w:lang w:val="en-US" w:eastAsia="zh-CN"/>
              </w:rPr>
              <w:t>古城镇川口教学点</w:t>
            </w:r>
            <w:bookmarkEnd w:id="5911"/>
            <w:bookmarkEnd w:id="5912"/>
            <w:bookmarkEnd w:id="5913"/>
          </w:p>
        </w:tc>
        <w:tc>
          <w:tcPr>
            <w:tcW w:w="2112" w:type="dxa"/>
            <w:tcBorders>
              <w:tl2br w:val="nil"/>
              <w:tr2bl w:val="nil"/>
            </w:tcBorders>
            <w:vAlign w:val="center"/>
          </w:tcPr>
          <w:p w14:paraId="1CD5C59F">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eastAsia" w:cs="Times New Roman"/>
                <w:color w:val="auto"/>
                <w:sz w:val="21"/>
                <w:szCs w:val="21"/>
                <w:highlight w:val="none"/>
                <w:lang w:val="en-US" w:eastAsia="zh-CN"/>
              </w:rPr>
            </w:pPr>
            <w:bookmarkStart w:id="5914" w:name="_Toc31978"/>
            <w:bookmarkStart w:id="5915" w:name="_Toc26166"/>
            <w:bookmarkStart w:id="5916" w:name="_Toc8193"/>
            <w:r>
              <w:rPr>
                <w:rFonts w:hint="eastAsia" w:cs="Times New Roman"/>
                <w:color w:val="auto"/>
                <w:sz w:val="21"/>
                <w:szCs w:val="21"/>
                <w:highlight w:val="none"/>
                <w:lang w:val="en-US" w:eastAsia="zh-CN"/>
              </w:rPr>
              <w:t>N,181</w:t>
            </w:r>
            <w:r>
              <w:rPr>
                <w:rFonts w:hint="default" w:ascii="Times New Roman" w:hAnsi="Times New Roman" w:cs="Times New Roman"/>
                <w:color w:val="auto"/>
                <w:sz w:val="21"/>
                <w:szCs w:val="21"/>
                <w:highlight w:val="none"/>
              </w:rPr>
              <w:t>m</w:t>
            </w:r>
            <w:bookmarkEnd w:id="5914"/>
            <w:bookmarkEnd w:id="5915"/>
            <w:bookmarkEnd w:id="5916"/>
          </w:p>
        </w:tc>
        <w:tc>
          <w:tcPr>
            <w:tcW w:w="1615" w:type="dxa"/>
            <w:tcBorders>
              <w:tl2br w:val="nil"/>
              <w:tr2bl w:val="nil"/>
            </w:tcBorders>
            <w:vAlign w:val="center"/>
          </w:tcPr>
          <w:p w14:paraId="04D54D1F">
            <w:pPr>
              <w:pStyle w:val="29"/>
              <w:keepNext w:val="0"/>
              <w:keepLines w:val="0"/>
              <w:pageBreakBefore w:val="0"/>
              <w:suppressLineNumbers w:val="0"/>
              <w:kinsoku/>
              <w:wordWrap/>
              <w:autoSpaceDE/>
              <w:autoSpaceDN/>
              <w:bidi w:val="0"/>
              <w:spacing w:beforeAutospacing="0" w:afterAutospacing="0"/>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bookmarkStart w:id="5917" w:name="_Toc6281"/>
            <w:bookmarkStart w:id="5918" w:name="_Toc3324"/>
            <w:r>
              <w:rPr>
                <w:rFonts w:hint="default" w:ascii="Times New Roman" w:hAnsi="Times New Roman" w:eastAsia="宋体" w:cs="Times New Roman"/>
                <w:color w:val="auto"/>
                <w:sz w:val="21"/>
                <w:szCs w:val="21"/>
                <w:highlight w:val="none"/>
                <w:lang w:val="en-US" w:eastAsia="zh-CN"/>
              </w:rPr>
              <w:t>达标</w:t>
            </w:r>
            <w:bookmarkEnd w:id="5917"/>
            <w:bookmarkEnd w:id="5918"/>
          </w:p>
        </w:tc>
        <w:tc>
          <w:tcPr>
            <w:tcW w:w="1499" w:type="dxa"/>
            <w:tcBorders>
              <w:tl2br w:val="nil"/>
              <w:tr2bl w:val="nil"/>
            </w:tcBorders>
            <w:vAlign w:val="center"/>
          </w:tcPr>
          <w:p w14:paraId="53BFC61D">
            <w:pPr>
              <w:keepNext w:val="0"/>
              <w:keepLines w:val="0"/>
              <w:pageBreakBefore w:val="0"/>
              <w:suppressLineNumbers w:val="0"/>
              <w:kinsoku/>
              <w:wordWrap/>
              <w:autoSpaceDE/>
              <w:autoSpaceDN/>
              <w:bidi w:val="0"/>
              <w:spacing w:before="0" w:beforeAutospacing="0" w:after="0" w:afterAutospacing="0"/>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14:paraId="0FDBCB5C">
      <w:pPr>
        <w:bidi w:val="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由上表可知，施工期内机械作业噪声会使评价范围内部分敏感点噪声值超标，当多种机械同时作业的情况下，噪声将显著增加。因此，在临近敏感点施工时，应尽量避免多台施工机械同时施工，并禁止夜间施工；因施工工艺和其他因素等要求必须进行夜间施工时，须取得地方生态环境主管部门同意，并在施工</w:t>
      </w:r>
      <w:r>
        <w:rPr>
          <w:rFonts w:hint="default" w:ascii="Times New Roman" w:hAnsi="Times New Roman" w:eastAsia="宋体" w:cs="Times New Roman"/>
          <w:color w:val="auto"/>
          <w:sz w:val="24"/>
          <w:szCs w:val="24"/>
          <w:highlight w:val="none"/>
          <w:lang w:eastAsia="zh-CN"/>
        </w:rPr>
        <w:t>现场设置公告牌，发布公告及投诉电话，最大限度地争取受影响民众支持和谅解。</w:t>
      </w:r>
    </w:p>
    <w:p w14:paraId="38BBD3DC">
      <w:pPr>
        <w:bidi w:val="0"/>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eastAsia="zh-CN"/>
        </w:rPr>
        <w:t>针对预测超标的</w:t>
      </w:r>
      <w:r>
        <w:rPr>
          <w:rFonts w:hint="eastAsia" w:ascii="Times New Roman" w:hAnsi="Times New Roman" w:eastAsia="宋体" w:cs="Times New Roman"/>
          <w:color w:val="auto"/>
          <w:sz w:val="24"/>
          <w:szCs w:val="24"/>
          <w:highlight w:val="none"/>
          <w:lang w:eastAsia="zh-CN"/>
        </w:rPr>
        <w:t>沙河村和川口村施工区域设置</w:t>
      </w:r>
      <w:r>
        <w:rPr>
          <w:rFonts w:hint="default" w:ascii="Times New Roman" w:hAnsi="Times New Roman" w:eastAsia="宋体" w:cs="Times New Roman"/>
          <w:color w:val="auto"/>
          <w:sz w:val="24"/>
          <w:szCs w:val="24"/>
          <w:highlight w:val="none"/>
          <w:lang w:eastAsia="zh-CN"/>
        </w:rPr>
        <w:t>高效声屏障，在其邻近的施工场地边界设置高效直立式声屏障。采用顶部带折臂（T型或弧形）的直立式结构，设计高度为3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eastAsia="zh-CN"/>
        </w:rPr>
        <w:t>，以有效阻挡和衍射噪声。面板采用金属吸隔声板（镀锌钢板/铝板，内填离心玻璃棉），背板为金属板，确保其平均隔声量（TL）≥25dB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，降噪系数（NRC）≥0.80。屏障长度须完全覆盖噪声源至敏感点的投影区域，并在两端各延长至少20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eastAsia="zh-CN"/>
        </w:rPr>
        <w:t>，形成有效的声影区，确保隔声效果。</w:t>
      </w:r>
      <w:r>
        <w:rPr>
          <w:rFonts w:hint="eastAsia" w:ascii="Times New Roman" w:hAnsi="Times New Roman" w:eastAsia="宋体" w:cs="Times New Roman"/>
          <w:color w:val="auto"/>
          <w:sz w:val="24"/>
          <w:szCs w:val="24"/>
          <w:highlight w:val="none"/>
          <w:lang w:eastAsia="zh-CN"/>
        </w:rPr>
        <w:t>采用上述措施后，上述两处村庄噪声将</w:t>
      </w:r>
      <w:r>
        <w:rPr>
          <w:rFonts w:hint="default" w:ascii="Times New Roman" w:hAnsi="Times New Roman" w:cs="Times New Roman"/>
          <w:color w:val="auto"/>
          <w:sz w:val="24"/>
          <w:szCs w:val="24"/>
          <w:highlight w:val="none"/>
          <w:lang w:eastAsia="zh-CN"/>
        </w:rPr>
        <w:t>达到标准限值（昼间70dB(A</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、夜间55dB(A</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w:t>
      </w:r>
    </w:p>
    <w:p w14:paraId="7D52E132">
      <w:pPr>
        <w:pStyle w:val="7"/>
        <w:bidi w:val="0"/>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eastAsia="zh-CN"/>
        </w:rPr>
        <w:t>6.3.1.2交通运输噪声</w:t>
      </w:r>
    </w:p>
    <w:p w14:paraId="0E9B6691">
      <w:pP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交通运输噪声主要来自于自卸汽车、机动翻斗车等运输车辆，发生在施工区、施工营地、料场等之间的施工道路和永久道路上。类比同类工程，施工期运输道路沿线噪声一般将达到70～90dB（A），根据噪声衰减规律，距离运输车辆40m以外区域能够达到《建筑施工场界环境噪声排放标准》（</w:t>
      </w:r>
      <w:r>
        <w:rPr>
          <w:rFonts w:hint="eastAsia" w:cs="Times New Roman"/>
          <w:color w:val="auto"/>
          <w:sz w:val="24"/>
          <w:szCs w:val="24"/>
          <w:highlight w:val="none"/>
          <w:lang w:eastAsia="zh-CN"/>
        </w:rPr>
        <w:t>GB12523-2025</w:t>
      </w:r>
      <w:r>
        <w:rPr>
          <w:rFonts w:hint="default" w:ascii="Times New Roman" w:hAnsi="Times New Roman" w:cs="Times New Roman"/>
          <w:color w:val="auto"/>
          <w:sz w:val="24"/>
          <w:szCs w:val="24"/>
          <w:highlight w:val="none"/>
          <w:lang w:eastAsia="zh-CN"/>
        </w:rPr>
        <w:t>）。根据现场调查，交通线路两侧的敏感点主要是村庄，建议施工运输车辆经过敏感点及施工生活区附近道路时，禁止鸣喇叭，减速慢行，尽量减少车辆运输噪声对居民的影响。评价认为，在采取相应的噪声减缓措施后，车辆运输</w:t>
      </w:r>
      <w:r>
        <w:rPr>
          <w:rFonts w:hint="eastAsia" w:cs="Times New Roman"/>
          <w:color w:val="auto"/>
          <w:sz w:val="24"/>
          <w:szCs w:val="24"/>
          <w:highlight w:val="none"/>
          <w:lang w:eastAsia="zh-CN"/>
        </w:rPr>
        <w:t>噪声</w:t>
      </w:r>
      <w:r>
        <w:rPr>
          <w:rFonts w:hint="default" w:ascii="Times New Roman" w:hAnsi="Times New Roman" w:cs="Times New Roman"/>
          <w:color w:val="auto"/>
          <w:sz w:val="24"/>
          <w:szCs w:val="24"/>
          <w:highlight w:val="none"/>
          <w:lang w:eastAsia="zh-CN"/>
        </w:rPr>
        <w:t>不会对道路周围敏感点产生大的影响。</w:t>
      </w:r>
    </w:p>
    <w:p w14:paraId="6925B498">
      <w:pP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综上所述，施工机械设备噪声主要对现场施工人员影响较大，对周围敏感点影响较小，考虑工程施工时间短，施工工区分散，因此，施工机械噪声不会对区域声环境产生大的影响；通过控制车流量和行车速度，施工车辆经过敏感点及施工生活区附近道路时，禁止鸣笛、减速慢行，尽量减少车辆运输噪声对声环境的影响。综上考虑，评价认为施工期对周围声环境不会产生明显影响。</w:t>
      </w:r>
    </w:p>
    <w:p w14:paraId="1F1CC74E">
      <w:pPr>
        <w:pStyle w:val="6"/>
        <w:bidi w:val="0"/>
        <w:rPr>
          <w:rFonts w:hint="default" w:ascii="Times New Roman" w:hAnsi="Times New Roman" w:cs="Times New Roman"/>
          <w:color w:val="auto"/>
          <w:sz w:val="28"/>
          <w:szCs w:val="28"/>
          <w:highlight w:val="none"/>
          <w:lang w:eastAsia="zh-CN"/>
        </w:rPr>
      </w:pPr>
      <w:bookmarkStart w:id="5919" w:name="_Toc21607"/>
      <w:bookmarkStart w:id="5920" w:name="_Toc22902"/>
      <w:bookmarkStart w:id="5921" w:name="_Toc31333"/>
      <w:r>
        <w:rPr>
          <w:rFonts w:hint="default" w:ascii="Times New Roman" w:hAnsi="Times New Roman" w:cs="Times New Roman"/>
          <w:color w:val="auto"/>
          <w:sz w:val="28"/>
          <w:szCs w:val="28"/>
          <w:highlight w:val="none"/>
          <w:lang w:eastAsia="zh-CN"/>
        </w:rPr>
        <w:t>6.3.2运营期声环境影响评价</w:t>
      </w:r>
      <w:bookmarkEnd w:id="5919"/>
      <w:bookmarkEnd w:id="5920"/>
      <w:bookmarkEnd w:id="5921"/>
    </w:p>
    <w:p w14:paraId="6E99736B">
      <w:pPr>
        <w:rPr>
          <w:rFonts w:hint="default"/>
          <w:color w:val="auto"/>
          <w:highlight w:val="none"/>
          <w:lang w:val="en-US" w:eastAsia="zh-CN"/>
        </w:rPr>
      </w:pPr>
      <w:r>
        <w:rPr>
          <w:rFonts w:hint="eastAsia"/>
          <w:color w:val="auto"/>
          <w:highlight w:val="none"/>
          <w:lang w:val="en-US" w:eastAsia="zh-CN"/>
        </w:rPr>
        <w:t>项目运营期不涉及噪声，对声环境无影响。</w:t>
      </w:r>
    </w:p>
    <w:p w14:paraId="5A98FD68">
      <w:pPr>
        <w:pStyle w:val="4"/>
        <w:bidi w:val="0"/>
        <w:rPr>
          <w:rFonts w:hint="default" w:ascii="Times New Roman" w:hAnsi="Times New Roman" w:cs="Times New Roman"/>
          <w:color w:val="auto"/>
          <w:sz w:val="28"/>
          <w:szCs w:val="28"/>
          <w:highlight w:val="none"/>
          <w:lang w:eastAsia="zh-CN"/>
        </w:rPr>
      </w:pPr>
      <w:bookmarkStart w:id="5922" w:name="_Toc25843"/>
      <w:bookmarkStart w:id="5923" w:name="_Toc17547"/>
      <w:bookmarkStart w:id="5924" w:name="_Toc32260"/>
      <w:bookmarkStart w:id="5925" w:name="_Toc30025"/>
      <w:r>
        <w:rPr>
          <w:rFonts w:hint="default" w:ascii="Times New Roman" w:hAnsi="Times New Roman" w:cs="Times New Roman"/>
          <w:color w:val="auto"/>
          <w:sz w:val="28"/>
          <w:szCs w:val="28"/>
          <w:highlight w:val="none"/>
          <w:lang w:eastAsia="zh-CN"/>
        </w:rPr>
        <w:t>6.4地下水环境影响评价</w:t>
      </w:r>
      <w:bookmarkEnd w:id="5922"/>
      <w:bookmarkEnd w:id="5923"/>
      <w:bookmarkEnd w:id="5924"/>
      <w:bookmarkEnd w:id="5925"/>
    </w:p>
    <w:p w14:paraId="290F3369">
      <w:pPr>
        <w:bidi w:val="0"/>
        <w:rPr>
          <w:rFonts w:hint="default" w:ascii="Times New Roman" w:hAnsi="Times New Roman" w:eastAsia="宋体" w:cs="Times New Roman"/>
          <w:color w:val="auto"/>
          <w:highlight w:val="none"/>
          <w:lang w:val="en-US" w:eastAsia="zh-CN"/>
        </w:rPr>
      </w:pPr>
      <w:bookmarkStart w:id="5926" w:name="_Toc32597"/>
      <w:bookmarkStart w:id="5927" w:name="_Toc21857"/>
      <w:r>
        <w:rPr>
          <w:rFonts w:hint="default" w:ascii="Times New Roman" w:hAnsi="Times New Roman" w:cs="Times New Roman"/>
          <w:color w:val="auto"/>
          <w:highlight w:val="none"/>
        </w:rPr>
        <w:t>为充分了解评价区水文地质条件，本次评价在现场踏勘调查的基础上，收集了评价区及周边的水文地质勘查资料，在此基础上，开展</w:t>
      </w:r>
      <w:r>
        <w:rPr>
          <w:rFonts w:hint="default" w:ascii="Times New Roman" w:hAnsi="Times New Roman" w:cs="Times New Roman"/>
          <w:color w:val="auto"/>
          <w:highlight w:val="none"/>
          <w:lang w:eastAsia="zh-CN"/>
        </w:rPr>
        <w:t>地下水</w:t>
      </w:r>
      <w:r>
        <w:rPr>
          <w:rFonts w:hint="default" w:ascii="Times New Roman" w:hAnsi="Times New Roman" w:cs="Times New Roman"/>
          <w:color w:val="auto"/>
          <w:highlight w:val="none"/>
        </w:rPr>
        <w:t>环境影响评价，分析拟建工程建设对区域</w:t>
      </w:r>
      <w:r>
        <w:rPr>
          <w:rFonts w:hint="default" w:ascii="Times New Roman" w:hAnsi="Times New Roman" w:cs="Times New Roman"/>
          <w:color w:val="auto"/>
          <w:highlight w:val="none"/>
          <w:lang w:eastAsia="zh-CN"/>
        </w:rPr>
        <w:t>地下水</w:t>
      </w:r>
      <w:r>
        <w:rPr>
          <w:rFonts w:hint="default" w:ascii="Times New Roman" w:hAnsi="Times New Roman" w:cs="Times New Roman"/>
          <w:color w:val="auto"/>
          <w:highlight w:val="none"/>
        </w:rPr>
        <w:t>环境的影响，提出避免或减缓不利影响的措施</w:t>
      </w:r>
      <w:r>
        <w:rPr>
          <w:rFonts w:hint="eastAsia" w:cs="Times New Roman"/>
          <w:color w:val="auto"/>
          <w:highlight w:val="none"/>
          <w:lang w:eastAsia="zh-CN"/>
        </w:rPr>
        <w:t>。</w:t>
      </w:r>
    </w:p>
    <w:p w14:paraId="4A3A9691">
      <w:pPr>
        <w:pStyle w:val="6"/>
        <w:bidi w:val="0"/>
        <w:rPr>
          <w:rFonts w:hint="default" w:ascii="Times New Roman" w:hAnsi="Times New Roman" w:cs="Times New Roman"/>
          <w:color w:val="auto"/>
          <w:highlight w:val="none"/>
        </w:rPr>
      </w:pPr>
      <w:bookmarkStart w:id="5928" w:name="_Toc12874"/>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.4.1</w:t>
      </w:r>
      <w:r>
        <w:rPr>
          <w:rFonts w:hint="default" w:ascii="Times New Roman" w:hAnsi="Times New Roman" w:cs="Times New Roman"/>
          <w:color w:val="auto"/>
          <w:highlight w:val="none"/>
        </w:rPr>
        <w:t>地质与水文地质概况</w:t>
      </w:r>
      <w:bookmarkEnd w:id="5928"/>
    </w:p>
    <w:p w14:paraId="1C774D3E">
      <w:pPr>
        <w:pStyle w:val="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.4.1.1区域水文地质条件</w:t>
      </w:r>
    </w:p>
    <w:p w14:paraId="02D2C604">
      <w:pPr>
        <w:pStyle w:val="7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baseline"/>
        <w:rPr>
          <w:rFonts w:hint="default" w:ascii="Times New Roman" w:hAnsi="Times New Roman" w:cs="Times New Roman"/>
          <w:snapToGrid w:val="0"/>
          <w:color w:val="auto"/>
          <w:highlight w:val="none"/>
          <w:lang w:eastAsia="zh-CN"/>
        </w:rPr>
      </w:pPr>
      <w:r>
        <w:rPr>
          <w:rFonts w:hint="default" w:ascii="Times New Roman" w:hAnsi="Times New Roman" w:cs="Times New Roman"/>
          <w:snapToGrid w:val="0"/>
          <w:color w:val="auto"/>
          <w:highlight w:val="none"/>
          <w:lang w:eastAsia="zh-CN"/>
        </w:rPr>
        <w:t>⑴区域水文环境地质条件</w:t>
      </w:r>
    </w:p>
    <w:p w14:paraId="57334560">
      <w:pPr>
        <w:adjustRightInd w:val="0"/>
        <w:snapToGrid w:val="0"/>
        <w:spacing w:line="360" w:lineRule="auto"/>
        <w:ind w:firstLine="480" w:firstLineChars="200"/>
        <w:rPr>
          <w:rFonts w:hint="default" w:ascii="Times New Roman" w:hAnsi="Times New Roman" w:cs="Times New Roman"/>
          <w:color w:val="auto"/>
          <w:szCs w:val="22"/>
          <w:highlight w:val="none"/>
          <w:lang w:eastAsia="zh-CN"/>
        </w:rPr>
      </w:pPr>
      <w:r>
        <w:rPr>
          <w:rFonts w:hint="default" w:ascii="Times New Roman" w:hAnsi="Times New Roman" w:cs="Times New Roman"/>
          <w:color w:val="auto"/>
          <w:szCs w:val="22"/>
          <w:highlight w:val="none"/>
          <w:lang w:eastAsia="zh-CN"/>
        </w:rPr>
        <w:t>彭阳县全境位于中朝准地台与昆仑地槽褶皱区的过渡地带，次一级构造单元包括鄂尔多斯西缘拗陷带和鄂尔多斯台拗。彭阳县城</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王洼以西属鄂尔多斯西缘拗陷带；彭阳县城</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王洼以东地区为鄂尔多斯台拗，属华北型地台沉积，主要拗陷时期为中生代，呈大型内陆断陷盆地，沉积了巨厚的中生代地层。</w:t>
      </w:r>
    </w:p>
    <w:p w14:paraId="15BF30D9">
      <w:pPr>
        <w:adjustRightInd w:val="0"/>
        <w:snapToGrid w:val="0"/>
        <w:spacing w:line="360" w:lineRule="auto"/>
        <w:ind w:firstLine="480" w:firstLineChars="200"/>
        <w:rPr>
          <w:rFonts w:hint="default" w:ascii="Times New Roman" w:hAnsi="Times New Roman" w:cs="Times New Roman"/>
          <w:color w:val="auto"/>
          <w:szCs w:val="22"/>
          <w:highlight w:val="none"/>
          <w:lang w:eastAsia="zh-CN"/>
        </w:rPr>
      </w:pPr>
      <w:r>
        <w:rPr>
          <w:rFonts w:hint="default" w:ascii="Times New Roman" w:hAnsi="Times New Roman" w:cs="Times New Roman"/>
          <w:color w:val="auto"/>
          <w:szCs w:val="22"/>
          <w:highlight w:val="none"/>
          <w:lang w:eastAsia="zh-CN"/>
        </w:rPr>
        <w:t>彭阳县境内地质构造较复杂。褶皱构造有河川</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新集向斜、谢家寨背斜、罗洼</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沟口隆起（又称</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南北古脊梁</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）等；彭阳县境内有王洼-沟口大断裂、彭阳</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红河大断裂、黄家河</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店洼大断裂、炭山-蒿店大断裂、银洞沟大断裂等大断裂构造，其中，彭阳</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红河断裂沿石岔、彭阳县城东、红河西呈南北向发育。</w:t>
      </w:r>
    </w:p>
    <w:p w14:paraId="55567A95">
      <w:pPr>
        <w:adjustRightInd w:val="0"/>
        <w:snapToGrid w:val="0"/>
        <w:spacing w:line="360" w:lineRule="auto"/>
        <w:ind w:firstLine="480" w:firstLineChars="200"/>
        <w:rPr>
          <w:rFonts w:hint="default" w:ascii="Times New Roman" w:hAnsi="Times New Roman" w:cs="Times New Roman"/>
          <w:color w:val="auto"/>
          <w:szCs w:val="22"/>
          <w:highlight w:val="none"/>
          <w:lang w:eastAsia="zh-CN"/>
        </w:rPr>
      </w:pPr>
      <w:r>
        <w:rPr>
          <w:rFonts w:hint="default" w:ascii="Times New Roman" w:hAnsi="Times New Roman" w:cs="Times New Roman"/>
          <w:color w:val="auto"/>
          <w:szCs w:val="22"/>
          <w:highlight w:val="none"/>
          <w:lang w:eastAsia="zh-CN"/>
        </w:rPr>
        <w:t>罗洼</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沟口隆起包括罗洼、交岔、沟口地区，东西两侧分别以基底断裂为界，自北向南逐渐倾伏，该隆起又称</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南北古脊梁</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南北古脊梁</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由下古生界灰岩、石英岩等构成，为走向南北的向斜，赋存第四系底部砂岩和下白垩系底部砂岩，储水条件良好。王洼一沟口、彭阳一红河大断裂，与</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南北古陆梁</w:t>
      </w:r>
      <w:r>
        <w:rPr>
          <w:rFonts w:hint="eastAsia" w:cs="Times New Roman"/>
          <w:color w:val="auto"/>
          <w:szCs w:val="22"/>
          <w:highlight w:val="none"/>
          <w:lang w:eastAsia="zh-CN"/>
        </w:rPr>
        <w:t>”</w:t>
      </w:r>
      <w:r>
        <w:rPr>
          <w:rFonts w:hint="default" w:ascii="Times New Roman" w:hAnsi="Times New Roman" w:cs="Times New Roman"/>
          <w:color w:val="auto"/>
          <w:szCs w:val="22"/>
          <w:highlight w:val="none"/>
          <w:lang w:eastAsia="zh-CN"/>
        </w:rPr>
        <w:t>之间形成断陷构造，横截地下水流，使地下水形成侵润曲线和南北向延伸的阶梯，在地势低洼的茹河中游和红河中游形成小面积自流水区。</w:t>
      </w:r>
    </w:p>
    <w:p w14:paraId="454650B1">
      <w:pPr>
        <w:adjustRightInd w:val="0"/>
        <w:snapToGrid w:val="0"/>
        <w:spacing w:line="360" w:lineRule="auto"/>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项目</w:t>
      </w:r>
      <w:r>
        <w:rPr>
          <w:rFonts w:hint="default" w:ascii="Times New Roman" w:hAnsi="Times New Roman" w:cs="Times New Roman"/>
          <w:color w:val="auto"/>
          <w:highlight w:val="none"/>
        </w:rPr>
        <w:t>所在区域地下水主要为第四系松散岩类孔隙水和下白垩统下部砂砾岩裂隙一孔隙水。地下水主要靠大气降水和地表水入渗补给。裂隙-孔隙水一般无稳定水位，其水量的大小取决于大气降水和地表水入渗量，其排泄方式主要以沿河谷分布的下降泉形式排泄，出露于地表，汇入河流。</w:t>
      </w:r>
    </w:p>
    <w:p w14:paraId="74343556">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第四系松散岩类孔隙水</w:t>
      </w:r>
    </w:p>
    <w:p w14:paraId="7FB15C3A">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第四系松散岩类孔隙水，主要赋存在茹河河谷阶地区冲洪积层砂砾、卵石孔隙中，中等富水，含水层厚度8</w:t>
      </w:r>
      <w:r>
        <w:rPr>
          <w:rFonts w:hint="eastAsia" w:cs="Times New Roman"/>
          <w:color w:val="auto"/>
          <w:highlight w:val="none"/>
          <w:lang w:eastAsia="zh-CN"/>
        </w:rPr>
        <w:t>～</w:t>
      </w:r>
      <w:r>
        <w:rPr>
          <w:rFonts w:hint="default" w:ascii="Times New Roman" w:hAnsi="Times New Roman" w:cs="Times New Roman"/>
          <w:color w:val="auto"/>
          <w:highlight w:val="none"/>
        </w:rPr>
        <w:t>40m。</w:t>
      </w:r>
    </w:p>
    <w:p w14:paraId="6BF13022">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茹河河谷宽1</w:t>
      </w:r>
      <w:r>
        <w:rPr>
          <w:rFonts w:hint="eastAsia" w:cs="Times New Roman"/>
          <w:color w:val="auto"/>
          <w:highlight w:val="none"/>
          <w:lang w:eastAsia="zh-CN"/>
        </w:rPr>
        <w:t>～</w:t>
      </w:r>
      <w:r>
        <w:rPr>
          <w:rFonts w:hint="default" w:ascii="Times New Roman" w:hAnsi="Times New Roman" w:cs="Times New Roman"/>
          <w:color w:val="auto"/>
          <w:highlight w:val="none"/>
        </w:rPr>
        <w:t>2km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彭阳县城以西段宽约2km，以东约1km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，发育有二级阶地，具二元结构，上部为粘砂土，下部为砂砾石。总厚度25</w:t>
      </w:r>
      <w:r>
        <w:rPr>
          <w:rFonts w:hint="eastAsia" w:cs="Times New Roman"/>
          <w:color w:val="auto"/>
          <w:highlight w:val="none"/>
          <w:lang w:eastAsia="zh-CN"/>
        </w:rPr>
        <w:t>～</w:t>
      </w:r>
      <w:r>
        <w:rPr>
          <w:rFonts w:hint="default" w:ascii="Times New Roman" w:hAnsi="Times New Roman" w:cs="Times New Roman"/>
          <w:color w:val="auto"/>
          <w:highlight w:val="none"/>
        </w:rPr>
        <w:t>55m，含水层下部为砂砾石层，厚度7</w:t>
      </w:r>
      <w:r>
        <w:rPr>
          <w:rFonts w:hint="eastAsia" w:cs="Times New Roman"/>
          <w:color w:val="auto"/>
          <w:highlight w:val="none"/>
          <w:lang w:eastAsia="zh-CN"/>
        </w:rPr>
        <w:t>～</w:t>
      </w:r>
      <w:r>
        <w:rPr>
          <w:rFonts w:hint="default" w:ascii="Times New Roman" w:hAnsi="Times New Roman" w:cs="Times New Roman"/>
          <w:color w:val="auto"/>
          <w:highlight w:val="none"/>
        </w:rPr>
        <w:t>35m。</w:t>
      </w:r>
    </w:p>
    <w:p w14:paraId="180897CB">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茹河河谷砂砾石含水层富水性变化很大，在河谷宽阔、含水层较厚的海子口至古城段、周沟及彭阳县城东关段富水性强，单井换算出水量一般大于1000m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/d，下游城阳以东地段属基座阶地，第四系不含水。茹河河谷地下水水质普遍较好，店洼水库以西矿化度小于1g/L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氟含量小于1mg/L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属淡水</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店洼水库以东，包括区块三所在区域，矿化度1.0</w:t>
      </w:r>
      <w:r>
        <w:rPr>
          <w:rFonts w:hint="eastAsia" w:cs="Times New Roman"/>
          <w:color w:val="auto"/>
          <w:highlight w:val="none"/>
          <w:lang w:eastAsia="zh-CN"/>
        </w:rPr>
        <w:t>～</w:t>
      </w:r>
      <w:r>
        <w:rPr>
          <w:rFonts w:hint="default" w:ascii="Times New Roman" w:hAnsi="Times New Roman" w:cs="Times New Roman"/>
          <w:color w:val="auto"/>
          <w:highlight w:val="none"/>
        </w:rPr>
        <w:t>1.32g/L，属微咸水，可作为人畜饮用及工农业生产用水水源。</w:t>
      </w:r>
    </w:p>
    <w:p w14:paraId="546D29BF">
      <w:pPr>
        <w:adjustRightInd w:val="0"/>
        <w:snapToGrid w:val="0"/>
        <w:spacing w:line="360" w:lineRule="auto"/>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第四系松散岩类孔隙的补给，一是地表水通过河床中砂砾石层的渗漏补给，这种补给方式在河谷上游尤为明显，枯水季节地表水全部渗入砂砾石层中；二是大气降水的入渗补给，由于河谷阶地的阶面一般都比较平坦，因此有利于大气降水的入渗；三是灌溉入渗补给，茹河河谷灌溉面积8.9万亩，利用水库水灌溉，灌溉定额每亩300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a。地下水接受上述补给后，横向上自两侧向河谷方向、纵向上沿河谷自上游向下游径流。由于阶地下部的砂砾石层分选好，泥质成分少，透水性能好，因而地下水径流强烈。地下水的排泄方式主要是向河流排泄及人工开采。</w:t>
      </w:r>
    </w:p>
    <w:p w14:paraId="2FEFF501">
      <w:pPr>
        <w:adjustRightInd w:val="0"/>
        <w:snapToGrid w:val="0"/>
        <w:spacing w:line="360" w:lineRule="auto"/>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lang w:eastAsia="zh-CN"/>
        </w:rPr>
        <w:t>下白垩统下部砂砾岩裂隙一孔隙水</w:t>
      </w:r>
    </w:p>
    <w:p w14:paraId="518DC335">
      <w:pPr>
        <w:adjustRightInd w:val="0"/>
        <w:snapToGrid w:val="0"/>
        <w:spacing w:line="360" w:lineRule="auto"/>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下白垩统下部砂砾岩裂隙-孔隙水，分布于</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南北古脊梁</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上部及王洼一彭阳县城以东地区。</w:t>
      </w:r>
    </w:p>
    <w:p w14:paraId="3840B94B">
      <w:pPr>
        <w:adjustRightInd w:val="0"/>
        <w:snapToGrid w:val="0"/>
        <w:spacing w:line="360" w:lineRule="auto"/>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从含水岩组的富水性来看，在彭阳县域边界地带及茹河河谷以南，单井涌水量100~1000m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/d；茹河下游地段，单井涌水量大于1000m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/d；其余地段，单井涌水量均小于100m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eastAsia="zh-CN"/>
        </w:rPr>
        <w:t>/d。其富水性规律是：有河谷分布的地段富水，东部比西部富水；在垂向上，浅部含水层比深部含水层富水。</w:t>
      </w:r>
    </w:p>
    <w:p w14:paraId="4AF089E8">
      <w:pPr>
        <w:adjustRightInd w:val="0"/>
        <w:snapToGrid w:val="0"/>
        <w:spacing w:line="360" w:lineRule="auto"/>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基岩裂隙水含水层水质在安家川河流域矿化度为1.57</w:t>
      </w:r>
      <w:r>
        <w:rPr>
          <w:rFonts w:hint="eastAsia" w:cs="Times New Roman"/>
          <w:color w:val="auto"/>
          <w:highlight w:val="none"/>
          <w:lang w:eastAsia="zh-CN"/>
        </w:rPr>
        <w:t>～</w:t>
      </w:r>
      <w:r>
        <w:rPr>
          <w:rFonts w:hint="default" w:ascii="Times New Roman" w:hAnsi="Times New Roman" w:cs="Times New Roman"/>
          <w:color w:val="auto"/>
          <w:highlight w:val="none"/>
          <w:lang w:eastAsia="zh-CN"/>
        </w:rPr>
        <w:t>1.68g/L，氟含量1.0</w:t>
      </w:r>
      <w:r>
        <w:rPr>
          <w:rFonts w:hint="eastAsia" w:cs="Times New Roman"/>
          <w:color w:val="auto"/>
          <w:highlight w:val="none"/>
          <w:lang w:eastAsia="zh-CN"/>
        </w:rPr>
        <w:t>～</w:t>
      </w:r>
      <w:r>
        <w:rPr>
          <w:rFonts w:hint="default" w:ascii="Times New Roman" w:hAnsi="Times New Roman" w:cs="Times New Roman"/>
          <w:color w:val="auto"/>
          <w:highlight w:val="none"/>
          <w:lang w:eastAsia="zh-CN"/>
        </w:rPr>
        <w:t>1.2mg/L，属低氟微咸水；在茹河河谷，矿化度1.04</w:t>
      </w:r>
      <w:r>
        <w:rPr>
          <w:rFonts w:hint="eastAsia" w:cs="Times New Roman"/>
          <w:color w:val="auto"/>
          <w:highlight w:val="none"/>
          <w:lang w:eastAsia="zh-CN"/>
        </w:rPr>
        <w:t>～</w:t>
      </w:r>
      <w:r>
        <w:rPr>
          <w:rFonts w:hint="default" w:ascii="Times New Roman" w:hAnsi="Times New Roman" w:cs="Times New Roman"/>
          <w:color w:val="auto"/>
          <w:highlight w:val="none"/>
          <w:lang w:eastAsia="zh-CN"/>
        </w:rPr>
        <w:t>1.42g/L，氟含量0.6</w:t>
      </w:r>
      <w:r>
        <w:rPr>
          <w:rFonts w:hint="eastAsia" w:cs="Times New Roman"/>
          <w:color w:val="auto"/>
          <w:highlight w:val="none"/>
          <w:lang w:eastAsia="zh-CN"/>
        </w:rPr>
        <w:t>～</w:t>
      </w:r>
      <w:r>
        <w:rPr>
          <w:rFonts w:hint="default" w:ascii="Times New Roman" w:hAnsi="Times New Roman" w:cs="Times New Roman"/>
          <w:color w:val="auto"/>
          <w:highlight w:val="none"/>
          <w:lang w:eastAsia="zh-CN"/>
        </w:rPr>
        <w:t>1.0mg/L，属低氟微咸水；在红河河谷，矿化度0.93g/L，氟含量0.4mg/L，属低氟淡水。</w:t>
      </w:r>
    </w:p>
    <w:p w14:paraId="57B66AB6">
      <w:pPr>
        <w:adjustRightInd w:val="0"/>
        <w:snapToGrid w:val="0"/>
        <w:spacing w:line="360" w:lineRule="auto"/>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在</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南北古脊梁</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一带的基岩裂隙水含水层埋藏于甘肃群砂质泥岩和径川组砂质泥岩之下，其补给来源：一是西部河川</w:t>
      </w:r>
      <w:r>
        <w:rPr>
          <w:rFonts w:hint="eastAsia" w:cs="Times New Roman"/>
          <w:color w:val="auto"/>
          <w:highlight w:val="none"/>
          <w:lang w:eastAsia="zh-CN"/>
        </w:rPr>
        <w:t>－</w:t>
      </w:r>
      <w:r>
        <w:rPr>
          <w:rFonts w:hint="default" w:ascii="Times New Roman" w:hAnsi="Times New Roman" w:cs="Times New Roman"/>
          <w:color w:val="auto"/>
          <w:highlight w:val="none"/>
          <w:lang w:eastAsia="zh-CN"/>
        </w:rPr>
        <w:t>新集向斜承压含水构造中地下水的侧向径流补给；二是地表水入渗补给，区内河流及大型沟谷通过</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南北古脊梁</w:t>
      </w:r>
      <w:r>
        <w:rPr>
          <w:rFonts w:hint="eastAsia" w:cs="Times New Roman"/>
          <w:color w:val="auto"/>
          <w:highlight w:val="none"/>
          <w:lang w:eastAsia="zh-CN"/>
        </w:rPr>
        <w:t>”</w:t>
      </w:r>
      <w:r>
        <w:rPr>
          <w:rFonts w:hint="default" w:ascii="Times New Roman" w:hAnsi="Times New Roman" w:cs="Times New Roman"/>
          <w:color w:val="auto"/>
          <w:highlight w:val="none"/>
          <w:lang w:eastAsia="zh-CN"/>
        </w:rPr>
        <w:t>时，常切穿上覆地层，使罗汉洞组砂岩接受地表水入渗补给。该含水层在东部受到奥陶系平凉组泥岩、泥质砂岩、泥灰岩阻隔，以茹河河谷为地下水排泄基准面，地下水由北向南径流，最终在茹河河谷排泄。</w:t>
      </w:r>
    </w:p>
    <w:p w14:paraId="4EE82BD6">
      <w:pPr>
        <w:pStyle w:val="77"/>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rPr>
          <w:rFonts w:hint="default" w:ascii="Times New Roman" w:hAnsi="Times New Roman" w:cs="Times New Roman"/>
          <w:color w:val="auto"/>
          <w:kern w:val="2"/>
          <w:szCs w:val="24"/>
          <w:highlight w:val="none"/>
          <w:lang w:val="en-US" w:eastAsia="zh-CN"/>
        </w:rPr>
      </w:pPr>
      <w:r>
        <w:rPr>
          <w:rFonts w:hint="default" w:ascii="Times New Roman" w:hAnsi="Times New Roman" w:cs="Times New Roman"/>
          <w:color w:val="auto"/>
          <w:highlight w:val="none"/>
          <w:lang w:val="en-US" w:eastAsia="zh-CN"/>
        </w:rPr>
        <w:t>区域水文地质图见图</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.4-1。</w:t>
      </w:r>
    </w:p>
    <w:p w14:paraId="5146A81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kern w:val="2"/>
          <w:szCs w:val="24"/>
          <w:highlight w:val="none"/>
          <w:lang w:eastAsia="zh-CN"/>
        </w:rPr>
      </w:pPr>
      <w:r>
        <w:rPr>
          <w:rFonts w:hint="default" w:ascii="Times New Roman" w:hAnsi="Times New Roman" w:cs="Times New Roman"/>
          <w:color w:val="auto"/>
          <w:kern w:val="2"/>
          <w:szCs w:val="24"/>
          <w:highlight w:val="none"/>
          <w:lang w:eastAsia="zh-CN"/>
        </w:rPr>
        <w:drawing>
          <wp:inline distT="0" distB="0" distL="114300" distR="114300">
            <wp:extent cx="5426075" cy="8431530"/>
            <wp:effectExtent l="0" t="0" r="3175" b="7620"/>
            <wp:docPr id="5" name="图片 230" descr="插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0" descr="插图5"/>
                    <pic:cNvPicPr>
                      <a:picLocks noChangeAspect="1"/>
                    </pic:cNvPicPr>
                  </pic:nvPicPr>
                  <pic:blipFill>
                    <a:blip r:embed="rId74"/>
                    <a:stretch>
                      <a:fillRect/>
                    </a:stretch>
                  </pic:blipFill>
                  <pic:spPr>
                    <a:xfrm>
                      <a:off x="0" y="0"/>
                      <a:ext cx="5426075" cy="8431530"/>
                    </a:xfrm>
                    <a:prstGeom prst="rect">
                      <a:avLst/>
                    </a:prstGeom>
                    <a:noFill/>
                    <a:ln>
                      <a:noFill/>
                    </a:ln>
                  </pic:spPr>
                </pic:pic>
              </a:graphicData>
            </a:graphic>
          </wp:inline>
        </w:drawing>
      </w:r>
    </w:p>
    <w:p w14:paraId="5382ED88">
      <w:pPr>
        <w:bidi w:val="0"/>
        <w:ind w:left="0" w:leftChars="0"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w:t>
      </w: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val="en-US" w:eastAsia="zh-CN"/>
        </w:rPr>
        <w:t>4-1  区域水文地质图</w:t>
      </w:r>
    </w:p>
    <w:p w14:paraId="7C07A52F">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2"/>
          <w:szCs w:val="24"/>
          <w:highlight w:val="none"/>
          <w:lang w:eastAsia="zh-CN"/>
        </w:rPr>
        <w:t>⑵</w:t>
      </w:r>
      <w:r>
        <w:rPr>
          <w:rFonts w:hint="default" w:ascii="Times New Roman" w:hAnsi="Times New Roman" w:cs="Times New Roman"/>
          <w:color w:val="auto"/>
          <w:highlight w:val="none"/>
        </w:rPr>
        <w:t>区域地下水补径排条件</w:t>
      </w:r>
    </w:p>
    <w:p w14:paraId="19E83B79">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地下水的补给</w:t>
      </w:r>
    </w:p>
    <w:p w14:paraId="7C001A37">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深部岩溶裂隙水含水岩组的补给来源有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大气降水、地表水和</w:t>
      </w:r>
      <w:r>
        <w:rPr>
          <w:rFonts w:hint="eastAsia" w:cs="Times New Roman"/>
          <w:color w:val="auto"/>
          <w:highlight w:val="none"/>
          <w:lang w:eastAsia="zh-CN"/>
        </w:rPr>
        <w:t>其他</w:t>
      </w:r>
      <w:r>
        <w:rPr>
          <w:rFonts w:hint="default" w:ascii="Times New Roman" w:hAnsi="Times New Roman" w:cs="Times New Roman"/>
          <w:color w:val="auto"/>
          <w:highlight w:val="none"/>
        </w:rPr>
        <w:t>含水岩组中的地下水。</w:t>
      </w:r>
    </w:p>
    <w:p w14:paraId="6FC4DBD9">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大气降水补给量的多少，决定于大气降水量、降水形式、含水岩组的埋藏条件等因素。工作区降水量降水年分配不均，多集中在6-9月，不利于向地下渗漏。以王洼为界，南部地下水补给量大于北部。区内岩溶裂隙含水岩组地表露头较少，大部分地区为埋藏型或覆盖型，不利于大气降水的渗入。沟口、店洼水库等地有断续的露头，在其附近为覆盖型岩溶区，埋深一般小于100m，有利于降水的渗入，但面积较小，大部分地区为岩溶埋藏型区，埋深100</w:t>
      </w:r>
      <w:r>
        <w:rPr>
          <w:rFonts w:hint="eastAsia" w:cs="Times New Roman"/>
          <w:color w:val="auto"/>
          <w:highlight w:val="none"/>
          <w:lang w:eastAsia="zh-CN"/>
        </w:rPr>
        <w:t>—</w:t>
      </w:r>
      <w:r>
        <w:rPr>
          <w:rFonts w:hint="default" w:ascii="Times New Roman" w:hAnsi="Times New Roman" w:cs="Times New Roman"/>
          <w:color w:val="auto"/>
          <w:highlight w:val="none"/>
        </w:rPr>
        <w:t>500m，降水很难补给岩溶裂隙水。大气降水的补给形式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一是通过岩溶露头区或浅埋覆盖区补给地下水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二是地表水径流汇入沟谷，通过沟谷中的岩溶露头补给地下水。大气降水直接通过黄土层下渗补给岩溶水的量是很小的。</w:t>
      </w:r>
    </w:p>
    <w:p w14:paraId="339F9706">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地表水补给主要是河流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包括洪水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水库的补给。主要的河流有泾河水系支流颉河、洪河、茹河、安家川河等。河水补给岩溶裂隙水主要是在有岩溶出露的地段，工作区水库较多，其中有店洼水库、庙咀水库，两者均在岩溶浅埋区，推测对岩溶裂隙水有补给作用。</w:t>
      </w:r>
    </w:p>
    <w:p w14:paraId="7CCE4060">
      <w:pPr>
        <w:adjustRightInd w:val="0"/>
        <w:snapToGrid w:val="0"/>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下水对岩溶裂隙水补给的有下白垩系含水岩组和河谷川台地砂砾石含水岩组。在云雾山以南很多地方下白垩系含水岩组覆盖在马家沟组灰岩之上，有的中间无隔水层，构成统一含水层，有些有隔水层，但厚度不大，下白垩系含水层补给岩溶裂隙水。在一些沟谷中，砂砾石潜水含水层覆盖在岩溶裂隙水含水组之上，砂砾石潜水层补给岩溶裂隙水，有的成为河水或洪水入渗岩溶水的通道。</w:t>
      </w:r>
    </w:p>
    <w:p w14:paraId="2E4F6348">
      <w:pPr>
        <w:adjustRightInd w:val="0"/>
        <w:snapToGrid w:val="0"/>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②</w:t>
      </w:r>
      <w:r>
        <w:rPr>
          <w:rFonts w:hint="default" w:ascii="Times New Roman" w:hAnsi="Times New Roman" w:eastAsia="宋体" w:cs="Times New Roman"/>
          <w:color w:val="auto"/>
          <w:highlight w:val="none"/>
          <w:lang w:val="en-US" w:eastAsia="zh-CN"/>
        </w:rPr>
        <w:t>地下水的排泄</w:t>
      </w:r>
    </w:p>
    <w:p w14:paraId="5525B449">
      <w:pPr>
        <w:adjustRightInd w:val="0"/>
        <w:snapToGrid w:val="0"/>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岩溶裂隙水的排泄方式主要是以泉水形式排泄，其次是顶托补给</w:t>
      </w:r>
      <w:r>
        <w:rPr>
          <w:rFonts w:hint="eastAsia" w:cs="Times New Roman"/>
          <w:color w:val="auto"/>
          <w:highlight w:val="none"/>
          <w:lang w:val="en-US" w:eastAsia="zh-CN"/>
        </w:rPr>
        <w:t>其他</w:t>
      </w:r>
      <w:r>
        <w:rPr>
          <w:rFonts w:hint="default" w:ascii="Times New Roman" w:hAnsi="Times New Roman" w:eastAsia="宋体" w:cs="Times New Roman"/>
          <w:color w:val="auto"/>
          <w:highlight w:val="none"/>
          <w:lang w:val="en-US" w:eastAsia="zh-CN"/>
        </w:rPr>
        <w:t>含水层和地表水以及人工开采。当岩溶裂隙水含水岩组被沟谷切割或被断层断开时，地下水形成上升泉或下降泉流出地表，区内郑家庄泉流量最大时达3312m</w:t>
      </w:r>
      <w:r>
        <w:rPr>
          <w:rFonts w:hint="default" w:ascii="Times New Roman" w:hAnsi="Times New Roman"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/d，同时，还有一些小的泉水流出。除郑家庄泉排泄外，还通过顶托补给白垩系含水岩组或第四系沟谷潜水，进而补给地表水，深部含水岩组东界王洼一彭阳断裂</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F7</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为阻水断裂，在郑家庄、店洼水库、沟口以东形成地下水排泄区，岩溶水通过泉水或沟谷地表水排泄。</w:t>
      </w:r>
    </w:p>
    <w:p w14:paraId="1FE38F3F">
      <w:pPr>
        <w:adjustRightInd w:val="0"/>
        <w:snapToGrid w:val="0"/>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另外，还有少量的人工开采，初步调查掌握彭阳茹河、红河地区除地表水集中利用外，地下水年开采量已达3.3万</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以上。</w:t>
      </w:r>
    </w:p>
    <w:p w14:paraId="4E54AAE4">
      <w:pPr>
        <w:pStyle w:val="6"/>
        <w:bidi w:val="0"/>
        <w:rPr>
          <w:rFonts w:hint="default"/>
          <w:color w:val="auto"/>
          <w:highlight w:val="none"/>
          <w:lang w:val="en-US" w:eastAsia="zh-CN"/>
        </w:rPr>
      </w:pPr>
      <w:bookmarkStart w:id="5929" w:name="_Toc26495"/>
      <w:r>
        <w:rPr>
          <w:rFonts w:hint="eastAsia"/>
          <w:color w:val="auto"/>
          <w:highlight w:val="none"/>
          <w:lang w:val="en-US" w:eastAsia="zh-CN"/>
        </w:rPr>
        <w:t>6</w:t>
      </w:r>
      <w:r>
        <w:rPr>
          <w:rFonts w:hint="default"/>
          <w:color w:val="auto"/>
          <w:highlight w:val="none"/>
          <w:lang w:val="en-US" w:eastAsia="zh-CN"/>
        </w:rPr>
        <w:t>.4.2</w:t>
      </w:r>
      <w:r>
        <w:rPr>
          <w:rFonts w:hint="eastAsia"/>
          <w:color w:val="auto"/>
          <w:highlight w:val="none"/>
          <w:lang w:val="en-US" w:eastAsia="zh-CN"/>
        </w:rPr>
        <w:t>施工期</w:t>
      </w:r>
      <w:r>
        <w:rPr>
          <w:rFonts w:hint="default"/>
          <w:color w:val="auto"/>
          <w:highlight w:val="none"/>
          <w:lang w:val="en-US" w:eastAsia="zh-CN"/>
        </w:rPr>
        <w:t>地下水影响分析</w:t>
      </w:r>
      <w:bookmarkEnd w:id="5929"/>
    </w:p>
    <w:bookmarkEnd w:id="5926"/>
    <w:bookmarkEnd w:id="5927"/>
    <w:p w14:paraId="6BC370E9">
      <w:pPr>
        <w:bidi w:val="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有可能对地下水造成影响的主要是施工</w:t>
      </w:r>
      <w:r>
        <w:rPr>
          <w:rFonts w:hint="eastAsia" w:cs="Times New Roman"/>
          <w:color w:val="auto"/>
          <w:sz w:val="24"/>
          <w:szCs w:val="24"/>
          <w:highlight w:val="none"/>
          <w:lang w:eastAsia="zh-CN"/>
        </w:rPr>
        <w:t>区</w:t>
      </w:r>
      <w:r>
        <w:rPr>
          <w:rFonts w:hint="default" w:ascii="Times New Roman" w:hAnsi="Times New Roman" w:cs="Times New Roman"/>
          <w:color w:val="auto"/>
          <w:sz w:val="24"/>
          <w:szCs w:val="24"/>
          <w:highlight w:val="none"/>
          <w:lang w:eastAsia="zh-CN"/>
        </w:rPr>
        <w:t>产生的生产废</w:t>
      </w:r>
      <w:r>
        <w:rPr>
          <w:rFonts w:hint="eastAsia" w:cs="Times New Roman"/>
          <w:color w:val="auto"/>
          <w:sz w:val="24"/>
          <w:szCs w:val="24"/>
          <w:highlight w:val="none"/>
          <w:lang w:eastAsia="zh-CN"/>
        </w:rPr>
        <w:t>水</w:t>
      </w:r>
      <w:r>
        <w:rPr>
          <w:rFonts w:hint="default" w:ascii="Times New Roman" w:hAnsi="Times New Roman" w:cs="Times New Roman"/>
          <w:color w:val="auto"/>
          <w:sz w:val="24"/>
          <w:szCs w:val="24"/>
          <w:highlight w:val="none"/>
          <w:lang w:eastAsia="zh-CN"/>
        </w:rPr>
        <w:t>。</w:t>
      </w:r>
    </w:p>
    <w:p w14:paraId="0AF90B9A">
      <w:pPr>
        <w:bidi w:val="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整体工程共</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个施工区。各施工区采用集中布置方案，</w:t>
      </w:r>
      <w:r>
        <w:rPr>
          <w:rFonts w:hint="eastAsia" w:cs="Times New Roman"/>
          <w:color w:val="auto"/>
          <w:sz w:val="24"/>
          <w:szCs w:val="24"/>
          <w:highlight w:val="none"/>
          <w:lang w:eastAsia="zh-CN"/>
        </w:rPr>
        <w:t>建设生产区，生活区租用附近民房</w:t>
      </w:r>
      <w:r>
        <w:rPr>
          <w:rFonts w:hint="default" w:ascii="Times New Roman" w:hAnsi="Times New Roman" w:cs="Times New Roman"/>
          <w:color w:val="auto"/>
          <w:sz w:val="24"/>
          <w:szCs w:val="24"/>
          <w:highlight w:val="none"/>
          <w:lang w:eastAsia="zh-CN"/>
        </w:rPr>
        <w:t>。根据施工总布置</w:t>
      </w:r>
      <w:r>
        <w:rPr>
          <w:rFonts w:hint="eastAsia" w:cs="Times New Roman"/>
          <w:color w:val="auto"/>
          <w:sz w:val="24"/>
          <w:szCs w:val="24"/>
          <w:highlight w:val="none"/>
          <w:lang w:eastAsia="zh-CN"/>
        </w:rPr>
        <w:t>及</w:t>
      </w:r>
      <w:r>
        <w:rPr>
          <w:rFonts w:hint="default" w:ascii="Times New Roman" w:hAnsi="Times New Roman" w:cs="Times New Roman"/>
          <w:color w:val="auto"/>
          <w:sz w:val="24"/>
          <w:szCs w:val="24"/>
          <w:highlight w:val="none"/>
          <w:lang w:eastAsia="zh-CN"/>
        </w:rPr>
        <w:t>施工区设计方案，可能产生地下水影响的主要是施工废水处理设施。施工营地的生产废水主要是混凝土养护废水、机械车辆冲洗废水，设置</w:t>
      </w:r>
      <w:r>
        <w:rPr>
          <w:rFonts w:hint="eastAsia" w:cs="Times New Roman"/>
          <w:color w:val="auto"/>
          <w:sz w:val="24"/>
          <w:szCs w:val="24"/>
          <w:highlight w:val="none"/>
          <w:lang w:eastAsia="zh-CN"/>
        </w:rPr>
        <w:t>临时</w:t>
      </w:r>
      <w:r>
        <w:rPr>
          <w:rFonts w:hint="default" w:ascii="Times New Roman" w:hAnsi="Times New Roman" w:cs="Times New Roman"/>
          <w:color w:val="auto"/>
          <w:sz w:val="24"/>
          <w:szCs w:val="24"/>
          <w:highlight w:val="none"/>
          <w:lang w:eastAsia="zh-CN"/>
        </w:rPr>
        <w:t>沉淀池，池底及池壁进行防渗设计</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对地下水污染影响较小。</w:t>
      </w:r>
    </w:p>
    <w:p w14:paraId="794EF7C6">
      <w:pPr>
        <w:pStyle w:val="6"/>
        <w:bidi w:val="0"/>
        <w:rPr>
          <w:rFonts w:hint="default" w:ascii="Times New Roman" w:hAnsi="Times New Roman" w:cs="Times New Roman"/>
          <w:color w:val="auto"/>
          <w:sz w:val="28"/>
          <w:szCs w:val="28"/>
          <w:highlight w:val="none"/>
          <w:lang w:eastAsia="zh-CN"/>
        </w:rPr>
      </w:pPr>
      <w:bookmarkStart w:id="5930" w:name="_Toc22715"/>
      <w:bookmarkStart w:id="5931" w:name="_Toc7882"/>
      <w:bookmarkStart w:id="5932" w:name="_Toc323"/>
      <w:r>
        <w:rPr>
          <w:rFonts w:hint="default" w:ascii="Times New Roman" w:hAnsi="Times New Roman" w:cs="Times New Roman"/>
          <w:color w:val="auto"/>
          <w:sz w:val="28"/>
          <w:szCs w:val="28"/>
          <w:highlight w:val="none"/>
          <w:lang w:eastAsia="zh-CN"/>
        </w:rPr>
        <w:t>6.4.2运营期</w:t>
      </w:r>
      <w:r>
        <w:rPr>
          <w:rFonts w:hint="eastAsia" w:cs="Times New Roman"/>
          <w:color w:val="auto"/>
          <w:sz w:val="28"/>
          <w:szCs w:val="28"/>
          <w:highlight w:val="none"/>
          <w:lang w:eastAsia="zh-CN"/>
        </w:rPr>
        <w:t>地下水</w:t>
      </w:r>
      <w:r>
        <w:rPr>
          <w:rFonts w:hint="default" w:ascii="Times New Roman" w:hAnsi="Times New Roman" w:cs="Times New Roman"/>
          <w:color w:val="auto"/>
          <w:sz w:val="28"/>
          <w:szCs w:val="28"/>
          <w:highlight w:val="none"/>
          <w:lang w:eastAsia="zh-CN"/>
        </w:rPr>
        <w:t>影响分析</w:t>
      </w:r>
      <w:bookmarkEnd w:id="5930"/>
      <w:bookmarkEnd w:id="5931"/>
      <w:bookmarkEnd w:id="5932"/>
    </w:p>
    <w:p w14:paraId="0EB60B36">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项目运营期</w:t>
      </w:r>
      <w:r>
        <w:rPr>
          <w:rFonts w:hint="default" w:ascii="Times New Roman" w:hAnsi="Times New Roman" w:cs="Times New Roman"/>
          <w:color w:val="auto"/>
          <w:sz w:val="24"/>
          <w:szCs w:val="24"/>
          <w:highlight w:val="none"/>
          <w:lang w:eastAsia="zh-CN"/>
        </w:rPr>
        <w:t>不会影响周围地下水环境。</w:t>
      </w:r>
    </w:p>
    <w:p w14:paraId="290EB24A">
      <w:pPr>
        <w:pStyle w:val="4"/>
        <w:bidi w:val="0"/>
        <w:rPr>
          <w:rFonts w:hint="default" w:ascii="Times New Roman" w:hAnsi="Times New Roman" w:cs="Times New Roman"/>
          <w:color w:val="auto"/>
          <w:sz w:val="28"/>
          <w:szCs w:val="28"/>
          <w:highlight w:val="none"/>
          <w:lang w:eastAsia="zh-CN"/>
        </w:rPr>
      </w:pPr>
      <w:bookmarkStart w:id="5933" w:name="_Toc10403"/>
      <w:bookmarkStart w:id="5934" w:name="_Toc6923"/>
      <w:bookmarkStart w:id="5935" w:name="_Toc15550"/>
      <w:bookmarkStart w:id="5936" w:name="_Toc22540"/>
      <w:r>
        <w:rPr>
          <w:rFonts w:hint="default" w:ascii="Times New Roman" w:hAnsi="Times New Roman" w:cs="Times New Roman"/>
          <w:color w:val="auto"/>
          <w:sz w:val="28"/>
          <w:szCs w:val="28"/>
          <w:highlight w:val="none"/>
          <w:lang w:val="en-US" w:eastAsia="zh-CN"/>
        </w:rPr>
        <w:t>6.5</w:t>
      </w:r>
      <w:r>
        <w:rPr>
          <w:rFonts w:hint="default" w:ascii="Times New Roman" w:hAnsi="Times New Roman" w:cs="Times New Roman"/>
          <w:color w:val="auto"/>
          <w:sz w:val="28"/>
          <w:szCs w:val="28"/>
          <w:highlight w:val="none"/>
          <w:lang w:eastAsia="zh-CN"/>
        </w:rPr>
        <w:t>土壤环境影响评价</w:t>
      </w:r>
      <w:bookmarkEnd w:id="5933"/>
      <w:bookmarkEnd w:id="5934"/>
      <w:bookmarkEnd w:id="5935"/>
      <w:bookmarkEnd w:id="5936"/>
    </w:p>
    <w:p w14:paraId="557D6B23">
      <w:pPr>
        <w:pStyle w:val="6"/>
        <w:bidi w:val="0"/>
        <w:rPr>
          <w:rFonts w:hint="default" w:ascii="Times New Roman" w:hAnsi="Times New Roman" w:cs="Times New Roman"/>
          <w:color w:val="auto"/>
          <w:sz w:val="28"/>
          <w:szCs w:val="28"/>
          <w:highlight w:val="none"/>
          <w:lang w:eastAsia="zh-CN"/>
        </w:rPr>
      </w:pPr>
      <w:bookmarkStart w:id="5937" w:name="_Toc14119"/>
      <w:bookmarkStart w:id="5938" w:name="_Toc30617"/>
      <w:bookmarkStart w:id="5939" w:name="_Toc25299"/>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eastAsia="zh-CN"/>
        </w:rPr>
        <w:t>5.1施工期影响分析</w:t>
      </w:r>
      <w:bookmarkEnd w:id="5937"/>
      <w:bookmarkEnd w:id="5938"/>
      <w:bookmarkEnd w:id="5939"/>
    </w:p>
    <w:p w14:paraId="1499BB29">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工程施工过程中的土方开挖、回填、机械碾压对土壤的理化性质和土壤肥力有不利影响。其中，表土损失使土壤内有机质含量降低</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土壤压实板结降低土壤的孔隙度</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土壤水分下渗和</w:t>
      </w:r>
      <w:r>
        <w:rPr>
          <w:rFonts w:hint="eastAsia" w:cs="Times New Roman"/>
          <w:color w:val="auto"/>
          <w:sz w:val="24"/>
          <w:szCs w:val="24"/>
          <w:highlight w:val="none"/>
          <w:lang w:eastAsia="zh-CN"/>
        </w:rPr>
        <w:t>水土保持</w:t>
      </w:r>
      <w:r>
        <w:rPr>
          <w:rFonts w:hint="default" w:ascii="Times New Roman" w:hAnsi="Times New Roman" w:cs="Times New Roman"/>
          <w:color w:val="auto"/>
          <w:sz w:val="24"/>
          <w:szCs w:val="24"/>
          <w:highlight w:val="none"/>
          <w:lang w:eastAsia="zh-CN"/>
        </w:rPr>
        <w:t>能力降低，土壤气体和空气交换受阻，土壤含水量下降，其结果不利于植物的重新生长。另外，由于施工破坏和机械挖运，使土地受到扰动，土壤养分富集过程受阻，阻断生物与土壤间的物质交换。上述过程直接影响到植被的恢复，因此，要求在施工中注意尽量维持土壤现状，剥离表土用于土壤修复与植被恢复。</w:t>
      </w:r>
    </w:p>
    <w:p w14:paraId="44B47E7E">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本工程为线性工程，工程建设将会对施工区域的土壤理化性质产生一定的影响</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对临时占地采取了松土及覆盖剥离表土后植被恢复，不足以对整个区域的土壤理化性质产生影响，不会使区域土壤理化性质恶化。</w:t>
      </w:r>
    </w:p>
    <w:p w14:paraId="1DE0C42A">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因此，工程施工期土壤受到的影响是短期暂时的，施工结束后，通过采取工程措施和生态措施，临时占地区域的地表会逐渐恢复，土壤结构和功能</w:t>
      </w:r>
      <w:r>
        <w:rPr>
          <w:rFonts w:hint="eastAsia" w:cs="Times New Roman"/>
          <w:color w:val="auto"/>
          <w:sz w:val="24"/>
          <w:szCs w:val="24"/>
          <w:highlight w:val="none"/>
          <w:lang w:eastAsia="zh-CN"/>
        </w:rPr>
        <w:t>逐步恢复</w:t>
      </w:r>
      <w:r>
        <w:rPr>
          <w:rFonts w:hint="default" w:ascii="Times New Roman" w:hAnsi="Times New Roman" w:cs="Times New Roman"/>
          <w:color w:val="auto"/>
          <w:sz w:val="24"/>
          <w:szCs w:val="24"/>
          <w:highlight w:val="none"/>
          <w:lang w:eastAsia="zh-CN"/>
        </w:rPr>
        <w:t>到自然状态。</w:t>
      </w:r>
    </w:p>
    <w:p w14:paraId="0880C8FB">
      <w:pPr>
        <w:pStyle w:val="6"/>
        <w:bidi w:val="0"/>
        <w:rPr>
          <w:rFonts w:hint="default" w:ascii="Times New Roman" w:hAnsi="Times New Roman" w:cs="Times New Roman"/>
          <w:color w:val="auto"/>
          <w:sz w:val="28"/>
          <w:szCs w:val="28"/>
          <w:highlight w:val="none"/>
          <w:lang w:eastAsia="zh-CN"/>
        </w:rPr>
      </w:pPr>
      <w:bookmarkStart w:id="5940" w:name="_Toc20389"/>
      <w:bookmarkStart w:id="5941" w:name="_Toc30239"/>
      <w:bookmarkStart w:id="5942" w:name="_Toc32000"/>
      <w:r>
        <w:rPr>
          <w:rFonts w:hint="default" w:ascii="Times New Roman" w:hAnsi="Times New Roman" w:cs="Times New Roman"/>
          <w:color w:val="auto"/>
          <w:sz w:val="28"/>
          <w:szCs w:val="28"/>
          <w:highlight w:val="none"/>
          <w:lang w:val="en-US" w:eastAsia="zh-CN"/>
        </w:rPr>
        <w:t>6.5.2</w:t>
      </w:r>
      <w:r>
        <w:rPr>
          <w:rFonts w:hint="default" w:ascii="Times New Roman" w:hAnsi="Times New Roman" w:cs="Times New Roman"/>
          <w:color w:val="auto"/>
          <w:sz w:val="28"/>
          <w:szCs w:val="28"/>
          <w:highlight w:val="none"/>
          <w:lang w:eastAsia="zh-CN"/>
        </w:rPr>
        <w:t>运行期影响分析</w:t>
      </w:r>
      <w:bookmarkEnd w:id="5940"/>
      <w:bookmarkEnd w:id="5941"/>
      <w:bookmarkEnd w:id="5942"/>
    </w:p>
    <w:p w14:paraId="498F0D00">
      <w:pPr>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4"/>
          <w:szCs w:val="24"/>
          <w:highlight w:val="none"/>
          <w:lang w:eastAsia="zh-CN"/>
        </w:rPr>
        <w:t>因此，</w:t>
      </w:r>
      <w:r>
        <w:rPr>
          <w:rFonts w:hint="eastAsia" w:cs="Times New Roman"/>
          <w:color w:val="auto"/>
          <w:sz w:val="24"/>
          <w:szCs w:val="24"/>
          <w:highlight w:val="none"/>
          <w:lang w:eastAsia="zh-CN"/>
        </w:rPr>
        <w:t>本工程运行期对土壤环境无影响。</w:t>
      </w:r>
    </w:p>
    <w:p w14:paraId="7A9B567D">
      <w:pPr>
        <w:pStyle w:val="4"/>
        <w:bidi w:val="0"/>
        <w:rPr>
          <w:rFonts w:hint="default" w:ascii="Times New Roman" w:hAnsi="Times New Roman" w:cs="Times New Roman"/>
          <w:color w:val="auto"/>
          <w:sz w:val="28"/>
          <w:szCs w:val="28"/>
          <w:highlight w:val="none"/>
          <w:lang w:val="en-US" w:eastAsia="zh-CN"/>
        </w:rPr>
      </w:pPr>
      <w:bookmarkStart w:id="5943" w:name="_Toc28542"/>
      <w:bookmarkStart w:id="5944" w:name="_Toc11969"/>
      <w:bookmarkStart w:id="5945" w:name="_Toc14168"/>
      <w:bookmarkStart w:id="5946" w:name="_Toc30914"/>
      <w:r>
        <w:rPr>
          <w:rFonts w:hint="default" w:ascii="Times New Roman" w:hAnsi="Times New Roman" w:cs="Times New Roman"/>
          <w:color w:val="auto"/>
          <w:sz w:val="28"/>
          <w:szCs w:val="28"/>
          <w:highlight w:val="none"/>
          <w:lang w:val="en-US" w:eastAsia="zh-CN"/>
        </w:rPr>
        <w:t>6.6生态环境影响评价</w:t>
      </w:r>
      <w:bookmarkEnd w:id="5943"/>
      <w:bookmarkEnd w:id="5944"/>
      <w:bookmarkEnd w:id="5945"/>
      <w:bookmarkEnd w:id="5946"/>
    </w:p>
    <w:p w14:paraId="50AFE162">
      <w:pPr>
        <w:pStyle w:val="6"/>
        <w:bidi w:val="0"/>
        <w:rPr>
          <w:rFonts w:hint="eastAsia" w:ascii="Times New Roman" w:hAnsi="Times New Roman" w:eastAsia="宋体" w:cs="Times New Roman"/>
          <w:color w:val="auto"/>
          <w:sz w:val="28"/>
          <w:szCs w:val="28"/>
          <w:highlight w:val="none"/>
          <w:lang w:eastAsia="zh-CN"/>
        </w:rPr>
      </w:pPr>
      <w:bookmarkStart w:id="5947" w:name="_Toc10367"/>
      <w:bookmarkStart w:id="5948" w:name="_Toc12708"/>
      <w:bookmarkStart w:id="5949" w:name="_Toc21728"/>
      <w:r>
        <w:rPr>
          <w:rFonts w:hint="default" w:ascii="Times New Roman" w:hAnsi="Times New Roman" w:cs="Times New Roman"/>
          <w:color w:val="auto"/>
          <w:sz w:val="28"/>
          <w:szCs w:val="28"/>
          <w:highlight w:val="none"/>
        </w:rPr>
        <w:t>6.</w:t>
      </w:r>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.1</w:t>
      </w:r>
      <w:r>
        <w:rPr>
          <w:rFonts w:hint="eastAsia" w:cs="Times New Roman"/>
          <w:color w:val="auto"/>
          <w:sz w:val="28"/>
          <w:szCs w:val="28"/>
          <w:highlight w:val="none"/>
          <w:lang w:eastAsia="zh-CN"/>
        </w:rPr>
        <w:t>水库富营养化程度</w:t>
      </w:r>
    </w:p>
    <w:p w14:paraId="11F4D47C">
      <w:pPr>
        <w:adjustRightInd w:val="0"/>
        <w:snapToGrid w:val="0"/>
        <w:rPr>
          <w:rFonts w:ascii="宋体" w:hAnsi="宋体"/>
          <w:color w:val="auto"/>
          <w:szCs w:val="24"/>
          <w:highlight w:val="none"/>
        </w:rPr>
      </w:pPr>
      <w:r>
        <w:rPr>
          <w:rFonts w:hint="eastAsia" w:ascii="宋体" w:hAnsi="宋体"/>
          <w:color w:val="auto"/>
          <w:szCs w:val="24"/>
          <w:highlight w:val="none"/>
        </w:rPr>
        <w:t>①综合营养状态指数法</w:t>
      </w:r>
    </w:p>
    <w:p w14:paraId="0D33B2CC">
      <w:pPr>
        <w:adjustRightInd w:val="0"/>
        <w:snapToGrid w:val="0"/>
        <w:rPr>
          <w:rFonts w:ascii="宋体" w:hAnsi="宋体"/>
          <w:color w:val="auto"/>
          <w:szCs w:val="24"/>
          <w:highlight w:val="none"/>
        </w:rPr>
      </w:pPr>
      <w:r>
        <w:rPr>
          <w:rFonts w:hint="eastAsia" w:ascii="宋体" w:hAnsi="宋体"/>
          <w:color w:val="auto"/>
          <w:szCs w:val="24"/>
          <w:highlight w:val="none"/>
        </w:rPr>
        <w:t>根据《地表水环境质量评价办法（试行）》（环办</w:t>
      </w:r>
      <w:r>
        <w:rPr>
          <w:rFonts w:hint="eastAsia" w:ascii="TimesNewRomanPSMT" w:hAnsi="TimesNewRomanPSMT" w:eastAsia="TimesNewRomanPSMT"/>
          <w:color w:val="auto"/>
          <w:szCs w:val="24"/>
          <w:highlight w:val="none"/>
        </w:rPr>
        <w:t xml:space="preserve">[2011]22 </w:t>
      </w:r>
      <w:r>
        <w:rPr>
          <w:rFonts w:hint="eastAsia" w:ascii="宋体" w:hAnsi="宋体"/>
          <w:color w:val="auto"/>
          <w:szCs w:val="24"/>
          <w:highlight w:val="none"/>
        </w:rPr>
        <w:t>号），采用综合营养状态指数法进行营养状态评价。综合营养状态指数计算公式如下：</w:t>
      </w:r>
    </w:p>
    <w:p w14:paraId="00F25604">
      <w:pPr>
        <w:jc w:val="center"/>
        <w:rPr>
          <w:color w:val="auto"/>
          <w:highlight w:val="none"/>
        </w:rPr>
      </w:pPr>
      <w:r>
        <w:rPr>
          <w:color w:val="auto"/>
          <w:highlight w:val="none"/>
        </w:rPr>
        <w:drawing>
          <wp:inline distT="0" distB="0" distL="114300" distR="114300">
            <wp:extent cx="1628775" cy="4381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5"/>
                    <a:stretch>
                      <a:fillRect/>
                    </a:stretch>
                  </pic:blipFill>
                  <pic:spPr>
                    <a:xfrm>
                      <a:off x="0" y="0"/>
                      <a:ext cx="1628775" cy="438150"/>
                    </a:xfrm>
                    <a:prstGeom prst="rect">
                      <a:avLst/>
                    </a:prstGeom>
                    <a:noFill/>
                    <a:ln>
                      <a:noFill/>
                    </a:ln>
                  </pic:spPr>
                </pic:pic>
              </a:graphicData>
            </a:graphic>
          </wp:inline>
        </w:drawing>
      </w:r>
    </w:p>
    <w:p w14:paraId="0A0F72DF">
      <w:pPr>
        <w:ind w:firstLine="0" w:firstLineChars="0"/>
        <w:rPr>
          <w:rFonts w:ascii="宋体" w:hAnsi="宋体"/>
          <w:color w:val="auto"/>
          <w:szCs w:val="24"/>
          <w:highlight w:val="none"/>
        </w:rPr>
      </w:pPr>
      <w:r>
        <w:rPr>
          <w:rFonts w:hint="eastAsia" w:ascii="宋体" w:hAnsi="宋体"/>
          <w:color w:val="auto"/>
          <w:szCs w:val="24"/>
          <w:highlight w:val="none"/>
        </w:rPr>
        <w:t>式中：</w:t>
      </w:r>
      <w:r>
        <w:rPr>
          <w:rFonts w:hint="eastAsia" w:ascii="TimesNewRomanPSMT" w:hAnsi="TimesNewRomanPSMT" w:eastAsia="TimesNewRomanPSMT"/>
          <w:color w:val="auto"/>
          <w:szCs w:val="24"/>
          <w:highlight w:val="none"/>
        </w:rPr>
        <w:t>TLI</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Σ</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w:t>
      </w:r>
      <w:r>
        <w:rPr>
          <w:rFonts w:hint="eastAsia" w:ascii="宋体" w:hAnsi="宋体"/>
          <w:color w:val="auto"/>
          <w:szCs w:val="24"/>
          <w:highlight w:val="none"/>
        </w:rPr>
        <w:t>综合营养状态指数；</w:t>
      </w:r>
    </w:p>
    <w:p w14:paraId="4E5A67AB">
      <w:pPr>
        <w:ind w:firstLine="720" w:firstLineChars="300"/>
        <w:rPr>
          <w:rFonts w:ascii="宋体" w:hAnsi="宋体"/>
          <w:color w:val="auto"/>
          <w:szCs w:val="24"/>
          <w:highlight w:val="none"/>
        </w:rPr>
      </w:pPr>
      <w:r>
        <w:rPr>
          <w:rFonts w:hint="eastAsia" w:ascii="TimesNewRomanPSMT" w:hAnsi="TimesNewRomanPSMT" w:eastAsia="TimesNewRomanPSMT"/>
          <w:color w:val="auto"/>
          <w:szCs w:val="24"/>
          <w:highlight w:val="none"/>
        </w:rPr>
        <w:t>Wj——</w:t>
      </w:r>
      <w:r>
        <w:rPr>
          <w:rFonts w:hint="eastAsia" w:ascii="宋体" w:hAnsi="宋体"/>
          <w:color w:val="auto"/>
          <w:szCs w:val="24"/>
          <w:highlight w:val="none"/>
        </w:rPr>
        <w:t>第</w:t>
      </w:r>
      <w:r>
        <w:rPr>
          <w:rFonts w:hint="eastAsia" w:ascii="TimesNewRomanPSMT" w:hAnsi="TimesNewRomanPSMT" w:eastAsia="TimesNewRomanPSMT"/>
          <w:color w:val="auto"/>
          <w:szCs w:val="24"/>
          <w:highlight w:val="none"/>
        </w:rPr>
        <w:t xml:space="preserve">j </w:t>
      </w:r>
      <w:r>
        <w:rPr>
          <w:rFonts w:hint="eastAsia" w:ascii="宋体" w:hAnsi="宋体"/>
          <w:color w:val="auto"/>
          <w:szCs w:val="24"/>
          <w:highlight w:val="none"/>
        </w:rPr>
        <w:t>种参数的营养状态指数的相关权重；</w:t>
      </w:r>
    </w:p>
    <w:p w14:paraId="2CB48B99">
      <w:pPr>
        <w:ind w:firstLine="720" w:firstLineChars="300"/>
        <w:rPr>
          <w:rFonts w:ascii="宋体" w:hAnsi="宋体"/>
          <w:color w:val="auto"/>
          <w:szCs w:val="24"/>
          <w:highlight w:val="none"/>
        </w:rPr>
      </w:pPr>
      <w:r>
        <w:rPr>
          <w:rFonts w:hint="eastAsia" w:ascii="TimesNewRomanPSMT" w:hAnsi="TimesNewRomanPSMT" w:eastAsia="TimesNewRomanPSMT"/>
          <w:color w:val="auto"/>
          <w:szCs w:val="24"/>
          <w:highlight w:val="none"/>
        </w:rPr>
        <w:t>TLI</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j</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w:t>
      </w:r>
      <w:r>
        <w:rPr>
          <w:rFonts w:hint="eastAsia" w:ascii="宋体" w:hAnsi="宋体"/>
          <w:color w:val="auto"/>
          <w:szCs w:val="24"/>
          <w:highlight w:val="none"/>
        </w:rPr>
        <w:t>代表第</w:t>
      </w:r>
      <w:r>
        <w:rPr>
          <w:rFonts w:hint="eastAsia" w:ascii="TimesNewRomanPSMT" w:hAnsi="TimesNewRomanPSMT" w:eastAsia="TimesNewRomanPSMT"/>
          <w:color w:val="auto"/>
          <w:szCs w:val="24"/>
          <w:highlight w:val="none"/>
        </w:rPr>
        <w:t xml:space="preserve">j </w:t>
      </w:r>
      <w:r>
        <w:rPr>
          <w:rFonts w:hint="eastAsia" w:ascii="宋体" w:hAnsi="宋体"/>
          <w:color w:val="auto"/>
          <w:szCs w:val="24"/>
          <w:highlight w:val="none"/>
        </w:rPr>
        <w:t>种参数的营养状态指数。</w:t>
      </w:r>
    </w:p>
    <w:p w14:paraId="7F2F5724">
      <w:pPr>
        <w:rPr>
          <w:rFonts w:ascii="宋体" w:hAnsi="宋体"/>
          <w:color w:val="auto"/>
          <w:szCs w:val="24"/>
          <w:highlight w:val="none"/>
        </w:rPr>
      </w:pPr>
      <w:r>
        <w:rPr>
          <w:rFonts w:hint="eastAsia" w:ascii="宋体" w:hAnsi="宋体"/>
          <w:color w:val="auto"/>
          <w:szCs w:val="24"/>
          <w:highlight w:val="none"/>
        </w:rPr>
        <w:t>以</w:t>
      </w:r>
      <w:r>
        <w:rPr>
          <w:rFonts w:hint="eastAsia" w:ascii="TimesNewRomanPSMT" w:hAnsi="TimesNewRomanPSMT" w:eastAsia="TimesNewRomanPSMT"/>
          <w:color w:val="auto"/>
          <w:szCs w:val="24"/>
          <w:highlight w:val="none"/>
        </w:rPr>
        <w:t>chla</w:t>
      </w:r>
      <w:r>
        <w:rPr>
          <w:rFonts w:hint="eastAsia" w:ascii="宋体" w:hAnsi="宋体"/>
          <w:color w:val="auto"/>
          <w:szCs w:val="24"/>
          <w:highlight w:val="none"/>
        </w:rPr>
        <w:t>（叶绿素</w:t>
      </w:r>
      <w:r>
        <w:rPr>
          <w:rFonts w:hint="eastAsia" w:ascii="TimesNewRomanPSMT" w:hAnsi="TimesNewRomanPSMT" w:eastAsia="TimesNewRomanPSMT"/>
          <w:color w:val="auto"/>
          <w:szCs w:val="24"/>
          <w:highlight w:val="none"/>
        </w:rPr>
        <w:t>a</w:t>
      </w:r>
      <w:r>
        <w:rPr>
          <w:rFonts w:hint="eastAsia" w:ascii="宋体" w:hAnsi="宋体"/>
          <w:color w:val="auto"/>
          <w:szCs w:val="24"/>
          <w:highlight w:val="none"/>
        </w:rPr>
        <w:t>）作为基准参数，则第</w:t>
      </w:r>
      <w:r>
        <w:rPr>
          <w:rFonts w:hint="eastAsia" w:ascii="TimesNewRomanPSMT" w:hAnsi="TimesNewRomanPSMT" w:eastAsia="TimesNewRomanPSMT"/>
          <w:color w:val="auto"/>
          <w:szCs w:val="24"/>
          <w:highlight w:val="none"/>
        </w:rPr>
        <w:t xml:space="preserve">j </w:t>
      </w:r>
      <w:r>
        <w:rPr>
          <w:rFonts w:hint="eastAsia" w:ascii="宋体" w:hAnsi="宋体"/>
          <w:color w:val="auto"/>
          <w:szCs w:val="24"/>
          <w:highlight w:val="none"/>
        </w:rPr>
        <w:t>种参数的归一化的相关权重计算公式为：</w:t>
      </w:r>
    </w:p>
    <w:p w14:paraId="0330F755">
      <w:pPr>
        <w:jc w:val="center"/>
        <w:rPr>
          <w:rFonts w:ascii="宋体" w:hAnsi="宋体"/>
          <w:color w:val="auto"/>
          <w:szCs w:val="24"/>
          <w:highlight w:val="none"/>
        </w:rPr>
      </w:pPr>
      <w:r>
        <w:rPr>
          <w:rFonts w:hint="eastAsia" w:ascii="宋体" w:hAnsi="宋体"/>
          <w:color w:val="auto"/>
          <w:position w:val="-64"/>
          <w:szCs w:val="24"/>
          <w:highlight w:val="none"/>
        </w:rPr>
        <w:object>
          <v:shape id="_x0000_i1027" o:spt="75" type="#_x0000_t75" style="height:54pt;width:56pt;" o:ole="t" filled="f" o:preferrelative="t" stroked="f" coordsize="21600,21600">
            <v:path/>
            <v:fill on="f" focussize="0,0"/>
            <v:stroke on="f" joinstyle="miter"/>
            <v:imagedata r:id="rId77" o:title=""/>
            <o:lock v:ext="edit" aspectratio="t"/>
            <w10:wrap type="none"/>
            <w10:anchorlock/>
          </v:shape>
          <o:OLEObject Type="Embed" ProgID="Equation.KSEE3" ShapeID="_x0000_i1027" DrawAspect="Content" ObjectID="_1468075727" r:id="rId76">
            <o:LockedField>false</o:LockedField>
          </o:OLEObject>
        </w:object>
      </w:r>
    </w:p>
    <w:p w14:paraId="09D2F880">
      <w:pPr>
        <w:rPr>
          <w:rFonts w:ascii="宋体" w:hAnsi="宋体"/>
          <w:color w:val="auto"/>
          <w:szCs w:val="24"/>
          <w:highlight w:val="none"/>
        </w:rPr>
      </w:pPr>
      <w:r>
        <w:rPr>
          <w:rFonts w:hint="eastAsia" w:ascii="宋体" w:hAnsi="宋体"/>
          <w:color w:val="auto"/>
          <w:szCs w:val="24"/>
          <w:highlight w:val="none"/>
        </w:rPr>
        <w:t>式中：</w:t>
      </w:r>
      <w:r>
        <w:rPr>
          <w:rFonts w:hint="eastAsia" w:ascii="TimesNewRomanPSMT" w:hAnsi="TimesNewRomanPSMT" w:eastAsia="TimesNewRomanPSMT"/>
          <w:color w:val="auto"/>
          <w:szCs w:val="24"/>
          <w:highlight w:val="none"/>
        </w:rPr>
        <w:t>r</w:t>
      </w:r>
      <w:r>
        <w:rPr>
          <w:rFonts w:hint="eastAsia" w:ascii="TimesNewRomanPSMT" w:hAnsi="TimesNewRomanPSMT" w:eastAsia="TimesNewRomanPSMT"/>
          <w:color w:val="auto"/>
          <w:sz w:val="16"/>
          <w:szCs w:val="24"/>
          <w:highlight w:val="none"/>
        </w:rPr>
        <w:t>ij</w:t>
      </w:r>
      <w:r>
        <w:rPr>
          <w:rFonts w:hint="eastAsia" w:ascii="TimesNewRomanPSMT" w:hAnsi="TimesNewRomanPSMT" w:eastAsia="TimesNewRomanPSMT"/>
          <w:color w:val="auto"/>
          <w:szCs w:val="24"/>
          <w:highlight w:val="none"/>
        </w:rPr>
        <w:t>——</w:t>
      </w:r>
      <w:r>
        <w:rPr>
          <w:rFonts w:hint="eastAsia" w:ascii="宋体" w:hAnsi="宋体"/>
          <w:color w:val="auto"/>
          <w:szCs w:val="24"/>
          <w:highlight w:val="none"/>
        </w:rPr>
        <w:t>第</w:t>
      </w:r>
      <w:r>
        <w:rPr>
          <w:rFonts w:hint="eastAsia" w:ascii="TimesNewRomanPSMT" w:hAnsi="TimesNewRomanPSMT" w:eastAsia="TimesNewRomanPSMT"/>
          <w:color w:val="auto"/>
          <w:szCs w:val="24"/>
          <w:highlight w:val="none"/>
        </w:rPr>
        <w:t>j</w:t>
      </w:r>
      <w:r>
        <w:rPr>
          <w:rFonts w:hint="eastAsia" w:ascii="宋体" w:hAnsi="宋体"/>
          <w:color w:val="auto"/>
          <w:szCs w:val="24"/>
          <w:highlight w:val="none"/>
        </w:rPr>
        <w:t>种参数与基准参数</w:t>
      </w:r>
      <w:r>
        <w:rPr>
          <w:rFonts w:hint="eastAsia" w:ascii="TimesNewRomanPSMT" w:hAnsi="TimesNewRomanPSMT" w:eastAsia="TimesNewRomanPSMT"/>
          <w:color w:val="auto"/>
          <w:szCs w:val="24"/>
          <w:highlight w:val="none"/>
        </w:rPr>
        <w:t xml:space="preserve">chla </w:t>
      </w:r>
      <w:r>
        <w:rPr>
          <w:rFonts w:hint="eastAsia" w:ascii="宋体" w:hAnsi="宋体"/>
          <w:color w:val="auto"/>
          <w:szCs w:val="24"/>
          <w:highlight w:val="none"/>
        </w:rPr>
        <w:t>的相关系数；</w:t>
      </w:r>
    </w:p>
    <w:p w14:paraId="64E447E7">
      <w:pPr>
        <w:ind w:firstLine="1200" w:firstLineChars="500"/>
        <w:rPr>
          <w:rFonts w:ascii="宋体" w:hAnsi="宋体"/>
          <w:color w:val="auto"/>
          <w:szCs w:val="24"/>
          <w:highlight w:val="none"/>
        </w:rPr>
      </w:pPr>
      <w:r>
        <w:rPr>
          <w:rFonts w:hint="eastAsia" w:ascii="TimesNewRomanPSMT" w:hAnsi="TimesNewRomanPSMT" w:eastAsia="TimesNewRomanPSMT"/>
          <w:color w:val="auto"/>
          <w:szCs w:val="24"/>
          <w:highlight w:val="none"/>
        </w:rPr>
        <w:t>m——</w:t>
      </w:r>
      <w:r>
        <w:rPr>
          <w:rFonts w:hint="eastAsia" w:ascii="宋体" w:hAnsi="宋体"/>
          <w:color w:val="auto"/>
          <w:szCs w:val="24"/>
          <w:highlight w:val="none"/>
        </w:rPr>
        <w:t>评价参数的个数。</w:t>
      </w:r>
    </w:p>
    <w:p w14:paraId="39B36F50">
      <w:pPr>
        <w:pStyle w:val="27"/>
        <w:widowControl/>
        <w:spacing w:beforeAutospacing="0" w:afterAutospacing="0"/>
        <w:rPr>
          <w:rFonts w:hint="default" w:eastAsia="宋体"/>
          <w:color w:val="auto"/>
          <w:highlight w:val="none"/>
          <w:lang w:val="en-US" w:eastAsia="zh-CN"/>
        </w:rPr>
      </w:pPr>
      <w:r>
        <w:rPr>
          <w:rFonts w:hint="eastAsia" w:ascii="TimesNewRomanPSMT" w:hAnsi="TimesNewRomanPSMT" w:eastAsia="TimesNewRomanPSMT"/>
          <w:color w:val="auto"/>
          <w:szCs w:val="24"/>
          <w:highlight w:val="none"/>
        </w:rPr>
        <w:t>Wj</w:t>
      </w:r>
      <w:r>
        <w:rPr>
          <w:rFonts w:hint="eastAsia"/>
          <w:color w:val="auto"/>
          <w:highlight w:val="none"/>
        </w:rPr>
        <w:t>参考《</w:t>
      </w:r>
      <w:r>
        <w:rPr>
          <w:color w:val="auto"/>
          <w:highlight w:val="none"/>
        </w:rPr>
        <w:t>202</w:t>
      </w:r>
      <w:r>
        <w:rPr>
          <w:rFonts w:hint="eastAsia"/>
          <w:color w:val="auto"/>
          <w:highlight w:val="none"/>
          <w:lang w:val="en-US" w:eastAsia="zh-CN"/>
        </w:rPr>
        <w:t>4</w:t>
      </w:r>
      <w:r>
        <w:rPr>
          <w:color w:val="auto"/>
          <w:highlight w:val="none"/>
        </w:rPr>
        <w:t>年宁夏环境质量状况</w:t>
      </w:r>
      <w:r>
        <w:rPr>
          <w:rFonts w:hint="eastAsia"/>
          <w:color w:val="auto"/>
          <w:highlight w:val="none"/>
        </w:rPr>
        <w:t>报告》中湖泊（水库）营养状态指数相关权重，详见表6.</w:t>
      </w:r>
      <w:r>
        <w:rPr>
          <w:rFonts w:hint="eastAsia"/>
          <w:color w:val="auto"/>
          <w:highlight w:val="none"/>
          <w:lang w:val="en-US" w:eastAsia="zh-CN"/>
        </w:rPr>
        <w:t>6-1。</w:t>
      </w:r>
    </w:p>
    <w:p w14:paraId="5611EA22">
      <w:pPr>
        <w:spacing w:line="276" w:lineRule="auto"/>
        <w:ind w:firstLine="482"/>
        <w:jc w:val="center"/>
        <w:rPr>
          <w:b/>
          <w:bCs/>
          <w:color w:val="auto"/>
          <w:kern w:val="0"/>
          <w:szCs w:val="21"/>
          <w:highlight w:val="none"/>
        </w:rPr>
      </w:pPr>
      <w:r>
        <w:rPr>
          <w:rFonts w:hint="eastAsia"/>
          <w:b/>
          <w:bCs/>
          <w:color w:val="auto"/>
          <w:kern w:val="0"/>
          <w:szCs w:val="21"/>
          <w:highlight w:val="none"/>
        </w:rPr>
        <w:t>表6.</w:t>
      </w:r>
      <w:r>
        <w:rPr>
          <w:rFonts w:hint="eastAsia"/>
          <w:b/>
          <w:bCs/>
          <w:color w:val="auto"/>
          <w:kern w:val="0"/>
          <w:szCs w:val="21"/>
          <w:highlight w:val="none"/>
          <w:lang w:val="en-US" w:eastAsia="zh-CN"/>
        </w:rPr>
        <w:t>6-1</w:t>
      </w:r>
      <w:r>
        <w:rPr>
          <w:rFonts w:hint="eastAsia"/>
          <w:b/>
          <w:bCs/>
          <w:color w:val="auto"/>
          <w:kern w:val="0"/>
          <w:szCs w:val="21"/>
          <w:highlight w:val="none"/>
        </w:rPr>
        <w:t>中国湖泊部分参数与chla 的相关关系rij、rij2 值及wj</w:t>
      </w:r>
    </w:p>
    <w:tbl>
      <w:tblPr>
        <w:tblStyle w:val="31"/>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979"/>
        <w:gridCol w:w="2052"/>
        <w:gridCol w:w="3104"/>
      </w:tblGrid>
      <w:tr w14:paraId="50281A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exact"/>
        </w:trPr>
        <w:tc>
          <w:tcPr>
            <w:tcW w:w="1384" w:type="dxa"/>
            <w:tcBorders>
              <w:tl2br w:val="nil"/>
              <w:tr2bl w:val="nil"/>
            </w:tcBorders>
            <w:vAlign w:val="center"/>
          </w:tcPr>
          <w:p w14:paraId="30395A87">
            <w:pPr>
              <w:pStyle w:val="29"/>
              <w:suppressLineNumbers w:val="0"/>
              <w:spacing w:beforeAutospacing="0" w:afterAutospacing="0"/>
              <w:ind w:left="0" w:right="0"/>
              <w:rPr>
                <w:rFonts w:hint="default"/>
                <w:b/>
                <w:bCs/>
                <w:color w:val="auto"/>
                <w:highlight w:val="none"/>
              </w:rPr>
            </w:pPr>
            <w:bookmarkStart w:id="5950" w:name="_Toc5605"/>
            <w:r>
              <w:rPr>
                <w:rFonts w:hint="eastAsia"/>
                <w:b/>
                <w:bCs/>
                <w:color w:val="auto"/>
                <w:highlight w:val="none"/>
              </w:rPr>
              <w:t>参数</w:t>
            </w:r>
            <w:bookmarkEnd w:id="5950"/>
          </w:p>
        </w:tc>
        <w:tc>
          <w:tcPr>
            <w:tcW w:w="1979" w:type="dxa"/>
            <w:tcBorders>
              <w:tl2br w:val="nil"/>
              <w:tr2bl w:val="nil"/>
            </w:tcBorders>
            <w:vAlign w:val="center"/>
          </w:tcPr>
          <w:p w14:paraId="331796D6">
            <w:pPr>
              <w:pStyle w:val="29"/>
              <w:suppressLineNumbers w:val="0"/>
              <w:spacing w:beforeAutospacing="0" w:afterAutospacing="0"/>
              <w:ind w:left="0" w:right="0"/>
              <w:rPr>
                <w:rFonts w:hint="default"/>
                <w:b/>
                <w:bCs/>
                <w:color w:val="auto"/>
                <w:highlight w:val="none"/>
              </w:rPr>
            </w:pPr>
            <w:bookmarkStart w:id="5951" w:name="_Toc27975"/>
            <w:r>
              <w:rPr>
                <w:rFonts w:hint="default"/>
                <w:b/>
                <w:bCs/>
                <w:color w:val="auto"/>
                <w:highlight w:val="none"/>
              </w:rPr>
              <w:t>TP</w:t>
            </w:r>
            <w:r>
              <w:rPr>
                <w:rFonts w:hint="eastAsia"/>
                <w:b/>
                <w:bCs/>
                <w:color w:val="auto"/>
                <w:highlight w:val="none"/>
              </w:rPr>
              <w:t>（总磷）</w:t>
            </w:r>
            <w:bookmarkEnd w:id="5951"/>
          </w:p>
        </w:tc>
        <w:tc>
          <w:tcPr>
            <w:tcW w:w="2052" w:type="dxa"/>
            <w:tcBorders>
              <w:tl2br w:val="nil"/>
              <w:tr2bl w:val="nil"/>
            </w:tcBorders>
            <w:vAlign w:val="center"/>
          </w:tcPr>
          <w:p w14:paraId="5C35A0A2">
            <w:pPr>
              <w:pStyle w:val="29"/>
              <w:suppressLineNumbers w:val="0"/>
              <w:spacing w:beforeAutospacing="0" w:afterAutospacing="0"/>
              <w:ind w:left="0" w:right="0"/>
              <w:rPr>
                <w:rFonts w:hint="default"/>
                <w:b/>
                <w:bCs/>
                <w:color w:val="auto"/>
                <w:highlight w:val="none"/>
              </w:rPr>
            </w:pPr>
            <w:bookmarkStart w:id="5952" w:name="_Toc5370"/>
            <w:r>
              <w:rPr>
                <w:rFonts w:hint="default"/>
                <w:b/>
                <w:bCs/>
                <w:color w:val="auto"/>
                <w:highlight w:val="none"/>
              </w:rPr>
              <w:t>TN</w:t>
            </w:r>
            <w:r>
              <w:rPr>
                <w:rFonts w:hint="eastAsia"/>
                <w:b/>
                <w:bCs/>
                <w:color w:val="auto"/>
                <w:highlight w:val="none"/>
              </w:rPr>
              <w:t>（总氮）</w:t>
            </w:r>
            <w:bookmarkEnd w:id="5952"/>
          </w:p>
        </w:tc>
        <w:tc>
          <w:tcPr>
            <w:tcW w:w="3104" w:type="dxa"/>
            <w:tcBorders>
              <w:tl2br w:val="nil"/>
              <w:tr2bl w:val="nil"/>
            </w:tcBorders>
            <w:vAlign w:val="center"/>
          </w:tcPr>
          <w:p w14:paraId="64515FAD">
            <w:pPr>
              <w:pStyle w:val="29"/>
              <w:suppressLineNumbers w:val="0"/>
              <w:spacing w:beforeAutospacing="0" w:afterAutospacing="0"/>
              <w:ind w:left="0" w:right="0"/>
              <w:rPr>
                <w:rFonts w:hint="default"/>
                <w:b/>
                <w:bCs/>
                <w:color w:val="auto"/>
                <w:highlight w:val="none"/>
              </w:rPr>
            </w:pPr>
            <w:bookmarkStart w:id="5953" w:name="_Toc5062"/>
            <w:r>
              <w:rPr>
                <w:rFonts w:hint="default"/>
                <w:b/>
                <w:bCs/>
                <w:color w:val="auto"/>
                <w:highlight w:val="none"/>
              </w:rPr>
              <w:t>CODMn</w:t>
            </w:r>
            <w:bookmarkEnd w:id="5953"/>
          </w:p>
          <w:p w14:paraId="27C41642">
            <w:pPr>
              <w:pStyle w:val="29"/>
              <w:suppressLineNumbers w:val="0"/>
              <w:spacing w:beforeAutospacing="0" w:afterAutospacing="0"/>
              <w:ind w:left="0" w:right="0"/>
              <w:jc w:val="both"/>
              <w:rPr>
                <w:rFonts w:hint="default"/>
                <w:b/>
                <w:bCs/>
                <w:color w:val="auto"/>
                <w:highlight w:val="none"/>
              </w:rPr>
            </w:pPr>
            <w:bookmarkStart w:id="5954" w:name="_Toc30565"/>
            <w:r>
              <w:rPr>
                <w:rFonts w:hint="eastAsia"/>
                <w:b/>
                <w:bCs/>
                <w:color w:val="auto"/>
                <w:highlight w:val="none"/>
              </w:rPr>
              <w:t>（高锰酸盐指数）</w:t>
            </w:r>
            <w:bookmarkEnd w:id="5954"/>
          </w:p>
        </w:tc>
      </w:tr>
      <w:tr w14:paraId="799307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384" w:type="dxa"/>
            <w:tcBorders>
              <w:tl2br w:val="nil"/>
              <w:tr2bl w:val="nil"/>
            </w:tcBorders>
            <w:vAlign w:val="center"/>
          </w:tcPr>
          <w:p w14:paraId="5E64D99D">
            <w:pPr>
              <w:pStyle w:val="29"/>
              <w:suppressLineNumbers w:val="0"/>
              <w:spacing w:beforeAutospacing="0" w:afterAutospacing="0"/>
              <w:ind w:left="0" w:right="0"/>
              <w:rPr>
                <w:rFonts w:hint="default"/>
                <w:color w:val="auto"/>
                <w:highlight w:val="none"/>
              </w:rPr>
            </w:pPr>
            <w:bookmarkStart w:id="5955" w:name="_Toc10099"/>
            <w:r>
              <w:rPr>
                <w:rFonts w:hint="default"/>
                <w:color w:val="auto"/>
                <w:highlight w:val="none"/>
              </w:rPr>
              <w:t>rij</w:t>
            </w:r>
            <w:bookmarkEnd w:id="5955"/>
          </w:p>
        </w:tc>
        <w:tc>
          <w:tcPr>
            <w:tcW w:w="1979" w:type="dxa"/>
            <w:tcBorders>
              <w:tl2br w:val="nil"/>
              <w:tr2bl w:val="nil"/>
            </w:tcBorders>
            <w:vAlign w:val="center"/>
          </w:tcPr>
          <w:p w14:paraId="09B78083">
            <w:pPr>
              <w:pStyle w:val="29"/>
              <w:suppressLineNumbers w:val="0"/>
              <w:spacing w:beforeAutospacing="0" w:afterAutospacing="0"/>
              <w:ind w:left="0" w:right="0"/>
              <w:rPr>
                <w:rFonts w:hint="default"/>
                <w:color w:val="auto"/>
                <w:highlight w:val="none"/>
              </w:rPr>
            </w:pPr>
            <w:bookmarkStart w:id="5956" w:name="_Toc21947"/>
            <w:r>
              <w:rPr>
                <w:rFonts w:hint="default"/>
                <w:color w:val="auto"/>
                <w:highlight w:val="none"/>
              </w:rPr>
              <w:t>0.84</w:t>
            </w:r>
            <w:bookmarkEnd w:id="5956"/>
          </w:p>
        </w:tc>
        <w:tc>
          <w:tcPr>
            <w:tcW w:w="2052" w:type="dxa"/>
            <w:tcBorders>
              <w:tl2br w:val="nil"/>
              <w:tr2bl w:val="nil"/>
            </w:tcBorders>
            <w:vAlign w:val="center"/>
          </w:tcPr>
          <w:p w14:paraId="2365E6F5">
            <w:pPr>
              <w:pStyle w:val="29"/>
              <w:suppressLineNumbers w:val="0"/>
              <w:spacing w:beforeAutospacing="0" w:afterAutospacing="0"/>
              <w:ind w:left="0" w:right="0"/>
              <w:rPr>
                <w:rFonts w:hint="default"/>
                <w:color w:val="auto"/>
                <w:highlight w:val="none"/>
              </w:rPr>
            </w:pPr>
            <w:r>
              <w:rPr>
                <w:rFonts w:hint="default"/>
                <w:color w:val="auto"/>
                <w:highlight w:val="none"/>
              </w:rPr>
              <w:t>0.82</w:t>
            </w:r>
          </w:p>
        </w:tc>
        <w:tc>
          <w:tcPr>
            <w:tcW w:w="3104" w:type="dxa"/>
            <w:tcBorders>
              <w:tl2br w:val="nil"/>
              <w:tr2bl w:val="nil"/>
            </w:tcBorders>
            <w:vAlign w:val="center"/>
          </w:tcPr>
          <w:p w14:paraId="6038BE9F">
            <w:pPr>
              <w:pStyle w:val="29"/>
              <w:suppressLineNumbers w:val="0"/>
              <w:spacing w:beforeAutospacing="0" w:afterAutospacing="0"/>
              <w:ind w:left="0" w:right="0"/>
              <w:rPr>
                <w:rFonts w:hint="default"/>
                <w:color w:val="auto"/>
                <w:highlight w:val="none"/>
              </w:rPr>
            </w:pPr>
            <w:r>
              <w:rPr>
                <w:rFonts w:hint="default"/>
                <w:color w:val="auto"/>
                <w:highlight w:val="none"/>
              </w:rPr>
              <w:t>0.83</w:t>
            </w:r>
          </w:p>
        </w:tc>
      </w:tr>
      <w:tr w14:paraId="488C6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384" w:type="dxa"/>
            <w:tcBorders>
              <w:tl2br w:val="nil"/>
              <w:tr2bl w:val="nil"/>
            </w:tcBorders>
            <w:vAlign w:val="center"/>
          </w:tcPr>
          <w:p w14:paraId="4C6051A0">
            <w:pPr>
              <w:pStyle w:val="29"/>
              <w:suppressLineNumbers w:val="0"/>
              <w:spacing w:beforeAutospacing="0" w:afterAutospacing="0"/>
              <w:ind w:left="0" w:right="0"/>
              <w:rPr>
                <w:rFonts w:hint="default"/>
                <w:color w:val="auto"/>
                <w:highlight w:val="none"/>
              </w:rPr>
            </w:pPr>
            <w:r>
              <w:rPr>
                <w:rFonts w:hint="default"/>
                <w:color w:val="auto"/>
                <w:highlight w:val="none"/>
              </w:rPr>
              <w:t>rij2</w:t>
            </w:r>
          </w:p>
        </w:tc>
        <w:tc>
          <w:tcPr>
            <w:tcW w:w="1979" w:type="dxa"/>
            <w:tcBorders>
              <w:tl2br w:val="nil"/>
              <w:tr2bl w:val="nil"/>
            </w:tcBorders>
            <w:vAlign w:val="center"/>
          </w:tcPr>
          <w:p w14:paraId="439D74C0">
            <w:pPr>
              <w:pStyle w:val="29"/>
              <w:suppressLineNumbers w:val="0"/>
              <w:spacing w:beforeAutospacing="0" w:afterAutospacing="0"/>
              <w:ind w:left="0" w:right="0"/>
              <w:rPr>
                <w:rFonts w:hint="default"/>
                <w:color w:val="auto"/>
                <w:highlight w:val="none"/>
              </w:rPr>
            </w:pPr>
            <w:r>
              <w:rPr>
                <w:rFonts w:hint="default"/>
                <w:color w:val="auto"/>
                <w:highlight w:val="none"/>
              </w:rPr>
              <w:t>0.7056</w:t>
            </w:r>
          </w:p>
        </w:tc>
        <w:tc>
          <w:tcPr>
            <w:tcW w:w="2052" w:type="dxa"/>
            <w:tcBorders>
              <w:tl2br w:val="nil"/>
              <w:tr2bl w:val="nil"/>
            </w:tcBorders>
            <w:vAlign w:val="center"/>
          </w:tcPr>
          <w:p w14:paraId="2394B5AB">
            <w:pPr>
              <w:pStyle w:val="29"/>
              <w:suppressLineNumbers w:val="0"/>
              <w:spacing w:beforeAutospacing="0" w:afterAutospacing="0"/>
              <w:ind w:left="0" w:right="0"/>
              <w:rPr>
                <w:rFonts w:hint="default"/>
                <w:color w:val="auto"/>
                <w:highlight w:val="none"/>
              </w:rPr>
            </w:pPr>
            <w:bookmarkStart w:id="5957" w:name="_Toc12282"/>
            <w:r>
              <w:rPr>
                <w:rFonts w:hint="default"/>
                <w:color w:val="auto"/>
                <w:highlight w:val="none"/>
              </w:rPr>
              <w:t>0.6724</w:t>
            </w:r>
            <w:bookmarkEnd w:id="5957"/>
          </w:p>
        </w:tc>
        <w:tc>
          <w:tcPr>
            <w:tcW w:w="3104" w:type="dxa"/>
            <w:tcBorders>
              <w:tl2br w:val="nil"/>
              <w:tr2bl w:val="nil"/>
            </w:tcBorders>
            <w:vAlign w:val="center"/>
          </w:tcPr>
          <w:p w14:paraId="64127C01">
            <w:pPr>
              <w:pStyle w:val="29"/>
              <w:suppressLineNumbers w:val="0"/>
              <w:spacing w:beforeAutospacing="0" w:afterAutospacing="0"/>
              <w:ind w:left="0" w:right="0"/>
              <w:rPr>
                <w:rFonts w:hint="default"/>
                <w:color w:val="auto"/>
                <w:highlight w:val="none"/>
              </w:rPr>
            </w:pPr>
            <w:r>
              <w:rPr>
                <w:rFonts w:hint="default"/>
                <w:color w:val="auto"/>
                <w:highlight w:val="none"/>
              </w:rPr>
              <w:t>0.6889</w:t>
            </w:r>
          </w:p>
        </w:tc>
      </w:tr>
      <w:tr w14:paraId="2CCA23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exact"/>
        </w:trPr>
        <w:tc>
          <w:tcPr>
            <w:tcW w:w="1384" w:type="dxa"/>
            <w:tcBorders>
              <w:tl2br w:val="nil"/>
              <w:tr2bl w:val="nil"/>
            </w:tcBorders>
            <w:vAlign w:val="center"/>
          </w:tcPr>
          <w:p w14:paraId="615F1B8B">
            <w:pPr>
              <w:pStyle w:val="29"/>
              <w:suppressLineNumbers w:val="0"/>
              <w:spacing w:beforeAutospacing="0" w:afterAutospacing="0"/>
              <w:ind w:left="0" w:right="0"/>
              <w:rPr>
                <w:rFonts w:hint="default"/>
                <w:color w:val="auto"/>
                <w:highlight w:val="none"/>
              </w:rPr>
            </w:pPr>
            <w:bookmarkStart w:id="5958" w:name="_Toc23150"/>
            <w:r>
              <w:rPr>
                <w:rFonts w:hint="default"/>
                <w:color w:val="auto"/>
                <w:highlight w:val="none"/>
              </w:rPr>
              <w:t>wj</w:t>
            </w:r>
            <w:r>
              <w:rPr>
                <w:rFonts w:hint="eastAsia"/>
                <w:color w:val="auto"/>
                <w:highlight w:val="none"/>
              </w:rPr>
              <w:t>权重</w:t>
            </w:r>
            <w:bookmarkEnd w:id="5958"/>
          </w:p>
        </w:tc>
        <w:tc>
          <w:tcPr>
            <w:tcW w:w="1979" w:type="dxa"/>
            <w:tcBorders>
              <w:tl2br w:val="nil"/>
              <w:tr2bl w:val="nil"/>
            </w:tcBorders>
            <w:vAlign w:val="center"/>
          </w:tcPr>
          <w:p w14:paraId="79F67236">
            <w:pPr>
              <w:pStyle w:val="29"/>
              <w:suppressLineNumbers w:val="0"/>
              <w:spacing w:beforeAutospacing="0" w:afterAutospacing="0"/>
              <w:ind w:left="0" w:right="0"/>
              <w:rPr>
                <w:rFonts w:hint="default"/>
                <w:color w:val="auto"/>
                <w:highlight w:val="none"/>
              </w:rPr>
            </w:pPr>
            <w:bookmarkStart w:id="5959" w:name="_Toc16580"/>
            <w:r>
              <w:rPr>
                <w:rFonts w:hint="eastAsia"/>
                <w:color w:val="auto"/>
                <w:highlight w:val="none"/>
              </w:rPr>
              <w:t>0.188</w:t>
            </w:r>
            <w:bookmarkEnd w:id="5959"/>
          </w:p>
        </w:tc>
        <w:tc>
          <w:tcPr>
            <w:tcW w:w="2052" w:type="dxa"/>
            <w:tcBorders>
              <w:tl2br w:val="nil"/>
              <w:tr2bl w:val="nil"/>
            </w:tcBorders>
            <w:vAlign w:val="center"/>
          </w:tcPr>
          <w:p w14:paraId="127B0D97">
            <w:pPr>
              <w:pStyle w:val="29"/>
              <w:suppressLineNumbers w:val="0"/>
              <w:spacing w:beforeAutospacing="0" w:afterAutospacing="0"/>
              <w:ind w:left="0" w:right="0"/>
              <w:rPr>
                <w:rFonts w:hint="default"/>
                <w:color w:val="auto"/>
                <w:highlight w:val="none"/>
              </w:rPr>
            </w:pPr>
            <w:bookmarkStart w:id="5960" w:name="_Toc28012"/>
            <w:r>
              <w:rPr>
                <w:rFonts w:hint="default"/>
                <w:color w:val="auto"/>
                <w:highlight w:val="none"/>
              </w:rPr>
              <w:t>0.17</w:t>
            </w:r>
            <w:r>
              <w:rPr>
                <w:rFonts w:hint="eastAsia"/>
                <w:color w:val="auto"/>
                <w:highlight w:val="none"/>
              </w:rPr>
              <w:t>9</w:t>
            </w:r>
            <w:bookmarkEnd w:id="5960"/>
          </w:p>
        </w:tc>
        <w:tc>
          <w:tcPr>
            <w:tcW w:w="3104" w:type="dxa"/>
            <w:tcBorders>
              <w:tl2br w:val="nil"/>
              <w:tr2bl w:val="nil"/>
            </w:tcBorders>
            <w:vAlign w:val="center"/>
          </w:tcPr>
          <w:p w14:paraId="7C742156">
            <w:pPr>
              <w:pStyle w:val="29"/>
              <w:suppressLineNumbers w:val="0"/>
              <w:spacing w:beforeAutospacing="0" w:afterAutospacing="0"/>
              <w:ind w:left="0" w:right="0"/>
              <w:rPr>
                <w:rFonts w:hint="default" w:eastAsia="宋体"/>
                <w:color w:val="auto"/>
                <w:highlight w:val="none"/>
                <w:lang w:val="en-US" w:eastAsia="zh-CN"/>
              </w:rPr>
            </w:pPr>
            <w:bookmarkStart w:id="5961" w:name="_Toc12072"/>
            <w:r>
              <w:rPr>
                <w:rFonts w:hint="default"/>
                <w:color w:val="auto"/>
                <w:highlight w:val="none"/>
              </w:rPr>
              <w:t>0.1</w:t>
            </w:r>
            <w:bookmarkEnd w:id="5961"/>
            <w:r>
              <w:rPr>
                <w:rFonts w:hint="eastAsia"/>
                <w:color w:val="auto"/>
                <w:highlight w:val="none"/>
                <w:lang w:val="en-US" w:eastAsia="zh-CN"/>
              </w:rPr>
              <w:t>83</w:t>
            </w:r>
          </w:p>
        </w:tc>
      </w:tr>
    </w:tbl>
    <w:p w14:paraId="54290F1E">
      <w:pPr>
        <w:rPr>
          <w:rFonts w:ascii="宋体" w:hAnsi="宋体"/>
          <w:color w:val="auto"/>
          <w:szCs w:val="24"/>
          <w:highlight w:val="none"/>
        </w:rPr>
      </w:pPr>
      <w:r>
        <w:rPr>
          <w:rFonts w:hint="eastAsia" w:ascii="宋体" w:hAnsi="宋体"/>
          <w:color w:val="auto"/>
          <w:szCs w:val="24"/>
          <w:highlight w:val="none"/>
        </w:rPr>
        <w:t>②营养状态指数计算公式为：</w:t>
      </w:r>
    </w:p>
    <w:p w14:paraId="2FC76693">
      <w:pPr>
        <w:rPr>
          <w:rFonts w:ascii="TimesNewRomanPSMT" w:hAnsi="TimesNewRomanPSMT" w:eastAsia="TimesNewRomanPSMT"/>
          <w:color w:val="auto"/>
          <w:szCs w:val="24"/>
          <w:highlight w:val="none"/>
        </w:rPr>
      </w:pPr>
      <w:r>
        <w:rPr>
          <w:rFonts w:hint="eastAsia" w:ascii="TimesNewRomanPSMT" w:hAnsi="TimesNewRomanPSMT"/>
          <w:color w:val="auto"/>
          <w:szCs w:val="24"/>
          <w:highlight w:val="none"/>
        </w:rPr>
        <w:t>a.</w:t>
      </w:r>
      <w:r>
        <w:rPr>
          <w:rFonts w:hint="eastAsia" w:ascii="TimesNewRomanPSMT" w:hAnsi="TimesNewRomanPSMT" w:eastAsia="TimesNewRomanPSMT"/>
          <w:color w:val="auto"/>
          <w:szCs w:val="24"/>
          <w:highlight w:val="none"/>
        </w:rPr>
        <w:t>b.TLI（TP）=10（9.436+1.624lnTP）</w:t>
      </w:r>
    </w:p>
    <w:p w14:paraId="606D0507">
      <w:pPr>
        <w:rPr>
          <w:rFonts w:ascii="宋体" w:hAnsi="宋体"/>
          <w:color w:val="auto"/>
          <w:szCs w:val="24"/>
          <w:highlight w:val="none"/>
        </w:rPr>
      </w:pPr>
      <w:r>
        <w:rPr>
          <w:rFonts w:hint="eastAsia" w:ascii="TimesNewRomanPSMT" w:hAnsi="TimesNewRomanPSMT" w:eastAsia="TimesNewRomanPSMT"/>
          <w:color w:val="auto"/>
          <w:szCs w:val="24"/>
          <w:highlight w:val="none"/>
        </w:rPr>
        <w:t>b.TLI</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TN</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=10</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5.453+1.694lnTN</w:t>
      </w:r>
      <w:r>
        <w:rPr>
          <w:rFonts w:hint="eastAsia" w:ascii="宋体" w:hAnsi="宋体"/>
          <w:color w:val="auto"/>
          <w:szCs w:val="24"/>
          <w:highlight w:val="none"/>
        </w:rPr>
        <w:t>）</w:t>
      </w:r>
    </w:p>
    <w:p w14:paraId="1F268888">
      <w:pPr>
        <w:rPr>
          <w:rFonts w:ascii="宋体" w:hAnsi="宋体"/>
          <w:color w:val="auto"/>
          <w:szCs w:val="24"/>
          <w:highlight w:val="none"/>
        </w:rPr>
      </w:pPr>
      <w:r>
        <w:rPr>
          <w:rFonts w:hint="eastAsia" w:ascii="TimesNewRomanPSMT" w:hAnsi="TimesNewRomanPSMT" w:eastAsia="TimesNewRomanPSMT"/>
          <w:color w:val="auto"/>
          <w:szCs w:val="24"/>
          <w:highlight w:val="none"/>
        </w:rPr>
        <w:t>c.TLI</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CODMn</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=10</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0.109+2.661lnCOD</w:t>
      </w:r>
      <w:r>
        <w:rPr>
          <w:rFonts w:hint="eastAsia" w:ascii="宋体" w:hAnsi="宋体"/>
          <w:color w:val="auto"/>
          <w:szCs w:val="24"/>
          <w:highlight w:val="none"/>
        </w:rPr>
        <w:t>）</w:t>
      </w:r>
    </w:p>
    <w:p w14:paraId="5CCEE4A6">
      <w:pPr>
        <w:rPr>
          <w:rFonts w:ascii="宋体" w:hAnsi="宋体"/>
          <w:color w:val="auto"/>
          <w:szCs w:val="24"/>
          <w:highlight w:val="none"/>
        </w:rPr>
      </w:pPr>
      <w:r>
        <w:rPr>
          <w:rFonts w:hint="eastAsia" w:ascii="宋体" w:hAnsi="宋体"/>
          <w:color w:val="auto"/>
          <w:szCs w:val="24"/>
          <w:highlight w:val="none"/>
        </w:rPr>
        <w:t>式中：指标单位均为</w:t>
      </w:r>
      <w:r>
        <w:rPr>
          <w:rFonts w:hint="eastAsia" w:ascii="TimesNewRomanPSMT" w:hAnsi="TimesNewRomanPSMT" w:eastAsia="TimesNewRomanPSMT"/>
          <w:color w:val="auto"/>
          <w:szCs w:val="24"/>
          <w:highlight w:val="none"/>
        </w:rPr>
        <w:t>mg/L</w:t>
      </w:r>
      <w:r>
        <w:rPr>
          <w:rFonts w:hint="eastAsia" w:ascii="宋体" w:hAnsi="宋体"/>
          <w:color w:val="auto"/>
          <w:szCs w:val="24"/>
          <w:highlight w:val="none"/>
        </w:rPr>
        <w:t>。</w:t>
      </w:r>
    </w:p>
    <w:p w14:paraId="21CDB4C2">
      <w:pPr>
        <w:rPr>
          <w:rFonts w:ascii="宋体" w:hAnsi="宋体"/>
          <w:color w:val="auto"/>
          <w:szCs w:val="24"/>
          <w:highlight w:val="none"/>
        </w:rPr>
      </w:pPr>
      <w:r>
        <w:rPr>
          <w:rFonts w:hint="eastAsia" w:ascii="宋体" w:hAnsi="宋体"/>
          <w:color w:val="auto"/>
          <w:szCs w:val="24"/>
          <w:highlight w:val="none"/>
        </w:rPr>
        <w:t>根据水质监测数据，本次</w:t>
      </w:r>
      <w:r>
        <w:rPr>
          <w:rFonts w:hint="eastAsia" w:ascii="宋体" w:hAnsi="宋体"/>
          <w:color w:val="auto"/>
          <w:szCs w:val="24"/>
          <w:highlight w:val="none"/>
          <w:lang w:eastAsia="zh-CN"/>
        </w:rPr>
        <w:t>以石头崾岘</w:t>
      </w:r>
      <w:r>
        <w:rPr>
          <w:rFonts w:hint="eastAsia" w:ascii="宋体" w:hAnsi="宋体"/>
          <w:color w:val="auto"/>
          <w:szCs w:val="24"/>
          <w:highlight w:val="none"/>
        </w:rPr>
        <w:t>水库</w:t>
      </w:r>
      <w:r>
        <w:rPr>
          <w:rFonts w:hint="eastAsia" w:ascii="宋体" w:hAnsi="宋体"/>
          <w:color w:val="auto"/>
          <w:szCs w:val="24"/>
          <w:highlight w:val="none"/>
          <w:lang w:eastAsia="zh-CN"/>
        </w:rPr>
        <w:t>为代表计算水库</w:t>
      </w:r>
      <w:r>
        <w:rPr>
          <w:rFonts w:hint="eastAsia" w:ascii="宋体" w:hAnsi="宋体"/>
          <w:color w:val="auto"/>
          <w:szCs w:val="24"/>
          <w:highlight w:val="none"/>
        </w:rPr>
        <w:t>的富营养化</w:t>
      </w:r>
      <w:r>
        <w:rPr>
          <w:rFonts w:hint="eastAsia" w:ascii="宋体" w:hAnsi="宋体"/>
          <w:color w:val="auto"/>
          <w:szCs w:val="24"/>
          <w:highlight w:val="none"/>
          <w:lang w:eastAsia="zh-CN"/>
        </w:rPr>
        <w:t>程度</w:t>
      </w:r>
      <w:r>
        <w:rPr>
          <w:rFonts w:hint="eastAsia" w:ascii="宋体" w:hAnsi="宋体"/>
          <w:color w:val="auto"/>
          <w:szCs w:val="24"/>
          <w:highlight w:val="none"/>
        </w:rPr>
        <w:t>。</w:t>
      </w:r>
    </w:p>
    <w:p w14:paraId="4C9D7D87">
      <w:pPr>
        <w:spacing w:line="276" w:lineRule="auto"/>
        <w:ind w:firstLine="482"/>
        <w:jc w:val="center"/>
        <w:rPr>
          <w:b/>
          <w:bCs/>
          <w:color w:val="auto"/>
          <w:kern w:val="0"/>
          <w:szCs w:val="21"/>
          <w:highlight w:val="none"/>
        </w:rPr>
      </w:pPr>
      <w:r>
        <w:rPr>
          <w:rFonts w:hint="eastAsia"/>
          <w:b/>
          <w:bCs/>
          <w:color w:val="auto"/>
          <w:kern w:val="0"/>
          <w:szCs w:val="21"/>
          <w:highlight w:val="none"/>
        </w:rPr>
        <w:t xml:space="preserve">表 </w:t>
      </w:r>
      <w:r>
        <w:rPr>
          <w:b/>
          <w:bCs/>
          <w:color w:val="auto"/>
          <w:kern w:val="0"/>
          <w:szCs w:val="21"/>
          <w:highlight w:val="none"/>
        </w:rPr>
        <w:t>6.</w:t>
      </w:r>
      <w:r>
        <w:rPr>
          <w:rFonts w:hint="eastAsia"/>
          <w:b/>
          <w:bCs/>
          <w:color w:val="auto"/>
          <w:kern w:val="0"/>
          <w:szCs w:val="21"/>
          <w:highlight w:val="none"/>
          <w:lang w:val="en-US" w:eastAsia="zh-CN"/>
        </w:rPr>
        <w:t>6-2</w:t>
      </w:r>
      <w:r>
        <w:rPr>
          <w:b/>
          <w:bCs/>
          <w:color w:val="auto"/>
          <w:kern w:val="0"/>
          <w:szCs w:val="21"/>
          <w:highlight w:val="none"/>
        </w:rPr>
        <w:t xml:space="preserve"> </w:t>
      </w:r>
      <w:r>
        <w:rPr>
          <w:rFonts w:hint="eastAsia"/>
          <w:b/>
          <w:bCs/>
          <w:color w:val="auto"/>
          <w:kern w:val="0"/>
          <w:szCs w:val="21"/>
          <w:highlight w:val="none"/>
        </w:rPr>
        <w:t>富营养化程度计算</w:t>
      </w:r>
    </w:p>
    <w:tbl>
      <w:tblPr>
        <w:tblStyle w:val="31"/>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91"/>
        <w:gridCol w:w="2216"/>
        <w:gridCol w:w="2440"/>
        <w:gridCol w:w="2172"/>
      </w:tblGrid>
      <w:tr w14:paraId="253361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exact"/>
        </w:trPr>
        <w:tc>
          <w:tcPr>
            <w:tcW w:w="1691" w:type="dxa"/>
            <w:tcBorders>
              <w:tl2br w:val="nil"/>
              <w:tr2bl w:val="nil"/>
            </w:tcBorders>
            <w:vAlign w:val="center"/>
          </w:tcPr>
          <w:p w14:paraId="74032F6B">
            <w:pPr>
              <w:pStyle w:val="29"/>
              <w:suppressLineNumbers w:val="0"/>
              <w:spacing w:beforeAutospacing="0" w:afterAutospacing="0"/>
              <w:ind w:left="0" w:right="0"/>
              <w:rPr>
                <w:rFonts w:hint="default"/>
                <w:b/>
                <w:bCs/>
                <w:color w:val="auto"/>
                <w:highlight w:val="none"/>
              </w:rPr>
            </w:pPr>
            <w:bookmarkStart w:id="5962" w:name="_Toc7885"/>
            <w:r>
              <w:rPr>
                <w:rFonts w:hint="eastAsia"/>
                <w:b/>
                <w:bCs/>
                <w:color w:val="auto"/>
                <w:highlight w:val="none"/>
              </w:rPr>
              <w:t>指标类别</w:t>
            </w:r>
            <w:bookmarkEnd w:id="5962"/>
          </w:p>
        </w:tc>
        <w:tc>
          <w:tcPr>
            <w:tcW w:w="2216" w:type="dxa"/>
            <w:tcBorders>
              <w:tl2br w:val="nil"/>
              <w:tr2bl w:val="nil"/>
            </w:tcBorders>
            <w:vAlign w:val="center"/>
          </w:tcPr>
          <w:p w14:paraId="237226A1">
            <w:pPr>
              <w:pStyle w:val="29"/>
              <w:suppressLineNumbers w:val="0"/>
              <w:spacing w:beforeAutospacing="0" w:afterAutospacing="0"/>
              <w:ind w:left="0" w:right="0"/>
              <w:rPr>
                <w:rFonts w:hint="default"/>
                <w:b/>
                <w:bCs/>
                <w:color w:val="auto"/>
                <w:highlight w:val="none"/>
              </w:rPr>
            </w:pPr>
            <w:bookmarkStart w:id="5963" w:name="_Toc19841"/>
            <w:r>
              <w:rPr>
                <w:rFonts w:hint="default"/>
                <w:b/>
                <w:bCs/>
                <w:color w:val="auto"/>
                <w:highlight w:val="none"/>
              </w:rPr>
              <w:t>TP</w:t>
            </w:r>
            <w:bookmarkEnd w:id="5963"/>
          </w:p>
        </w:tc>
        <w:tc>
          <w:tcPr>
            <w:tcW w:w="2440" w:type="dxa"/>
            <w:tcBorders>
              <w:tl2br w:val="nil"/>
              <w:tr2bl w:val="nil"/>
            </w:tcBorders>
            <w:vAlign w:val="center"/>
          </w:tcPr>
          <w:p w14:paraId="7492F48B">
            <w:pPr>
              <w:pStyle w:val="29"/>
              <w:suppressLineNumbers w:val="0"/>
              <w:spacing w:beforeAutospacing="0" w:afterAutospacing="0"/>
              <w:ind w:left="0" w:right="0"/>
              <w:rPr>
                <w:rFonts w:hint="default"/>
                <w:b/>
                <w:bCs/>
                <w:color w:val="auto"/>
                <w:highlight w:val="none"/>
              </w:rPr>
            </w:pPr>
            <w:bookmarkStart w:id="5964" w:name="_Toc13290"/>
            <w:r>
              <w:rPr>
                <w:rFonts w:hint="default"/>
                <w:b/>
                <w:bCs/>
                <w:color w:val="auto"/>
                <w:highlight w:val="none"/>
              </w:rPr>
              <w:t>TN</w:t>
            </w:r>
            <w:bookmarkEnd w:id="5964"/>
          </w:p>
        </w:tc>
        <w:tc>
          <w:tcPr>
            <w:tcW w:w="2172" w:type="dxa"/>
            <w:tcBorders>
              <w:tl2br w:val="nil"/>
              <w:tr2bl w:val="nil"/>
            </w:tcBorders>
            <w:vAlign w:val="center"/>
          </w:tcPr>
          <w:p w14:paraId="596C762E">
            <w:pPr>
              <w:pStyle w:val="29"/>
              <w:suppressLineNumbers w:val="0"/>
              <w:spacing w:beforeAutospacing="0" w:afterAutospacing="0"/>
              <w:ind w:left="0" w:right="0"/>
              <w:rPr>
                <w:rFonts w:hint="default"/>
                <w:b/>
                <w:bCs/>
                <w:color w:val="auto"/>
                <w:highlight w:val="none"/>
              </w:rPr>
            </w:pPr>
            <w:bookmarkStart w:id="5965" w:name="_Toc9940"/>
            <w:r>
              <w:rPr>
                <w:rFonts w:hint="default"/>
                <w:b/>
                <w:bCs/>
                <w:color w:val="auto"/>
                <w:highlight w:val="none"/>
              </w:rPr>
              <w:t>IM</w:t>
            </w:r>
            <w:bookmarkEnd w:id="5965"/>
          </w:p>
        </w:tc>
      </w:tr>
      <w:tr w14:paraId="13E1BF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exact"/>
        </w:trPr>
        <w:tc>
          <w:tcPr>
            <w:tcW w:w="1691" w:type="dxa"/>
            <w:tcBorders>
              <w:tl2br w:val="nil"/>
              <w:tr2bl w:val="nil"/>
            </w:tcBorders>
            <w:vAlign w:val="center"/>
          </w:tcPr>
          <w:p w14:paraId="0F05211D">
            <w:pPr>
              <w:pStyle w:val="29"/>
              <w:suppressLineNumbers w:val="0"/>
              <w:spacing w:beforeAutospacing="0" w:afterAutospacing="0"/>
              <w:ind w:left="0" w:right="0"/>
              <w:rPr>
                <w:rFonts w:hint="default"/>
                <w:color w:val="auto"/>
                <w:highlight w:val="none"/>
              </w:rPr>
            </w:pPr>
            <w:bookmarkStart w:id="5966" w:name="_Toc8854"/>
            <w:r>
              <w:rPr>
                <w:rFonts w:hint="eastAsia"/>
                <w:color w:val="auto"/>
                <w:highlight w:val="none"/>
              </w:rPr>
              <w:t>单位</w:t>
            </w:r>
            <w:bookmarkEnd w:id="5966"/>
          </w:p>
        </w:tc>
        <w:tc>
          <w:tcPr>
            <w:tcW w:w="2216" w:type="dxa"/>
            <w:tcBorders>
              <w:tl2br w:val="nil"/>
              <w:tr2bl w:val="nil"/>
            </w:tcBorders>
            <w:vAlign w:val="center"/>
          </w:tcPr>
          <w:p w14:paraId="7D47048C">
            <w:pPr>
              <w:pStyle w:val="29"/>
              <w:suppressLineNumbers w:val="0"/>
              <w:spacing w:beforeAutospacing="0" w:afterAutospacing="0"/>
              <w:ind w:left="0" w:right="0"/>
              <w:rPr>
                <w:rFonts w:hint="default"/>
                <w:color w:val="auto"/>
                <w:highlight w:val="none"/>
              </w:rPr>
            </w:pPr>
            <w:bookmarkStart w:id="5967" w:name="_Toc7420"/>
            <w:r>
              <w:rPr>
                <w:rFonts w:hint="default"/>
                <w:color w:val="auto"/>
                <w:highlight w:val="none"/>
              </w:rPr>
              <w:t>mg/L</w:t>
            </w:r>
            <w:bookmarkEnd w:id="5967"/>
          </w:p>
        </w:tc>
        <w:tc>
          <w:tcPr>
            <w:tcW w:w="2440" w:type="dxa"/>
            <w:tcBorders>
              <w:tl2br w:val="nil"/>
              <w:tr2bl w:val="nil"/>
            </w:tcBorders>
            <w:vAlign w:val="center"/>
          </w:tcPr>
          <w:p w14:paraId="10E94575">
            <w:pPr>
              <w:pStyle w:val="29"/>
              <w:suppressLineNumbers w:val="0"/>
              <w:spacing w:beforeAutospacing="0" w:afterAutospacing="0"/>
              <w:ind w:left="0" w:right="0"/>
              <w:rPr>
                <w:rFonts w:hint="default"/>
                <w:color w:val="auto"/>
                <w:highlight w:val="none"/>
              </w:rPr>
            </w:pPr>
            <w:bookmarkStart w:id="5968" w:name="_Toc25397"/>
            <w:r>
              <w:rPr>
                <w:rFonts w:hint="default"/>
                <w:color w:val="auto"/>
                <w:highlight w:val="none"/>
              </w:rPr>
              <w:t>mg/L</w:t>
            </w:r>
            <w:bookmarkEnd w:id="5968"/>
          </w:p>
        </w:tc>
        <w:tc>
          <w:tcPr>
            <w:tcW w:w="2172" w:type="dxa"/>
            <w:tcBorders>
              <w:tl2br w:val="nil"/>
              <w:tr2bl w:val="nil"/>
            </w:tcBorders>
            <w:vAlign w:val="center"/>
          </w:tcPr>
          <w:p w14:paraId="0F516DCA">
            <w:pPr>
              <w:pStyle w:val="29"/>
              <w:suppressLineNumbers w:val="0"/>
              <w:spacing w:beforeAutospacing="0" w:afterAutospacing="0"/>
              <w:ind w:left="0" w:right="0"/>
              <w:rPr>
                <w:rFonts w:hint="default"/>
                <w:color w:val="auto"/>
                <w:highlight w:val="none"/>
              </w:rPr>
            </w:pPr>
            <w:bookmarkStart w:id="5969" w:name="_Toc13566"/>
            <w:r>
              <w:rPr>
                <w:rFonts w:hint="default"/>
                <w:color w:val="auto"/>
                <w:highlight w:val="none"/>
              </w:rPr>
              <w:t>mg/L</w:t>
            </w:r>
            <w:bookmarkEnd w:id="5969"/>
          </w:p>
        </w:tc>
      </w:tr>
      <w:tr w14:paraId="25D5DC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exact"/>
        </w:trPr>
        <w:tc>
          <w:tcPr>
            <w:tcW w:w="1691" w:type="dxa"/>
            <w:tcBorders>
              <w:tl2br w:val="nil"/>
              <w:tr2bl w:val="nil"/>
            </w:tcBorders>
            <w:vAlign w:val="center"/>
          </w:tcPr>
          <w:p w14:paraId="018265EA">
            <w:pPr>
              <w:pStyle w:val="29"/>
              <w:suppressLineNumbers w:val="0"/>
              <w:spacing w:beforeAutospacing="0" w:afterAutospacing="0"/>
              <w:ind w:left="0" w:right="0"/>
              <w:rPr>
                <w:rFonts w:hint="default"/>
                <w:color w:val="auto"/>
                <w:highlight w:val="none"/>
              </w:rPr>
            </w:pPr>
            <w:bookmarkStart w:id="5970" w:name="_Toc17462"/>
            <w:r>
              <w:rPr>
                <w:rFonts w:hint="eastAsia"/>
                <w:color w:val="auto"/>
                <w:highlight w:val="none"/>
              </w:rPr>
              <w:t>评价指标</w:t>
            </w:r>
            <w:bookmarkEnd w:id="5970"/>
          </w:p>
        </w:tc>
        <w:tc>
          <w:tcPr>
            <w:tcW w:w="2216" w:type="dxa"/>
            <w:tcBorders>
              <w:tl2br w:val="nil"/>
              <w:tr2bl w:val="nil"/>
            </w:tcBorders>
            <w:vAlign w:val="center"/>
          </w:tcPr>
          <w:p w14:paraId="3350BDCA">
            <w:pPr>
              <w:pStyle w:val="29"/>
              <w:suppressLineNumbers w:val="0"/>
              <w:spacing w:beforeAutospacing="0" w:afterAutospacing="0"/>
              <w:ind w:left="0" w:right="0"/>
              <w:rPr>
                <w:rFonts w:hint="default"/>
                <w:color w:val="auto"/>
                <w:highlight w:val="none"/>
              </w:rPr>
            </w:pPr>
            <w:bookmarkStart w:id="5971" w:name="_Toc29440"/>
            <w:r>
              <w:rPr>
                <w:rFonts w:hint="default"/>
                <w:color w:val="auto"/>
                <w:highlight w:val="none"/>
              </w:rPr>
              <w:t>TLI(TP)</w:t>
            </w:r>
            <w:bookmarkEnd w:id="5971"/>
          </w:p>
        </w:tc>
        <w:tc>
          <w:tcPr>
            <w:tcW w:w="2440" w:type="dxa"/>
            <w:tcBorders>
              <w:tl2br w:val="nil"/>
              <w:tr2bl w:val="nil"/>
            </w:tcBorders>
            <w:vAlign w:val="center"/>
          </w:tcPr>
          <w:p w14:paraId="10562ADA">
            <w:pPr>
              <w:pStyle w:val="29"/>
              <w:suppressLineNumbers w:val="0"/>
              <w:spacing w:beforeAutospacing="0" w:afterAutospacing="0"/>
              <w:ind w:left="0" w:right="0"/>
              <w:rPr>
                <w:rFonts w:hint="default"/>
                <w:color w:val="auto"/>
                <w:highlight w:val="none"/>
              </w:rPr>
            </w:pPr>
            <w:bookmarkStart w:id="5972" w:name="_Toc21181"/>
            <w:r>
              <w:rPr>
                <w:rFonts w:hint="default"/>
                <w:color w:val="auto"/>
                <w:highlight w:val="none"/>
              </w:rPr>
              <w:t>TLI(TN)</w:t>
            </w:r>
            <w:bookmarkEnd w:id="5972"/>
          </w:p>
        </w:tc>
        <w:tc>
          <w:tcPr>
            <w:tcW w:w="2172" w:type="dxa"/>
            <w:tcBorders>
              <w:tl2br w:val="nil"/>
              <w:tr2bl w:val="nil"/>
            </w:tcBorders>
            <w:vAlign w:val="center"/>
          </w:tcPr>
          <w:p w14:paraId="5228EFBA">
            <w:pPr>
              <w:pStyle w:val="29"/>
              <w:suppressLineNumbers w:val="0"/>
              <w:spacing w:beforeAutospacing="0" w:afterAutospacing="0"/>
              <w:ind w:left="0" w:right="0"/>
              <w:rPr>
                <w:rFonts w:hint="default"/>
                <w:color w:val="auto"/>
                <w:highlight w:val="none"/>
              </w:rPr>
            </w:pPr>
            <w:r>
              <w:rPr>
                <w:rFonts w:hint="default"/>
                <w:color w:val="auto"/>
                <w:highlight w:val="none"/>
              </w:rPr>
              <w:t>TLI(im)</w:t>
            </w:r>
          </w:p>
        </w:tc>
      </w:tr>
      <w:tr w14:paraId="732448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exact"/>
        </w:trPr>
        <w:tc>
          <w:tcPr>
            <w:tcW w:w="1691" w:type="dxa"/>
            <w:tcBorders>
              <w:tl2br w:val="nil"/>
              <w:tr2bl w:val="nil"/>
            </w:tcBorders>
            <w:vAlign w:val="center"/>
          </w:tcPr>
          <w:p w14:paraId="7E2A7DD5">
            <w:pPr>
              <w:pStyle w:val="29"/>
              <w:suppressLineNumbers w:val="0"/>
              <w:spacing w:beforeAutospacing="0" w:afterAutospacing="0"/>
              <w:ind w:left="0" w:right="0"/>
              <w:rPr>
                <w:rFonts w:hint="default"/>
                <w:color w:val="auto"/>
                <w:highlight w:val="none"/>
              </w:rPr>
            </w:pPr>
            <w:bookmarkStart w:id="5973" w:name="_Toc18754"/>
            <w:r>
              <w:rPr>
                <w:rFonts w:hint="eastAsia"/>
                <w:color w:val="auto"/>
                <w:highlight w:val="none"/>
              </w:rPr>
              <w:t>评价值</w:t>
            </w:r>
            <w:bookmarkEnd w:id="5973"/>
          </w:p>
        </w:tc>
        <w:tc>
          <w:tcPr>
            <w:tcW w:w="2216" w:type="dxa"/>
            <w:tcBorders>
              <w:tl2br w:val="nil"/>
              <w:tr2bl w:val="nil"/>
            </w:tcBorders>
            <w:vAlign w:val="center"/>
          </w:tcPr>
          <w:p w14:paraId="57FEE588">
            <w:pPr>
              <w:pStyle w:val="29"/>
              <w:suppressLineNumbers w:val="0"/>
              <w:spacing w:beforeAutospacing="0" w:afterAutospacing="0"/>
              <w:ind w:left="0" w:right="0"/>
              <w:rPr>
                <w:rFonts w:hint="default" w:eastAsia="宋体"/>
                <w:color w:val="auto"/>
                <w:highlight w:val="none"/>
                <w:lang w:val="en-US" w:eastAsia="zh-CN"/>
              </w:rPr>
            </w:pPr>
            <w:r>
              <w:rPr>
                <w:rFonts w:hint="eastAsia"/>
                <w:color w:val="auto"/>
                <w:highlight w:val="none"/>
                <w:lang w:val="en-US" w:eastAsia="zh-CN"/>
              </w:rPr>
              <w:t>45.2</w:t>
            </w:r>
          </w:p>
        </w:tc>
        <w:tc>
          <w:tcPr>
            <w:tcW w:w="2440" w:type="dxa"/>
            <w:tcBorders>
              <w:tl2br w:val="nil"/>
              <w:tr2bl w:val="nil"/>
            </w:tcBorders>
            <w:vAlign w:val="center"/>
          </w:tcPr>
          <w:p w14:paraId="6B0215EB">
            <w:pPr>
              <w:pStyle w:val="29"/>
              <w:suppressLineNumbers w:val="0"/>
              <w:spacing w:beforeAutospacing="0" w:afterAutospacing="0"/>
              <w:ind w:left="0" w:right="0"/>
              <w:rPr>
                <w:rFonts w:hint="default" w:eastAsia="宋体"/>
                <w:color w:val="auto"/>
                <w:highlight w:val="none"/>
                <w:lang w:val="en-US" w:eastAsia="zh-CN"/>
              </w:rPr>
            </w:pPr>
            <w:r>
              <w:rPr>
                <w:rFonts w:hint="eastAsia"/>
                <w:color w:val="auto"/>
                <w:highlight w:val="none"/>
                <w:lang w:val="en-US" w:eastAsia="zh-CN"/>
              </w:rPr>
              <w:t>53.8</w:t>
            </w:r>
          </w:p>
        </w:tc>
        <w:tc>
          <w:tcPr>
            <w:tcW w:w="2172" w:type="dxa"/>
            <w:tcBorders>
              <w:tl2br w:val="nil"/>
              <w:tr2bl w:val="nil"/>
            </w:tcBorders>
            <w:vAlign w:val="center"/>
          </w:tcPr>
          <w:p w14:paraId="72ACC62B">
            <w:pPr>
              <w:pStyle w:val="29"/>
              <w:suppressLineNumbers w:val="0"/>
              <w:spacing w:beforeAutospacing="0" w:afterAutospacing="0"/>
              <w:ind w:left="0" w:right="0"/>
              <w:rPr>
                <w:rFonts w:hint="default" w:eastAsia="宋体"/>
                <w:color w:val="auto"/>
                <w:highlight w:val="none"/>
                <w:lang w:val="en-US" w:eastAsia="zh-CN"/>
              </w:rPr>
            </w:pPr>
            <w:r>
              <w:rPr>
                <w:rFonts w:hint="eastAsia"/>
                <w:color w:val="auto"/>
                <w:highlight w:val="none"/>
                <w:lang w:val="en-US" w:eastAsia="zh-CN"/>
              </w:rPr>
              <w:t>51.5</w:t>
            </w:r>
          </w:p>
        </w:tc>
      </w:tr>
      <w:tr w14:paraId="4DD51E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1" w:hRule="exact"/>
        </w:trPr>
        <w:tc>
          <w:tcPr>
            <w:tcW w:w="1691" w:type="dxa"/>
            <w:tcBorders>
              <w:tl2br w:val="nil"/>
              <w:tr2bl w:val="nil"/>
            </w:tcBorders>
            <w:vAlign w:val="center"/>
          </w:tcPr>
          <w:p w14:paraId="51AA889E">
            <w:pPr>
              <w:pStyle w:val="29"/>
              <w:suppressLineNumbers w:val="0"/>
              <w:spacing w:beforeAutospacing="0" w:afterAutospacing="0"/>
              <w:ind w:left="0" w:right="0"/>
              <w:rPr>
                <w:rFonts w:hint="default"/>
                <w:color w:val="auto"/>
                <w:highlight w:val="none"/>
              </w:rPr>
            </w:pPr>
            <w:bookmarkStart w:id="5974" w:name="_Toc16222"/>
            <w:r>
              <w:rPr>
                <w:rFonts w:hint="eastAsia"/>
                <w:color w:val="auto"/>
                <w:highlight w:val="none"/>
              </w:rPr>
              <w:t>判定结果</w:t>
            </w:r>
            <w:bookmarkEnd w:id="5974"/>
          </w:p>
        </w:tc>
        <w:tc>
          <w:tcPr>
            <w:tcW w:w="6828" w:type="dxa"/>
            <w:gridSpan w:val="3"/>
            <w:tcBorders>
              <w:tl2br w:val="nil"/>
              <w:tr2bl w:val="nil"/>
            </w:tcBorders>
            <w:vAlign w:val="center"/>
          </w:tcPr>
          <w:p w14:paraId="4A6D5088">
            <w:pPr>
              <w:pStyle w:val="29"/>
              <w:suppressLineNumbers w:val="0"/>
              <w:spacing w:beforeAutospacing="0" w:afterAutospacing="0"/>
              <w:ind w:left="0" w:right="0"/>
              <w:rPr>
                <w:rFonts w:hint="default" w:eastAsia="宋体"/>
                <w:color w:val="auto"/>
                <w:highlight w:val="none"/>
                <w:lang w:val="en-US" w:eastAsia="zh-CN"/>
              </w:rPr>
            </w:pPr>
            <w:r>
              <w:rPr>
                <w:rFonts w:hint="eastAsia"/>
                <w:color w:val="auto"/>
                <w:highlight w:val="none"/>
                <w:lang w:val="en-US" w:eastAsia="zh-CN"/>
              </w:rPr>
              <w:t>50.1</w:t>
            </w:r>
          </w:p>
        </w:tc>
      </w:tr>
    </w:tbl>
    <w:p w14:paraId="1B1DF4CE">
      <w:pPr>
        <w:rPr>
          <w:rFonts w:ascii="宋体" w:hAnsi="宋体"/>
          <w:color w:val="auto"/>
          <w:szCs w:val="24"/>
          <w:highlight w:val="none"/>
        </w:rPr>
      </w:pPr>
      <w:r>
        <w:rPr>
          <w:rFonts w:hint="eastAsia" w:ascii="宋体" w:hAnsi="宋体"/>
          <w:color w:val="auto"/>
          <w:szCs w:val="24"/>
          <w:highlight w:val="none"/>
        </w:rPr>
        <w:t>根据综合营养指数法及相关监测数据计算得出各监测结果综合营养指数，并根据湖泊富营养状态情况对湖泊营养状态进行分级，具体数据见下表。</w:t>
      </w:r>
    </w:p>
    <w:p w14:paraId="04EE9799">
      <w:pPr>
        <w:spacing w:line="276" w:lineRule="auto"/>
        <w:ind w:firstLine="482"/>
        <w:jc w:val="center"/>
        <w:rPr>
          <w:b/>
          <w:bCs/>
          <w:color w:val="auto"/>
          <w:kern w:val="0"/>
          <w:szCs w:val="21"/>
          <w:highlight w:val="none"/>
        </w:rPr>
      </w:pPr>
      <w:r>
        <w:rPr>
          <w:rFonts w:hint="eastAsia"/>
          <w:b/>
          <w:bCs/>
          <w:color w:val="auto"/>
          <w:kern w:val="0"/>
          <w:szCs w:val="21"/>
          <w:highlight w:val="none"/>
        </w:rPr>
        <w:t>表6.</w:t>
      </w:r>
      <w:r>
        <w:rPr>
          <w:rFonts w:hint="eastAsia"/>
          <w:b/>
          <w:bCs/>
          <w:color w:val="auto"/>
          <w:kern w:val="0"/>
          <w:szCs w:val="21"/>
          <w:highlight w:val="none"/>
          <w:lang w:val="en-US" w:eastAsia="zh-CN"/>
        </w:rPr>
        <w:t>6-3</w:t>
      </w:r>
      <w:r>
        <w:rPr>
          <w:rFonts w:hint="eastAsia"/>
          <w:b/>
          <w:bCs/>
          <w:color w:val="auto"/>
          <w:kern w:val="0"/>
          <w:szCs w:val="21"/>
          <w:highlight w:val="none"/>
        </w:rPr>
        <w:t xml:space="preserve"> 评价标准表</w:t>
      </w:r>
    </w:p>
    <w:tbl>
      <w:tblPr>
        <w:tblStyle w:val="31"/>
        <w:tblW w:w="852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57"/>
        <w:gridCol w:w="4263"/>
      </w:tblGrid>
      <w:tr w14:paraId="6ACB1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1" w:hRule="exact"/>
        </w:trPr>
        <w:tc>
          <w:tcPr>
            <w:tcW w:w="4257" w:type="dxa"/>
            <w:tcBorders>
              <w:tl2br w:val="nil"/>
              <w:tr2bl w:val="nil"/>
            </w:tcBorders>
          </w:tcPr>
          <w:p w14:paraId="02A21305">
            <w:pPr>
              <w:pStyle w:val="29"/>
              <w:suppressLineNumbers w:val="0"/>
              <w:spacing w:beforeAutospacing="0" w:afterAutospacing="0"/>
              <w:ind w:left="0" w:right="0"/>
              <w:rPr>
                <w:rFonts w:hint="default"/>
                <w:b/>
                <w:bCs/>
                <w:color w:val="auto"/>
                <w:highlight w:val="none"/>
              </w:rPr>
            </w:pPr>
            <w:r>
              <w:rPr>
                <w:rFonts w:hint="eastAsia"/>
                <w:b/>
                <w:bCs/>
                <w:color w:val="auto"/>
                <w:highlight w:val="none"/>
              </w:rPr>
              <w:t>营养状态分级</w:t>
            </w:r>
          </w:p>
        </w:tc>
        <w:tc>
          <w:tcPr>
            <w:tcW w:w="4263" w:type="dxa"/>
            <w:tcBorders>
              <w:tl2br w:val="nil"/>
              <w:tr2bl w:val="nil"/>
            </w:tcBorders>
          </w:tcPr>
          <w:p w14:paraId="00A744BF">
            <w:pPr>
              <w:pStyle w:val="29"/>
              <w:suppressLineNumbers w:val="0"/>
              <w:spacing w:beforeAutospacing="0" w:afterAutospacing="0"/>
              <w:ind w:left="0" w:right="0"/>
              <w:rPr>
                <w:rFonts w:hint="default"/>
                <w:b/>
                <w:bCs/>
                <w:color w:val="auto"/>
                <w:highlight w:val="none"/>
              </w:rPr>
            </w:pPr>
            <w:bookmarkStart w:id="5975" w:name="_Toc5906"/>
            <w:r>
              <w:rPr>
                <w:rFonts w:hint="eastAsia"/>
                <w:b/>
                <w:bCs/>
                <w:color w:val="auto"/>
                <w:highlight w:val="none"/>
              </w:rPr>
              <w:t>分级指数</w:t>
            </w:r>
            <w:bookmarkEnd w:id="5975"/>
          </w:p>
        </w:tc>
      </w:tr>
      <w:tr w14:paraId="5D1B7D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4257" w:type="dxa"/>
            <w:tcBorders>
              <w:tl2br w:val="nil"/>
              <w:tr2bl w:val="nil"/>
            </w:tcBorders>
          </w:tcPr>
          <w:p w14:paraId="3781E67F">
            <w:pPr>
              <w:pStyle w:val="29"/>
              <w:suppressLineNumbers w:val="0"/>
              <w:spacing w:beforeAutospacing="0" w:afterAutospacing="0"/>
              <w:ind w:left="0" w:right="0"/>
              <w:rPr>
                <w:rFonts w:hint="default"/>
                <w:color w:val="auto"/>
                <w:highlight w:val="none"/>
              </w:rPr>
            </w:pPr>
            <w:r>
              <w:rPr>
                <w:rFonts w:hint="eastAsia"/>
                <w:color w:val="auto"/>
                <w:highlight w:val="none"/>
              </w:rPr>
              <w:t>贫营养</w:t>
            </w:r>
          </w:p>
        </w:tc>
        <w:tc>
          <w:tcPr>
            <w:tcW w:w="4263" w:type="dxa"/>
            <w:tcBorders>
              <w:tl2br w:val="nil"/>
              <w:tr2bl w:val="nil"/>
            </w:tcBorders>
          </w:tcPr>
          <w:p w14:paraId="7B533B2F">
            <w:pPr>
              <w:pStyle w:val="29"/>
              <w:suppressLineNumbers w:val="0"/>
              <w:spacing w:beforeAutospacing="0" w:afterAutospacing="0"/>
              <w:ind w:left="0" w:right="0"/>
              <w:rPr>
                <w:rFonts w:hint="default"/>
                <w:color w:val="auto"/>
                <w:highlight w:val="none"/>
              </w:rPr>
            </w:pPr>
            <w:bookmarkStart w:id="5976" w:name="_Toc13604"/>
            <w:r>
              <w:rPr>
                <w:rFonts w:hint="default"/>
                <w:color w:val="auto"/>
                <w:highlight w:val="none"/>
              </w:rPr>
              <w:t>TLI</w:t>
            </w:r>
            <w:r>
              <w:rPr>
                <w:rFonts w:hint="eastAsia"/>
                <w:color w:val="auto"/>
                <w:highlight w:val="none"/>
              </w:rPr>
              <w:t>（</w:t>
            </w:r>
            <w:r>
              <w:rPr>
                <w:rFonts w:hint="default"/>
                <w:color w:val="auto"/>
                <w:highlight w:val="none"/>
              </w:rPr>
              <w:t>∑</w:t>
            </w:r>
            <w:r>
              <w:rPr>
                <w:rFonts w:hint="eastAsia"/>
                <w:color w:val="auto"/>
                <w:highlight w:val="none"/>
              </w:rPr>
              <w:t>）＜</w:t>
            </w:r>
            <w:r>
              <w:rPr>
                <w:rFonts w:hint="default"/>
                <w:color w:val="auto"/>
                <w:highlight w:val="none"/>
              </w:rPr>
              <w:t>30</w:t>
            </w:r>
            <w:bookmarkEnd w:id="5976"/>
          </w:p>
        </w:tc>
      </w:tr>
      <w:tr w14:paraId="732C9E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trPr>
        <w:tc>
          <w:tcPr>
            <w:tcW w:w="4257" w:type="dxa"/>
            <w:tcBorders>
              <w:tl2br w:val="nil"/>
              <w:tr2bl w:val="nil"/>
            </w:tcBorders>
          </w:tcPr>
          <w:p w14:paraId="4C31E381">
            <w:pPr>
              <w:pStyle w:val="29"/>
              <w:suppressLineNumbers w:val="0"/>
              <w:spacing w:beforeAutospacing="0" w:afterAutospacing="0"/>
              <w:ind w:left="0" w:right="0"/>
              <w:rPr>
                <w:rFonts w:hint="default"/>
                <w:color w:val="auto"/>
                <w:highlight w:val="none"/>
              </w:rPr>
            </w:pPr>
            <w:bookmarkStart w:id="5977" w:name="_Toc17224"/>
            <w:r>
              <w:rPr>
                <w:rFonts w:hint="eastAsia"/>
                <w:color w:val="auto"/>
                <w:highlight w:val="none"/>
              </w:rPr>
              <w:t>中营养</w:t>
            </w:r>
            <w:bookmarkEnd w:id="5977"/>
          </w:p>
        </w:tc>
        <w:tc>
          <w:tcPr>
            <w:tcW w:w="4263" w:type="dxa"/>
            <w:tcBorders>
              <w:tl2br w:val="nil"/>
              <w:tr2bl w:val="nil"/>
            </w:tcBorders>
          </w:tcPr>
          <w:p w14:paraId="545BADFB">
            <w:pPr>
              <w:pStyle w:val="29"/>
              <w:suppressLineNumbers w:val="0"/>
              <w:spacing w:beforeAutospacing="0" w:afterAutospacing="0"/>
              <w:ind w:left="0" w:right="0"/>
              <w:rPr>
                <w:rFonts w:hint="default"/>
                <w:color w:val="auto"/>
                <w:highlight w:val="none"/>
              </w:rPr>
            </w:pPr>
            <w:bookmarkStart w:id="5978" w:name="_Toc22564"/>
            <w:r>
              <w:rPr>
                <w:rFonts w:hint="default"/>
                <w:color w:val="auto"/>
                <w:highlight w:val="none"/>
              </w:rPr>
              <w:t>30≤TLI</w:t>
            </w:r>
            <w:r>
              <w:rPr>
                <w:rFonts w:hint="eastAsia"/>
                <w:color w:val="auto"/>
                <w:highlight w:val="none"/>
              </w:rPr>
              <w:t>（</w:t>
            </w:r>
            <w:r>
              <w:rPr>
                <w:rFonts w:hint="default"/>
                <w:color w:val="auto"/>
                <w:highlight w:val="none"/>
              </w:rPr>
              <w:t>∑</w:t>
            </w:r>
            <w:r>
              <w:rPr>
                <w:rFonts w:hint="eastAsia"/>
                <w:color w:val="auto"/>
                <w:highlight w:val="none"/>
              </w:rPr>
              <w:t>）</w:t>
            </w:r>
            <w:r>
              <w:rPr>
                <w:rFonts w:hint="default"/>
                <w:color w:val="auto"/>
                <w:highlight w:val="none"/>
              </w:rPr>
              <w:t>≤50</w:t>
            </w:r>
            <w:bookmarkEnd w:id="5978"/>
          </w:p>
        </w:tc>
      </w:tr>
      <w:tr w14:paraId="6F96A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trPr>
        <w:tc>
          <w:tcPr>
            <w:tcW w:w="4257" w:type="dxa"/>
            <w:tcBorders>
              <w:tl2br w:val="nil"/>
              <w:tr2bl w:val="nil"/>
            </w:tcBorders>
          </w:tcPr>
          <w:p w14:paraId="711364DB">
            <w:pPr>
              <w:pStyle w:val="29"/>
              <w:suppressLineNumbers w:val="0"/>
              <w:spacing w:beforeAutospacing="0" w:afterAutospacing="0"/>
              <w:ind w:left="0" w:right="0"/>
              <w:rPr>
                <w:rFonts w:hint="default"/>
                <w:color w:val="auto"/>
                <w:highlight w:val="none"/>
              </w:rPr>
            </w:pPr>
            <w:bookmarkStart w:id="5979" w:name="_Toc22954"/>
            <w:r>
              <w:rPr>
                <w:rFonts w:hint="eastAsia"/>
                <w:color w:val="auto"/>
                <w:highlight w:val="none"/>
              </w:rPr>
              <w:t>富营养</w:t>
            </w:r>
            <w:bookmarkEnd w:id="5979"/>
          </w:p>
        </w:tc>
        <w:tc>
          <w:tcPr>
            <w:tcW w:w="4263" w:type="dxa"/>
            <w:tcBorders>
              <w:tl2br w:val="nil"/>
              <w:tr2bl w:val="nil"/>
            </w:tcBorders>
          </w:tcPr>
          <w:p w14:paraId="42DDDF66">
            <w:pPr>
              <w:pStyle w:val="29"/>
              <w:suppressLineNumbers w:val="0"/>
              <w:spacing w:beforeAutospacing="0" w:afterAutospacing="0"/>
              <w:ind w:left="0" w:right="0"/>
              <w:rPr>
                <w:rFonts w:hint="default"/>
                <w:color w:val="auto"/>
                <w:highlight w:val="none"/>
              </w:rPr>
            </w:pPr>
            <w:bookmarkStart w:id="5980" w:name="_Toc23287"/>
            <w:r>
              <w:rPr>
                <w:rFonts w:hint="default"/>
                <w:color w:val="auto"/>
                <w:highlight w:val="none"/>
              </w:rPr>
              <w:t>TLI</w:t>
            </w:r>
            <w:r>
              <w:rPr>
                <w:rFonts w:hint="eastAsia"/>
                <w:color w:val="auto"/>
                <w:highlight w:val="none"/>
              </w:rPr>
              <w:t>（</w:t>
            </w:r>
            <w:r>
              <w:rPr>
                <w:rFonts w:hint="default"/>
                <w:color w:val="auto"/>
                <w:highlight w:val="none"/>
              </w:rPr>
              <w:t>∑</w:t>
            </w:r>
            <w:r>
              <w:rPr>
                <w:rFonts w:hint="eastAsia"/>
                <w:color w:val="auto"/>
                <w:highlight w:val="none"/>
              </w:rPr>
              <w:t>）＞</w:t>
            </w:r>
            <w:r>
              <w:rPr>
                <w:rFonts w:hint="default"/>
                <w:color w:val="auto"/>
                <w:highlight w:val="none"/>
              </w:rPr>
              <w:t>50</w:t>
            </w:r>
            <w:bookmarkEnd w:id="5980"/>
          </w:p>
        </w:tc>
      </w:tr>
      <w:tr w14:paraId="385477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4257" w:type="dxa"/>
            <w:tcBorders>
              <w:tl2br w:val="nil"/>
              <w:tr2bl w:val="nil"/>
            </w:tcBorders>
          </w:tcPr>
          <w:p w14:paraId="28076078">
            <w:pPr>
              <w:pStyle w:val="29"/>
              <w:suppressLineNumbers w:val="0"/>
              <w:spacing w:beforeAutospacing="0" w:afterAutospacing="0"/>
              <w:ind w:left="0" w:right="0"/>
              <w:rPr>
                <w:rFonts w:hint="default"/>
                <w:color w:val="auto"/>
                <w:highlight w:val="none"/>
              </w:rPr>
            </w:pPr>
            <w:r>
              <w:rPr>
                <w:rFonts w:hint="eastAsia"/>
                <w:color w:val="auto"/>
                <w:highlight w:val="none"/>
              </w:rPr>
              <w:t>轻度富营养</w:t>
            </w:r>
          </w:p>
        </w:tc>
        <w:tc>
          <w:tcPr>
            <w:tcW w:w="4263" w:type="dxa"/>
            <w:tcBorders>
              <w:tl2br w:val="nil"/>
              <w:tr2bl w:val="nil"/>
            </w:tcBorders>
          </w:tcPr>
          <w:p w14:paraId="1BBA6BDF">
            <w:pPr>
              <w:pStyle w:val="29"/>
              <w:suppressLineNumbers w:val="0"/>
              <w:spacing w:beforeAutospacing="0" w:afterAutospacing="0"/>
              <w:ind w:left="0" w:right="0"/>
              <w:rPr>
                <w:rFonts w:hint="default"/>
                <w:color w:val="auto"/>
                <w:highlight w:val="none"/>
              </w:rPr>
            </w:pPr>
            <w:r>
              <w:rPr>
                <w:rFonts w:hint="default"/>
                <w:color w:val="auto"/>
                <w:highlight w:val="none"/>
              </w:rPr>
              <w:t>50</w:t>
            </w:r>
            <w:r>
              <w:rPr>
                <w:rFonts w:hint="eastAsia"/>
                <w:color w:val="auto"/>
                <w:highlight w:val="none"/>
              </w:rPr>
              <w:t>＜</w:t>
            </w:r>
            <w:r>
              <w:rPr>
                <w:rFonts w:hint="default"/>
                <w:color w:val="auto"/>
                <w:highlight w:val="none"/>
              </w:rPr>
              <w:t>TLI</w:t>
            </w:r>
            <w:r>
              <w:rPr>
                <w:rFonts w:hint="eastAsia"/>
                <w:color w:val="auto"/>
                <w:highlight w:val="none"/>
              </w:rPr>
              <w:t>（</w:t>
            </w:r>
            <w:r>
              <w:rPr>
                <w:rFonts w:hint="default"/>
                <w:color w:val="auto"/>
                <w:highlight w:val="none"/>
              </w:rPr>
              <w:t>∑</w:t>
            </w:r>
            <w:r>
              <w:rPr>
                <w:rFonts w:hint="eastAsia"/>
                <w:color w:val="auto"/>
                <w:highlight w:val="none"/>
              </w:rPr>
              <w:t>）</w:t>
            </w:r>
            <w:r>
              <w:rPr>
                <w:rFonts w:hint="default"/>
                <w:color w:val="auto"/>
                <w:highlight w:val="none"/>
              </w:rPr>
              <w:t>≤60</w:t>
            </w:r>
          </w:p>
        </w:tc>
      </w:tr>
      <w:tr w14:paraId="5F5E0E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trPr>
        <w:tc>
          <w:tcPr>
            <w:tcW w:w="4257" w:type="dxa"/>
            <w:tcBorders>
              <w:tl2br w:val="nil"/>
              <w:tr2bl w:val="nil"/>
            </w:tcBorders>
          </w:tcPr>
          <w:p w14:paraId="07524579">
            <w:pPr>
              <w:pStyle w:val="29"/>
              <w:suppressLineNumbers w:val="0"/>
              <w:spacing w:beforeAutospacing="0" w:afterAutospacing="0"/>
              <w:ind w:left="0" w:right="0"/>
              <w:rPr>
                <w:rFonts w:hint="default"/>
                <w:color w:val="auto"/>
                <w:highlight w:val="none"/>
              </w:rPr>
            </w:pPr>
            <w:bookmarkStart w:id="5981" w:name="_Toc9958"/>
            <w:r>
              <w:rPr>
                <w:rFonts w:hint="eastAsia"/>
                <w:color w:val="auto"/>
                <w:highlight w:val="none"/>
              </w:rPr>
              <w:t>中度富营养</w:t>
            </w:r>
            <w:bookmarkEnd w:id="5981"/>
          </w:p>
        </w:tc>
        <w:tc>
          <w:tcPr>
            <w:tcW w:w="4263" w:type="dxa"/>
            <w:tcBorders>
              <w:tl2br w:val="nil"/>
              <w:tr2bl w:val="nil"/>
            </w:tcBorders>
          </w:tcPr>
          <w:p w14:paraId="788E90DB">
            <w:pPr>
              <w:pStyle w:val="29"/>
              <w:suppressLineNumbers w:val="0"/>
              <w:spacing w:beforeAutospacing="0" w:afterAutospacing="0"/>
              <w:ind w:left="0" w:right="0"/>
              <w:rPr>
                <w:rFonts w:hint="default"/>
                <w:color w:val="auto"/>
                <w:highlight w:val="none"/>
              </w:rPr>
            </w:pPr>
            <w:bookmarkStart w:id="5982" w:name="_Toc3926"/>
            <w:r>
              <w:rPr>
                <w:rFonts w:hint="default"/>
                <w:color w:val="auto"/>
                <w:highlight w:val="none"/>
              </w:rPr>
              <w:t>60</w:t>
            </w:r>
            <w:r>
              <w:rPr>
                <w:rFonts w:hint="eastAsia"/>
                <w:color w:val="auto"/>
                <w:highlight w:val="none"/>
              </w:rPr>
              <w:t>＜</w:t>
            </w:r>
            <w:r>
              <w:rPr>
                <w:rFonts w:hint="default"/>
                <w:color w:val="auto"/>
                <w:highlight w:val="none"/>
              </w:rPr>
              <w:t>TLI</w:t>
            </w:r>
            <w:r>
              <w:rPr>
                <w:rFonts w:hint="eastAsia"/>
                <w:color w:val="auto"/>
                <w:highlight w:val="none"/>
              </w:rPr>
              <w:t>（</w:t>
            </w:r>
            <w:r>
              <w:rPr>
                <w:rFonts w:hint="default"/>
                <w:color w:val="auto"/>
                <w:highlight w:val="none"/>
              </w:rPr>
              <w:t>∑</w:t>
            </w:r>
            <w:r>
              <w:rPr>
                <w:rFonts w:hint="eastAsia"/>
                <w:color w:val="auto"/>
                <w:highlight w:val="none"/>
              </w:rPr>
              <w:t>）</w:t>
            </w:r>
            <w:r>
              <w:rPr>
                <w:rFonts w:hint="default"/>
                <w:color w:val="auto"/>
                <w:highlight w:val="none"/>
              </w:rPr>
              <w:t>≤70</w:t>
            </w:r>
            <w:bookmarkEnd w:id="5982"/>
          </w:p>
        </w:tc>
      </w:tr>
      <w:tr w14:paraId="133540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trPr>
        <w:tc>
          <w:tcPr>
            <w:tcW w:w="4257" w:type="dxa"/>
            <w:tcBorders>
              <w:tl2br w:val="nil"/>
              <w:tr2bl w:val="nil"/>
            </w:tcBorders>
          </w:tcPr>
          <w:p w14:paraId="7E3DB3B8">
            <w:pPr>
              <w:pStyle w:val="29"/>
              <w:suppressLineNumbers w:val="0"/>
              <w:spacing w:beforeAutospacing="0" w:afterAutospacing="0"/>
              <w:ind w:left="0" w:right="0"/>
              <w:rPr>
                <w:rFonts w:hint="default"/>
                <w:color w:val="auto"/>
                <w:highlight w:val="none"/>
              </w:rPr>
            </w:pPr>
            <w:r>
              <w:rPr>
                <w:rFonts w:hint="eastAsia"/>
                <w:color w:val="auto"/>
                <w:highlight w:val="none"/>
              </w:rPr>
              <w:t>重度富营养</w:t>
            </w:r>
          </w:p>
        </w:tc>
        <w:tc>
          <w:tcPr>
            <w:tcW w:w="4263" w:type="dxa"/>
            <w:tcBorders>
              <w:tl2br w:val="nil"/>
              <w:tr2bl w:val="nil"/>
            </w:tcBorders>
          </w:tcPr>
          <w:p w14:paraId="2AC3BFFE">
            <w:pPr>
              <w:pStyle w:val="29"/>
              <w:suppressLineNumbers w:val="0"/>
              <w:spacing w:beforeAutospacing="0" w:afterAutospacing="0"/>
              <w:ind w:left="0" w:right="0"/>
              <w:rPr>
                <w:rFonts w:hint="default"/>
                <w:color w:val="auto"/>
                <w:highlight w:val="none"/>
              </w:rPr>
            </w:pPr>
            <w:bookmarkStart w:id="5983" w:name="_Toc1983"/>
            <w:r>
              <w:rPr>
                <w:rFonts w:hint="default"/>
                <w:color w:val="auto"/>
                <w:highlight w:val="none"/>
              </w:rPr>
              <w:t>TLI</w:t>
            </w:r>
            <w:r>
              <w:rPr>
                <w:rFonts w:hint="eastAsia"/>
                <w:color w:val="auto"/>
                <w:highlight w:val="none"/>
              </w:rPr>
              <w:t>（</w:t>
            </w:r>
            <w:r>
              <w:rPr>
                <w:rFonts w:hint="default"/>
                <w:color w:val="auto"/>
                <w:highlight w:val="none"/>
              </w:rPr>
              <w:t>∑</w:t>
            </w:r>
            <w:r>
              <w:rPr>
                <w:rFonts w:hint="eastAsia"/>
                <w:color w:val="auto"/>
                <w:highlight w:val="none"/>
              </w:rPr>
              <w:t>）＞</w:t>
            </w:r>
            <w:r>
              <w:rPr>
                <w:rFonts w:hint="default"/>
                <w:color w:val="auto"/>
                <w:highlight w:val="none"/>
              </w:rPr>
              <w:t>70</w:t>
            </w:r>
            <w:bookmarkEnd w:id="5983"/>
          </w:p>
        </w:tc>
      </w:tr>
    </w:tbl>
    <w:p w14:paraId="7581F079">
      <w:pPr>
        <w:spacing w:line="276" w:lineRule="auto"/>
        <w:ind w:firstLine="482"/>
        <w:jc w:val="center"/>
        <w:rPr>
          <w:b/>
          <w:bCs/>
          <w:color w:val="auto"/>
          <w:kern w:val="0"/>
          <w:szCs w:val="21"/>
          <w:highlight w:val="none"/>
        </w:rPr>
      </w:pPr>
      <w:r>
        <w:rPr>
          <w:rFonts w:hint="eastAsia"/>
          <w:b/>
          <w:bCs/>
          <w:color w:val="auto"/>
          <w:kern w:val="0"/>
          <w:szCs w:val="21"/>
          <w:highlight w:val="none"/>
        </w:rPr>
        <w:t xml:space="preserve">表 </w:t>
      </w:r>
      <w:r>
        <w:rPr>
          <w:b/>
          <w:bCs/>
          <w:color w:val="auto"/>
          <w:kern w:val="0"/>
          <w:szCs w:val="21"/>
          <w:highlight w:val="none"/>
        </w:rPr>
        <w:t>6.</w:t>
      </w:r>
      <w:r>
        <w:rPr>
          <w:rFonts w:hint="eastAsia"/>
          <w:b/>
          <w:bCs/>
          <w:color w:val="auto"/>
          <w:kern w:val="0"/>
          <w:szCs w:val="21"/>
          <w:highlight w:val="none"/>
          <w:lang w:val="en-US" w:eastAsia="zh-CN"/>
        </w:rPr>
        <w:t>6-4</w:t>
      </w:r>
      <w:r>
        <w:rPr>
          <w:rFonts w:hint="eastAsia"/>
          <w:b/>
          <w:bCs/>
          <w:color w:val="auto"/>
          <w:kern w:val="0"/>
          <w:szCs w:val="21"/>
          <w:highlight w:val="none"/>
        </w:rPr>
        <w:t>评价结果表</w:t>
      </w:r>
    </w:p>
    <w:tbl>
      <w:tblPr>
        <w:tblStyle w:val="31"/>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78"/>
        <w:gridCol w:w="2977"/>
        <w:gridCol w:w="2564"/>
      </w:tblGrid>
      <w:tr w14:paraId="4E5224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trPr>
        <w:tc>
          <w:tcPr>
            <w:tcW w:w="2978" w:type="dxa"/>
            <w:tcBorders>
              <w:tl2br w:val="nil"/>
              <w:tr2bl w:val="nil"/>
            </w:tcBorders>
          </w:tcPr>
          <w:p w14:paraId="1A483131">
            <w:pPr>
              <w:pStyle w:val="29"/>
              <w:suppressLineNumbers w:val="0"/>
              <w:spacing w:beforeAutospacing="0" w:afterAutospacing="0"/>
              <w:ind w:left="0" w:right="0"/>
              <w:rPr>
                <w:rFonts w:hint="default"/>
                <w:b/>
                <w:bCs/>
                <w:color w:val="auto"/>
                <w:highlight w:val="none"/>
              </w:rPr>
            </w:pPr>
            <w:bookmarkStart w:id="5984" w:name="_Toc20434"/>
            <w:r>
              <w:rPr>
                <w:rFonts w:hint="eastAsia"/>
                <w:b/>
                <w:bCs/>
                <w:color w:val="auto"/>
                <w:highlight w:val="none"/>
              </w:rPr>
              <w:t>库区</w:t>
            </w:r>
            <w:bookmarkEnd w:id="5984"/>
          </w:p>
        </w:tc>
        <w:tc>
          <w:tcPr>
            <w:tcW w:w="2977" w:type="dxa"/>
            <w:tcBorders>
              <w:tl2br w:val="nil"/>
              <w:tr2bl w:val="nil"/>
            </w:tcBorders>
          </w:tcPr>
          <w:p w14:paraId="6E402E7D">
            <w:pPr>
              <w:pStyle w:val="29"/>
              <w:suppressLineNumbers w:val="0"/>
              <w:spacing w:beforeAutospacing="0" w:afterAutospacing="0"/>
              <w:ind w:left="0" w:right="0"/>
              <w:rPr>
                <w:rFonts w:hint="default"/>
                <w:b/>
                <w:bCs/>
                <w:color w:val="auto"/>
                <w:highlight w:val="none"/>
              </w:rPr>
            </w:pPr>
            <w:bookmarkStart w:id="5985" w:name="_Toc21523"/>
            <w:r>
              <w:rPr>
                <w:rFonts w:hint="eastAsia"/>
                <w:b/>
                <w:bCs/>
                <w:color w:val="auto"/>
                <w:highlight w:val="none"/>
              </w:rPr>
              <w:t>监测点位指数</w:t>
            </w:r>
            <w:bookmarkEnd w:id="5985"/>
          </w:p>
        </w:tc>
        <w:tc>
          <w:tcPr>
            <w:tcW w:w="2564" w:type="dxa"/>
            <w:tcBorders>
              <w:tl2br w:val="nil"/>
              <w:tr2bl w:val="nil"/>
            </w:tcBorders>
          </w:tcPr>
          <w:p w14:paraId="4D24A82F">
            <w:pPr>
              <w:pStyle w:val="29"/>
              <w:suppressLineNumbers w:val="0"/>
              <w:spacing w:beforeAutospacing="0" w:afterAutospacing="0"/>
              <w:ind w:left="0" w:right="0"/>
              <w:rPr>
                <w:rFonts w:hint="default"/>
                <w:b/>
                <w:bCs/>
                <w:color w:val="auto"/>
                <w:highlight w:val="none"/>
              </w:rPr>
            </w:pPr>
            <w:bookmarkStart w:id="5986" w:name="_Toc30035"/>
            <w:r>
              <w:rPr>
                <w:rFonts w:hint="eastAsia"/>
                <w:b/>
                <w:bCs/>
                <w:color w:val="auto"/>
                <w:highlight w:val="none"/>
              </w:rPr>
              <w:t>结论</w:t>
            </w:r>
            <w:bookmarkEnd w:id="5986"/>
          </w:p>
        </w:tc>
      </w:tr>
      <w:tr w14:paraId="5713AD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trPr>
        <w:tc>
          <w:tcPr>
            <w:tcW w:w="2978" w:type="dxa"/>
            <w:tcBorders>
              <w:tl2br w:val="nil"/>
              <w:tr2bl w:val="nil"/>
            </w:tcBorders>
          </w:tcPr>
          <w:p w14:paraId="00FE5D44">
            <w:pPr>
              <w:pStyle w:val="29"/>
              <w:suppressLineNumbers w:val="0"/>
              <w:spacing w:beforeAutospacing="0" w:afterAutospacing="0"/>
              <w:ind w:left="0" w:right="0"/>
              <w:rPr>
                <w:rFonts w:hint="eastAsia" w:eastAsia="宋体"/>
                <w:color w:val="auto"/>
                <w:highlight w:val="none"/>
                <w:lang w:eastAsia="zh-CN"/>
              </w:rPr>
            </w:pPr>
            <w:r>
              <w:rPr>
                <w:rFonts w:hint="eastAsia"/>
                <w:color w:val="auto"/>
                <w:highlight w:val="none"/>
                <w:lang w:eastAsia="zh-CN"/>
              </w:rPr>
              <w:t>石头崾岘水库</w:t>
            </w:r>
          </w:p>
        </w:tc>
        <w:tc>
          <w:tcPr>
            <w:tcW w:w="2977" w:type="dxa"/>
            <w:tcBorders>
              <w:tl2br w:val="nil"/>
              <w:tr2bl w:val="nil"/>
            </w:tcBorders>
          </w:tcPr>
          <w:p w14:paraId="42CCAE44">
            <w:pPr>
              <w:pStyle w:val="29"/>
              <w:suppressLineNumbers w:val="0"/>
              <w:spacing w:beforeAutospacing="0" w:afterAutospacing="0"/>
              <w:ind w:left="0" w:right="0"/>
              <w:rPr>
                <w:rFonts w:hint="default" w:eastAsia="宋体"/>
                <w:color w:val="auto"/>
                <w:highlight w:val="none"/>
                <w:lang w:val="en-US" w:eastAsia="zh-CN"/>
              </w:rPr>
            </w:pPr>
            <w:r>
              <w:rPr>
                <w:rFonts w:hint="eastAsia"/>
                <w:color w:val="auto"/>
                <w:highlight w:val="none"/>
                <w:lang w:val="en-US" w:eastAsia="zh-CN"/>
              </w:rPr>
              <w:t>51.1</w:t>
            </w:r>
          </w:p>
        </w:tc>
        <w:tc>
          <w:tcPr>
            <w:tcW w:w="2564" w:type="dxa"/>
            <w:tcBorders>
              <w:tl2br w:val="nil"/>
              <w:tr2bl w:val="nil"/>
            </w:tcBorders>
          </w:tcPr>
          <w:p w14:paraId="68F99E45">
            <w:pPr>
              <w:pStyle w:val="29"/>
              <w:suppressLineNumbers w:val="0"/>
              <w:spacing w:beforeAutospacing="0" w:afterAutospacing="0"/>
              <w:ind w:left="0" w:right="0"/>
              <w:rPr>
                <w:rFonts w:hint="default"/>
                <w:color w:val="auto"/>
                <w:highlight w:val="none"/>
              </w:rPr>
            </w:pPr>
            <w:bookmarkStart w:id="5987" w:name="_Toc17465"/>
            <w:r>
              <w:rPr>
                <w:rFonts w:hint="eastAsia"/>
                <w:color w:val="auto"/>
                <w:highlight w:val="none"/>
                <w:lang w:eastAsia="zh-CN"/>
              </w:rPr>
              <w:t>轻</w:t>
            </w:r>
            <w:r>
              <w:rPr>
                <w:rFonts w:hint="eastAsia"/>
                <w:color w:val="auto"/>
                <w:highlight w:val="none"/>
              </w:rPr>
              <w:t>度富营养</w:t>
            </w:r>
            <w:bookmarkEnd w:id="5987"/>
          </w:p>
        </w:tc>
      </w:tr>
    </w:tbl>
    <w:p w14:paraId="3EFE123E">
      <w:pPr>
        <w:rPr>
          <w:rFonts w:ascii="宋体" w:hAnsi="宋体"/>
          <w:color w:val="auto"/>
          <w:szCs w:val="24"/>
          <w:highlight w:val="none"/>
        </w:rPr>
      </w:pPr>
      <w:r>
        <w:rPr>
          <w:rFonts w:hint="eastAsia" w:ascii="宋体" w:hAnsi="宋体"/>
          <w:color w:val="auto"/>
          <w:szCs w:val="24"/>
          <w:highlight w:val="none"/>
        </w:rPr>
        <w:t>根据上表可知，</w:t>
      </w:r>
      <w:r>
        <w:rPr>
          <w:rFonts w:hint="eastAsia" w:ascii="宋体" w:hAnsi="宋体"/>
          <w:color w:val="auto"/>
          <w:szCs w:val="24"/>
          <w:highlight w:val="none"/>
          <w:lang w:eastAsia="zh-CN"/>
        </w:rPr>
        <w:t>石头崾岘水库清淤后</w:t>
      </w:r>
      <w:r>
        <w:rPr>
          <w:rFonts w:hint="eastAsia" w:ascii="宋体" w:hAnsi="宋体"/>
          <w:color w:val="auto"/>
          <w:szCs w:val="24"/>
          <w:highlight w:val="none"/>
        </w:rPr>
        <w:t>，库区水质呈</w:t>
      </w:r>
      <w:r>
        <w:rPr>
          <w:rFonts w:hint="eastAsia" w:ascii="宋体" w:hAnsi="宋体"/>
          <w:color w:val="auto"/>
          <w:szCs w:val="24"/>
          <w:highlight w:val="none"/>
          <w:lang w:eastAsia="zh-CN"/>
        </w:rPr>
        <w:t>轻</w:t>
      </w:r>
      <w:r>
        <w:rPr>
          <w:rFonts w:hint="eastAsia" w:ascii="宋体" w:hAnsi="宋体"/>
          <w:color w:val="auto"/>
          <w:szCs w:val="24"/>
          <w:highlight w:val="none"/>
        </w:rPr>
        <w:t>度富营养状态，在水温较高的夏季，库区局部水域将会发生</w:t>
      </w:r>
      <w:r>
        <w:rPr>
          <w:rFonts w:hint="eastAsia" w:ascii="宋体" w:hAnsi="宋体"/>
          <w:color w:val="auto"/>
          <w:szCs w:val="24"/>
          <w:highlight w:val="none"/>
          <w:lang w:eastAsia="zh-CN"/>
        </w:rPr>
        <w:t>轻度</w:t>
      </w:r>
      <w:r>
        <w:rPr>
          <w:rFonts w:hint="eastAsia" w:ascii="宋体" w:hAnsi="宋体"/>
          <w:color w:val="auto"/>
          <w:szCs w:val="24"/>
          <w:highlight w:val="none"/>
        </w:rPr>
        <w:t>富营养化。</w:t>
      </w:r>
    </w:p>
    <w:p w14:paraId="5ED3B9FB">
      <w:pPr>
        <w:rPr>
          <w:rFonts w:ascii="宋体" w:hAnsi="宋体"/>
          <w:color w:val="auto"/>
          <w:szCs w:val="24"/>
          <w:highlight w:val="none"/>
        </w:rPr>
      </w:pPr>
      <w:r>
        <w:rPr>
          <w:rFonts w:hint="eastAsia" w:ascii="宋体" w:hAnsi="宋体"/>
          <w:color w:val="auto"/>
          <w:szCs w:val="24"/>
          <w:highlight w:val="none"/>
        </w:rPr>
        <w:t>水体富营养化发生、发展是由于水体整个环境系统出现失衡，导致某种优势藻类大量繁殖生长的过程。水库水体富营养化形成水华是多因素共同作用的结果，是由水域环境因子（如光照、温度、水流流态、营养元素、维生素类等）和藻类习性以及水生生物本身的相互关系决定的。</w:t>
      </w:r>
    </w:p>
    <w:p w14:paraId="39F51BD0">
      <w:pPr>
        <w:rPr>
          <w:rFonts w:ascii="宋体" w:hAnsi="宋体"/>
          <w:color w:val="auto"/>
          <w:szCs w:val="24"/>
          <w:highlight w:val="none"/>
        </w:rPr>
      </w:pPr>
      <w:r>
        <w:rPr>
          <w:rFonts w:hint="eastAsia" w:ascii="宋体" w:hAnsi="宋体"/>
          <w:color w:val="auto"/>
          <w:szCs w:val="24"/>
          <w:highlight w:val="none"/>
        </w:rPr>
        <w:t>①总磷、总氮等营养盐</w:t>
      </w:r>
    </w:p>
    <w:p w14:paraId="0DF1B4B6">
      <w:pPr>
        <w:rPr>
          <w:rFonts w:ascii="宋体" w:hAnsi="宋体"/>
          <w:color w:val="auto"/>
          <w:szCs w:val="24"/>
          <w:highlight w:val="none"/>
        </w:rPr>
      </w:pPr>
      <w:r>
        <w:rPr>
          <w:rFonts w:hint="eastAsia" w:ascii="宋体" w:hAnsi="宋体"/>
          <w:color w:val="auto"/>
          <w:szCs w:val="24"/>
          <w:highlight w:val="none"/>
        </w:rPr>
        <w:t>据研究，当水体中总磷浓度超过</w:t>
      </w:r>
      <w:r>
        <w:rPr>
          <w:rFonts w:hint="eastAsia" w:ascii="TimesNewRomanPSMT" w:hAnsi="TimesNewRomanPSMT" w:eastAsia="TimesNewRomanPSMT"/>
          <w:color w:val="auto"/>
          <w:szCs w:val="24"/>
          <w:highlight w:val="none"/>
        </w:rPr>
        <w:t>0.015</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0.02mg/L</w:t>
      </w:r>
      <w:r>
        <w:rPr>
          <w:rFonts w:hint="eastAsia" w:ascii="宋体" w:hAnsi="宋体"/>
          <w:color w:val="auto"/>
          <w:szCs w:val="24"/>
          <w:highlight w:val="none"/>
        </w:rPr>
        <w:t>、总氮浓度超过</w:t>
      </w:r>
      <w:r>
        <w:rPr>
          <w:rFonts w:hint="eastAsia" w:ascii="TimesNewRomanPSMT" w:hAnsi="TimesNewRomanPSMT" w:eastAsia="TimesNewRomanPSMT"/>
          <w:color w:val="auto"/>
          <w:szCs w:val="24"/>
          <w:highlight w:val="none"/>
        </w:rPr>
        <w:t>0.2</w:t>
      </w:r>
      <w:r>
        <w:rPr>
          <w:rFonts w:hint="eastAsia" w:ascii="宋体" w:hAnsi="宋体"/>
          <w:color w:val="auto"/>
          <w:szCs w:val="24"/>
          <w:highlight w:val="none"/>
        </w:rPr>
        <w:t>～</w:t>
      </w:r>
      <w:r>
        <w:rPr>
          <w:rFonts w:hint="eastAsia" w:ascii="TimesNewRomanPSMT" w:hAnsi="TimesNewRomanPSMT" w:eastAsia="TimesNewRomanPSMT"/>
          <w:color w:val="auto"/>
          <w:szCs w:val="24"/>
          <w:highlight w:val="none"/>
        </w:rPr>
        <w:t>0.3mg/L</w:t>
      </w:r>
      <w:r>
        <w:rPr>
          <w:rFonts w:hint="eastAsia" w:ascii="宋体" w:hAnsi="宋体"/>
          <w:color w:val="auto"/>
          <w:szCs w:val="24"/>
          <w:highlight w:val="none"/>
        </w:rPr>
        <w:t>时，在适宜的水力流态、光照、温度、</w:t>
      </w:r>
      <w:r>
        <w:rPr>
          <w:rFonts w:hint="eastAsia" w:ascii="TimesNewRomanPSMT" w:hAnsi="TimesNewRomanPSMT" w:eastAsia="TimesNewRomanPSMT"/>
          <w:color w:val="auto"/>
          <w:szCs w:val="24"/>
          <w:highlight w:val="none"/>
        </w:rPr>
        <w:t xml:space="preserve">pH </w:t>
      </w:r>
      <w:r>
        <w:rPr>
          <w:rFonts w:hint="eastAsia" w:ascii="宋体" w:hAnsi="宋体"/>
          <w:color w:val="auto"/>
          <w:szCs w:val="24"/>
          <w:highlight w:val="none"/>
        </w:rPr>
        <w:t>值的条件下，藻类就会出现急剧繁殖、快速增长。</w:t>
      </w:r>
    </w:p>
    <w:p w14:paraId="1F717A4A">
      <w:pPr>
        <w:rPr>
          <w:rFonts w:ascii="宋体" w:hAnsi="宋体"/>
          <w:color w:val="auto"/>
          <w:szCs w:val="24"/>
          <w:highlight w:val="none"/>
        </w:rPr>
      </w:pPr>
      <w:r>
        <w:rPr>
          <w:rFonts w:hint="eastAsia" w:ascii="宋体" w:hAnsi="宋体"/>
          <w:color w:val="auto"/>
          <w:szCs w:val="24"/>
          <w:highlight w:val="none"/>
        </w:rPr>
        <w:t>②水力流态</w:t>
      </w:r>
    </w:p>
    <w:p w14:paraId="1D076067">
      <w:pPr>
        <w:rPr>
          <w:rFonts w:ascii="宋体" w:hAnsi="宋体"/>
          <w:color w:val="auto"/>
          <w:szCs w:val="24"/>
          <w:highlight w:val="none"/>
        </w:rPr>
      </w:pPr>
      <w:r>
        <w:rPr>
          <w:rFonts w:hint="eastAsia" w:ascii="宋体" w:hAnsi="宋体"/>
          <w:color w:val="auto"/>
          <w:szCs w:val="24"/>
          <w:highlight w:val="none"/>
        </w:rPr>
        <w:t>水力流态主要是指以流速、水深、换水周期为要素的水流结构。水力流态是产生富营养化形成水华的载体。在水流缓慢、水深较浅（一般小于</w:t>
      </w:r>
      <w:r>
        <w:rPr>
          <w:rFonts w:hint="eastAsia" w:ascii="TimesNewRomanPSMT" w:hAnsi="TimesNewRomanPSMT" w:eastAsia="TimesNewRomanPSMT"/>
          <w:color w:val="auto"/>
          <w:szCs w:val="24"/>
          <w:highlight w:val="none"/>
        </w:rPr>
        <w:t xml:space="preserve">4 </w:t>
      </w:r>
      <w:r>
        <w:rPr>
          <w:rFonts w:hint="eastAsia" w:ascii="宋体" w:hAnsi="宋体"/>
          <w:color w:val="auto"/>
          <w:szCs w:val="24"/>
          <w:highlight w:val="none"/>
        </w:rPr>
        <w:t>米）、相对封闭水域，适合大量藻类和其他水生植物的生长，容易出现富营养化现象。湖、库换水周期越长、水体停留时间延长，势必增加水生植物对磷、氮等营养盐的摄取量，促进藻类生长繁殖，累积大量生物量，容易产生富营养化形成水华。</w:t>
      </w:r>
    </w:p>
    <w:p w14:paraId="5D6787AA">
      <w:pPr>
        <w:rPr>
          <w:rFonts w:ascii="宋体" w:hAnsi="宋体"/>
          <w:color w:val="auto"/>
          <w:szCs w:val="24"/>
          <w:highlight w:val="none"/>
        </w:rPr>
      </w:pPr>
      <w:r>
        <w:rPr>
          <w:rFonts w:hint="eastAsia" w:ascii="宋体" w:hAnsi="宋体"/>
          <w:color w:val="auto"/>
          <w:szCs w:val="24"/>
          <w:highlight w:val="none"/>
        </w:rPr>
        <w:t>③光热条件</w:t>
      </w:r>
    </w:p>
    <w:p w14:paraId="68289B7A">
      <w:pPr>
        <w:rPr>
          <w:rFonts w:ascii="宋体" w:hAnsi="宋体"/>
          <w:color w:val="auto"/>
          <w:szCs w:val="24"/>
          <w:highlight w:val="none"/>
        </w:rPr>
      </w:pPr>
      <w:r>
        <w:rPr>
          <w:rFonts w:hint="eastAsia" w:ascii="宋体" w:hAnsi="宋体"/>
          <w:color w:val="auto"/>
          <w:szCs w:val="24"/>
          <w:highlight w:val="none"/>
        </w:rPr>
        <w:t>不同的水生植物对水温有不同的适应能力。研究表明，在其他环境条件适宜的情况下，在一定的温度范围内，温度上升</w:t>
      </w:r>
      <w:r>
        <w:rPr>
          <w:rFonts w:hint="eastAsia" w:ascii="TimesNewRomanPSMT" w:hAnsi="TimesNewRomanPSMT" w:eastAsia="TimesNewRomanPSMT"/>
          <w:color w:val="auto"/>
          <w:szCs w:val="24"/>
          <w:highlight w:val="none"/>
        </w:rPr>
        <w:t>10</w:t>
      </w:r>
      <w:r>
        <w:rPr>
          <w:rFonts w:hint="eastAsia" w:ascii="宋体" w:hAnsi="宋体"/>
          <w:color w:val="auto"/>
          <w:szCs w:val="24"/>
          <w:highlight w:val="none"/>
        </w:rPr>
        <w:t>℃，藻类代谢率增加</w:t>
      </w:r>
      <w:r>
        <w:rPr>
          <w:rFonts w:hint="eastAsia" w:ascii="TimesNewRomanPSMT" w:hAnsi="TimesNewRomanPSMT" w:eastAsia="TimesNewRomanPSMT"/>
          <w:color w:val="auto"/>
          <w:szCs w:val="24"/>
          <w:highlight w:val="none"/>
        </w:rPr>
        <w:t xml:space="preserve">2 </w:t>
      </w:r>
      <w:r>
        <w:rPr>
          <w:rFonts w:hint="eastAsia" w:ascii="宋体" w:hAnsi="宋体"/>
          <w:color w:val="auto"/>
          <w:szCs w:val="24"/>
          <w:highlight w:val="none"/>
        </w:rPr>
        <w:t>倍，而鱼类代谢率仅增加</w:t>
      </w:r>
      <w:r>
        <w:rPr>
          <w:rFonts w:hint="eastAsia" w:ascii="TimesNewRomanPSMT" w:hAnsi="TimesNewRomanPSMT" w:eastAsia="TimesNewRomanPSMT"/>
          <w:color w:val="auto"/>
          <w:szCs w:val="24"/>
          <w:highlight w:val="none"/>
        </w:rPr>
        <w:t xml:space="preserve">1 </w:t>
      </w:r>
      <w:r>
        <w:rPr>
          <w:rFonts w:hint="eastAsia" w:ascii="宋体" w:hAnsi="宋体"/>
          <w:color w:val="auto"/>
          <w:szCs w:val="24"/>
          <w:highlight w:val="none"/>
        </w:rPr>
        <w:t>倍；各种藻类有它们自己的适温范围，水温</w:t>
      </w:r>
      <w:r>
        <w:rPr>
          <w:rFonts w:hint="eastAsia" w:ascii="TimesNewRomanPSMT" w:hAnsi="TimesNewRomanPSMT" w:eastAsia="TimesNewRomanPSMT"/>
          <w:color w:val="auto"/>
          <w:szCs w:val="24"/>
          <w:highlight w:val="none"/>
        </w:rPr>
        <w:t>20</w:t>
      </w:r>
      <w:r>
        <w:rPr>
          <w:rFonts w:hint="eastAsia" w:ascii="宋体" w:hAnsi="宋体"/>
          <w:color w:val="auto"/>
          <w:szCs w:val="24"/>
          <w:highlight w:val="none"/>
        </w:rPr>
        <w:t>℃左右硅藻为主，</w:t>
      </w:r>
      <w:r>
        <w:rPr>
          <w:rFonts w:hint="eastAsia" w:ascii="TimesNewRomanPSMT" w:hAnsi="TimesNewRomanPSMT" w:eastAsia="TimesNewRomanPSMT"/>
          <w:color w:val="auto"/>
          <w:szCs w:val="24"/>
          <w:highlight w:val="none"/>
        </w:rPr>
        <w:t>30</w:t>
      </w:r>
      <w:r>
        <w:rPr>
          <w:rFonts w:hint="eastAsia" w:ascii="宋体" w:hAnsi="宋体"/>
          <w:color w:val="auto"/>
          <w:szCs w:val="24"/>
          <w:highlight w:val="none"/>
        </w:rPr>
        <w:t>℃左右绿藻为主，</w:t>
      </w:r>
      <w:r>
        <w:rPr>
          <w:rFonts w:hint="eastAsia" w:ascii="TimesNewRomanPSMT" w:hAnsi="TimesNewRomanPSMT" w:eastAsia="TimesNewRomanPSMT"/>
          <w:color w:val="auto"/>
          <w:szCs w:val="24"/>
          <w:highlight w:val="none"/>
        </w:rPr>
        <w:t>40</w:t>
      </w:r>
      <w:r>
        <w:rPr>
          <w:rFonts w:hint="eastAsia" w:ascii="宋体" w:hAnsi="宋体"/>
          <w:color w:val="auto"/>
          <w:szCs w:val="24"/>
          <w:highlight w:val="none"/>
        </w:rPr>
        <w:t>℃左右蓝藻占优势；硅藻在温度较低、光线较强的春季发展成为优势种，绿藻在温度较高的夏季出现高峰，蓝藻则在光线较弱、温度较高的秋季大量出现，而各种藻类在冬季都较为缓慢生长或基本不能生长。</w:t>
      </w:r>
    </w:p>
    <w:p w14:paraId="58F09AD1">
      <w:pPr>
        <w:rPr>
          <w:rFonts w:ascii="宋体" w:hAnsi="宋体"/>
          <w:color w:val="auto"/>
          <w:szCs w:val="24"/>
          <w:highlight w:val="none"/>
        </w:rPr>
      </w:pPr>
      <w:r>
        <w:rPr>
          <w:rFonts w:hint="eastAsia" w:ascii="宋体" w:hAnsi="宋体"/>
          <w:color w:val="auto"/>
          <w:szCs w:val="24"/>
          <w:highlight w:val="none"/>
        </w:rPr>
        <w:t>可见，温度升高，一方面使藻类和其他水生植物对氮、磷等营养盐的吸收和积累增加，另一方面使水生植物群落结构改变。当水温＞</w:t>
      </w:r>
      <w:r>
        <w:rPr>
          <w:rFonts w:hint="eastAsia" w:ascii="TimesNewRomanPSMT" w:hAnsi="TimesNewRomanPSMT" w:eastAsia="TimesNewRomanPSMT"/>
          <w:color w:val="auto"/>
          <w:szCs w:val="24"/>
          <w:highlight w:val="none"/>
        </w:rPr>
        <w:t>30</w:t>
      </w:r>
      <w:r>
        <w:rPr>
          <w:rFonts w:hint="eastAsia" w:ascii="宋体" w:hAnsi="宋体"/>
          <w:color w:val="auto"/>
          <w:szCs w:val="24"/>
          <w:highlight w:val="none"/>
        </w:rPr>
        <w:t>℃时，硅藻、绿藻等藻类生长受到不同程度的抑制而长势不良，蓝藻及污水菌类在适宜的水力流态和营养盐等条件下则急剧繁殖、高速茂发。蓝藻为淡水富营养化形成水华的主要浮游生物。蓝藻毒素产生及死亡腐败后，最终使水质恶化。</w:t>
      </w:r>
    </w:p>
    <w:p w14:paraId="53940696">
      <w:pPr>
        <w:rPr>
          <w:rFonts w:ascii="宋体" w:hAnsi="宋体"/>
          <w:color w:val="auto"/>
          <w:szCs w:val="24"/>
          <w:highlight w:val="none"/>
        </w:rPr>
      </w:pPr>
      <w:r>
        <w:rPr>
          <w:rFonts w:hint="eastAsia" w:ascii="宋体" w:hAnsi="宋体"/>
          <w:color w:val="auto"/>
          <w:szCs w:val="24"/>
          <w:highlight w:val="none"/>
        </w:rPr>
        <w:t>从营养盐要素分析，水库防治氮、磷污染对防治水库富营养化显得尤为重要；从温度要素分析，水库周边无排放污水的企业存在，水库水温仅受当地气候影响。</w:t>
      </w:r>
    </w:p>
    <w:p w14:paraId="5BA3BE31">
      <w:pPr>
        <w:rPr>
          <w:rFonts w:ascii="宋体" w:hAnsi="宋体"/>
          <w:color w:val="auto"/>
          <w:szCs w:val="24"/>
          <w:highlight w:val="none"/>
        </w:rPr>
      </w:pPr>
      <w:r>
        <w:rPr>
          <w:rFonts w:hint="eastAsia" w:ascii="宋体" w:hAnsi="宋体"/>
          <w:color w:val="auto"/>
          <w:szCs w:val="24"/>
          <w:highlight w:val="none"/>
        </w:rPr>
        <w:t>此次评价建议：为保障库区的水质安全，建议建设单位加强管理，定期对库区水质进行监测，防止库区水体发生富营养化</w:t>
      </w:r>
    </w:p>
    <w:p w14:paraId="3AF419BC">
      <w:pPr>
        <w:pStyle w:val="6"/>
        <w:bidi w:val="0"/>
        <w:rPr>
          <w:rFonts w:hint="default" w:ascii="Times New Roman" w:hAnsi="Times New Roman" w:cs="Times New Roman"/>
          <w:color w:val="auto"/>
          <w:sz w:val="28"/>
          <w:szCs w:val="28"/>
          <w:highlight w:val="none"/>
        </w:rPr>
      </w:pPr>
      <w:r>
        <w:rPr>
          <w:rFonts w:hint="eastAsia" w:cs="Times New Roman"/>
          <w:color w:val="auto"/>
          <w:sz w:val="28"/>
          <w:szCs w:val="28"/>
          <w:highlight w:val="none"/>
          <w:lang w:val="en-US" w:eastAsia="zh-CN"/>
        </w:rPr>
        <w:t>6.6.2</w:t>
      </w:r>
      <w:r>
        <w:rPr>
          <w:rFonts w:hint="default" w:ascii="Times New Roman" w:hAnsi="Times New Roman" w:cs="Times New Roman"/>
          <w:color w:val="auto"/>
          <w:sz w:val="28"/>
          <w:szCs w:val="28"/>
          <w:highlight w:val="none"/>
        </w:rPr>
        <w:t>水生生态影响分析</w:t>
      </w:r>
    </w:p>
    <w:p w14:paraId="09AD0FE7">
      <w:pPr>
        <w:pStyle w:val="7"/>
        <w:bidi w:val="0"/>
        <w:rPr>
          <w:rFonts w:hint="default"/>
          <w:color w:val="auto"/>
          <w:highlight w:val="none"/>
        </w:rPr>
      </w:pPr>
      <w:r>
        <w:rPr>
          <w:rFonts w:hint="eastAsia"/>
          <w:color w:val="auto"/>
          <w:highlight w:val="none"/>
          <w:lang w:val="en-US" w:eastAsia="zh-CN"/>
        </w:rPr>
        <w:t>6.6.2.1</w:t>
      </w:r>
      <w:r>
        <w:rPr>
          <w:rFonts w:hint="default"/>
          <w:color w:val="auto"/>
          <w:highlight w:val="none"/>
        </w:rPr>
        <w:t>施工期水生生态影响</w:t>
      </w:r>
    </w:p>
    <w:p w14:paraId="0354702F">
      <w:pP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1</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导流阶段影响</w:t>
      </w:r>
    </w:p>
    <w:p w14:paraId="3663FB88">
      <w:pP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eastAsia="zh-CN"/>
        </w:rPr>
        <w:t>施工期间</w:t>
      </w:r>
      <w:r>
        <w:rPr>
          <w:rFonts w:hint="default" w:ascii="Times New Roman" w:hAnsi="Times New Roman" w:eastAsia="宋体" w:cs="Times New Roman"/>
          <w:color w:val="auto"/>
          <w:szCs w:val="24"/>
          <w:highlight w:val="none"/>
        </w:rPr>
        <w:t>小河段</w:t>
      </w:r>
      <w:r>
        <w:rPr>
          <w:rFonts w:hint="eastAsia" w:ascii="Times New Roman" w:hAnsi="Times New Roman" w:eastAsia="宋体" w:cs="Times New Roman"/>
          <w:color w:val="auto"/>
          <w:szCs w:val="24"/>
          <w:highlight w:val="none"/>
          <w:lang w:eastAsia="zh-CN"/>
        </w:rPr>
        <w:t>采用</w:t>
      </w:r>
      <w:r>
        <w:rPr>
          <w:rFonts w:hint="default" w:ascii="Times New Roman" w:hAnsi="Times New Roman" w:eastAsia="宋体" w:cs="Times New Roman"/>
          <w:color w:val="auto"/>
          <w:szCs w:val="24"/>
          <w:highlight w:val="none"/>
        </w:rPr>
        <w:t>明渠导流</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水库</w:t>
      </w:r>
      <w:r>
        <w:rPr>
          <w:rFonts w:hint="eastAsia" w:ascii="Times New Roman" w:hAnsi="Times New Roman" w:eastAsia="宋体" w:cs="Times New Roman"/>
          <w:color w:val="auto"/>
          <w:szCs w:val="24"/>
          <w:highlight w:val="none"/>
          <w:lang w:eastAsia="zh-CN"/>
        </w:rPr>
        <w:t>采用</w:t>
      </w:r>
      <w:r>
        <w:rPr>
          <w:rFonts w:hint="default" w:ascii="Times New Roman" w:hAnsi="Times New Roman" w:eastAsia="宋体" w:cs="Times New Roman"/>
          <w:color w:val="auto"/>
          <w:szCs w:val="24"/>
          <w:highlight w:val="none"/>
        </w:rPr>
        <w:t>导流槽</w:t>
      </w:r>
      <w:r>
        <w:rPr>
          <w:rFonts w:hint="eastAsia" w:ascii="Times New Roman" w:hAnsi="Times New Roman" w:eastAsia="宋体" w:cs="Times New Roman"/>
          <w:color w:val="auto"/>
          <w:szCs w:val="24"/>
          <w:highlight w:val="none"/>
          <w:lang w:eastAsia="zh-CN"/>
        </w:rPr>
        <w:t>，使得</w:t>
      </w:r>
      <w:r>
        <w:rPr>
          <w:rFonts w:hint="default" w:ascii="Times New Roman" w:hAnsi="Times New Roman" w:eastAsia="宋体" w:cs="Times New Roman"/>
          <w:color w:val="auto"/>
          <w:szCs w:val="24"/>
          <w:highlight w:val="none"/>
        </w:rPr>
        <w:t>河道天然水流被分流，工程区局部流速从0.3-0.8m/s降至 0.1-0.2m/s，缓流区面积增加。水流变缓导致卵粒附着稳定性下降；鲢、鳙等滤食性鱼类因水流减缓，浮游生物密度局部升高，短期觅食条件改善，</w:t>
      </w:r>
      <w:r>
        <w:rPr>
          <w:rFonts w:hint="eastAsia" w:ascii="Times New Roman" w:hAnsi="Times New Roman" w:eastAsia="宋体" w:cs="Times New Roman"/>
          <w:color w:val="auto"/>
          <w:szCs w:val="24"/>
          <w:highlight w:val="none"/>
          <w:lang w:eastAsia="zh-CN"/>
        </w:rPr>
        <w:t>睡着导流水体汇入下游后，生境将逐步恢复原状</w:t>
      </w:r>
      <w:r>
        <w:rPr>
          <w:rFonts w:hint="default" w:ascii="Times New Roman" w:hAnsi="Times New Roman" w:eastAsia="宋体" w:cs="Times New Roman"/>
          <w:color w:val="auto"/>
          <w:szCs w:val="24"/>
          <w:highlight w:val="none"/>
        </w:rPr>
        <w:t>。</w:t>
      </w:r>
    </w:p>
    <w:p w14:paraId="5D195765">
      <w:pPr>
        <w:rPr>
          <w:rFonts w:hint="eastAsia"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szCs w:val="24"/>
          <w:highlight w:val="none"/>
          <w:lang w:eastAsia="zh-CN"/>
        </w:rPr>
        <w:t>导流水体汇入下游会一定程度上将</w:t>
      </w:r>
      <w:r>
        <w:rPr>
          <w:rFonts w:hint="default" w:ascii="Times New Roman" w:hAnsi="Times New Roman" w:eastAsia="宋体" w:cs="Times New Roman"/>
          <w:color w:val="auto"/>
          <w:szCs w:val="24"/>
          <w:highlight w:val="none"/>
        </w:rPr>
        <w:t>搅动</w:t>
      </w:r>
      <w:r>
        <w:rPr>
          <w:rFonts w:hint="eastAsia" w:ascii="Times New Roman" w:hAnsi="Times New Roman" w:eastAsia="宋体" w:cs="Times New Roman"/>
          <w:color w:val="auto"/>
          <w:szCs w:val="24"/>
          <w:highlight w:val="none"/>
          <w:lang w:eastAsia="zh-CN"/>
        </w:rPr>
        <w:t>下游</w:t>
      </w:r>
      <w:r>
        <w:rPr>
          <w:rFonts w:hint="default" w:ascii="Times New Roman" w:hAnsi="Times New Roman" w:eastAsia="宋体" w:cs="Times New Roman"/>
          <w:color w:val="auto"/>
          <w:szCs w:val="24"/>
          <w:highlight w:val="none"/>
        </w:rPr>
        <w:t>河床泥沙，工程区SS浓度</w:t>
      </w:r>
      <w:r>
        <w:rPr>
          <w:rFonts w:hint="eastAsia" w:ascii="Times New Roman" w:hAnsi="Times New Roman" w:eastAsia="宋体" w:cs="Times New Roman"/>
          <w:color w:val="auto"/>
          <w:szCs w:val="24"/>
          <w:highlight w:val="none"/>
          <w:lang w:eastAsia="zh-CN"/>
        </w:rPr>
        <w:t>小幅升高</w:t>
      </w:r>
      <w:r>
        <w:rPr>
          <w:rFonts w:hint="default" w:ascii="Times New Roman" w:hAnsi="Times New Roman" w:eastAsia="宋体" w:cs="Times New Roman"/>
          <w:color w:val="auto"/>
          <w:szCs w:val="24"/>
          <w:highlight w:val="none"/>
        </w:rPr>
        <w:t>，浮游植物光合作用受遮光影响，导致初级生产力降低</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影响鱼类饵料供给。</w:t>
      </w:r>
      <w:r>
        <w:rPr>
          <w:rFonts w:hint="eastAsia" w:ascii="Times New Roman" w:hAnsi="Times New Roman" w:eastAsia="宋体" w:cs="Times New Roman"/>
          <w:color w:val="auto"/>
          <w:szCs w:val="24"/>
          <w:highlight w:val="none"/>
          <w:lang w:eastAsia="zh-CN"/>
        </w:rPr>
        <w:t>由于导流时间较短，在导流结束后水面逐步恢复平静，浮游植物生产力也将逐步恢复。</w:t>
      </w:r>
    </w:p>
    <w:p w14:paraId="7A988C03">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rPr>
        <w:t>）清淤阶段影响</w:t>
      </w:r>
    </w:p>
    <w:p w14:paraId="2C5BDAB1">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水库清淤量</w:t>
      </w:r>
      <w:r>
        <w:rPr>
          <w:rFonts w:hint="eastAsia" w:ascii="Times New Roman" w:hAnsi="Times New Roman" w:eastAsia="宋体" w:cs="Times New Roman"/>
          <w:color w:val="auto"/>
          <w:szCs w:val="24"/>
          <w:highlight w:val="none"/>
          <w:lang w:eastAsia="zh-CN"/>
        </w:rPr>
        <w:t>为</w:t>
      </w:r>
      <w:r>
        <w:rPr>
          <w:rFonts w:hint="default" w:ascii="Times New Roman" w:hAnsi="Times New Roman" w:eastAsia="宋体" w:cs="Times New Roman"/>
          <w:color w:val="auto"/>
          <w:szCs w:val="24"/>
          <w:highlight w:val="none"/>
        </w:rPr>
        <w:t>120万m³，清淤深度</w:t>
      </w:r>
      <w:r>
        <w:rPr>
          <w:rFonts w:hint="eastAsia" w:ascii="Times New Roman" w:hAnsi="Times New Roman" w:eastAsia="宋体" w:cs="Times New Roman"/>
          <w:color w:val="auto"/>
          <w:szCs w:val="24"/>
          <w:highlight w:val="none"/>
          <w:lang w:eastAsia="zh-CN"/>
        </w:rPr>
        <w:t>约</w:t>
      </w:r>
      <w:r>
        <w:rPr>
          <w:rFonts w:hint="default" w:ascii="Times New Roman" w:hAnsi="Times New Roman" w:eastAsia="宋体" w:cs="Times New Roman"/>
          <w:color w:val="auto"/>
          <w:szCs w:val="24"/>
          <w:highlight w:val="none"/>
        </w:rPr>
        <w:t>2.5m，</w:t>
      </w:r>
      <w:r>
        <w:rPr>
          <w:rFonts w:hint="eastAsia" w:ascii="Times New Roman" w:hAnsi="Times New Roman" w:eastAsia="宋体" w:cs="Times New Roman"/>
          <w:color w:val="auto"/>
          <w:szCs w:val="24"/>
          <w:highlight w:val="none"/>
          <w:lang w:eastAsia="zh-CN"/>
        </w:rPr>
        <w:t>将</w:t>
      </w:r>
      <w:r>
        <w:rPr>
          <w:rFonts w:hint="default" w:ascii="Times New Roman" w:hAnsi="Times New Roman" w:eastAsia="宋体" w:cs="Times New Roman"/>
          <w:color w:val="auto"/>
          <w:szCs w:val="24"/>
          <w:highlight w:val="none"/>
        </w:rPr>
        <w:t>直接破坏</w:t>
      </w:r>
      <w:r>
        <w:rPr>
          <w:rFonts w:hint="eastAsia" w:ascii="Times New Roman" w:hAnsi="Times New Roman" w:eastAsia="宋体" w:cs="Times New Roman"/>
          <w:color w:val="auto"/>
          <w:szCs w:val="24"/>
          <w:highlight w:val="none"/>
          <w:lang w:eastAsia="zh-CN"/>
        </w:rPr>
        <w:t>水库</w:t>
      </w:r>
      <w:r>
        <w:rPr>
          <w:rFonts w:hint="default" w:ascii="Times New Roman" w:hAnsi="Times New Roman" w:eastAsia="宋体" w:cs="Times New Roman"/>
          <w:color w:val="auto"/>
          <w:szCs w:val="24"/>
          <w:highlight w:val="none"/>
        </w:rPr>
        <w:t>底栖生物栖息生境</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清淤后底质由腐殖质为主变为砂质，底栖生物群落结构改变，偏好腐殖质的物种（如河蚬）占比下降，砂质底质优势种（如钩虾）逐步占据主导。</w:t>
      </w:r>
    </w:p>
    <w:p w14:paraId="1D6F1AC6">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清淤机械作业噪声对鱼类产生驱避效应，水库浅水区幼鱼索饵场被迫向库尾迁移</w:t>
      </w:r>
      <w:r>
        <w:rPr>
          <w:rFonts w:hint="eastAsia" w:ascii="Times New Roman" w:hAnsi="Times New Roman" w:eastAsia="宋体" w:cs="Times New Roman"/>
          <w:color w:val="auto"/>
          <w:szCs w:val="24"/>
          <w:highlight w:val="none"/>
          <w:lang w:eastAsia="zh-CN"/>
        </w:rPr>
        <w:t>，此外</w:t>
      </w:r>
      <w:r>
        <w:rPr>
          <w:rFonts w:hint="default" w:ascii="Times New Roman" w:hAnsi="Times New Roman" w:eastAsia="宋体" w:cs="Times New Roman"/>
          <w:color w:val="auto"/>
          <w:szCs w:val="24"/>
          <w:highlight w:val="none"/>
        </w:rPr>
        <w:t>清淤导致水体透明度短期内</w:t>
      </w:r>
      <w:r>
        <w:rPr>
          <w:rFonts w:hint="eastAsia" w:ascii="Times New Roman" w:hAnsi="Times New Roman" w:eastAsia="宋体" w:cs="Times New Roman"/>
          <w:color w:val="auto"/>
          <w:szCs w:val="24"/>
          <w:highlight w:val="none"/>
          <w:lang w:eastAsia="zh-CN"/>
        </w:rPr>
        <w:t>降低</w:t>
      </w:r>
      <w:r>
        <w:rPr>
          <w:rFonts w:hint="default" w:ascii="Times New Roman" w:hAnsi="Times New Roman" w:eastAsia="宋体" w:cs="Times New Roman"/>
          <w:color w:val="auto"/>
          <w:szCs w:val="24"/>
          <w:highlight w:val="none"/>
        </w:rPr>
        <w:t>，影响草食性鱼类（草鱼）对水生植被的摄食，，但后续随水质恢复将回归自然水平。</w:t>
      </w:r>
    </w:p>
    <w:p w14:paraId="14994F63">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）护岸施工阶段影响</w:t>
      </w:r>
    </w:p>
    <w:p w14:paraId="7396C98C">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小河段</w:t>
      </w:r>
      <w:r>
        <w:rPr>
          <w:rFonts w:hint="eastAsia" w:ascii="Times New Roman" w:hAnsi="Times New Roman" w:eastAsia="宋体" w:cs="Times New Roman"/>
          <w:color w:val="auto"/>
          <w:szCs w:val="24"/>
          <w:highlight w:val="none"/>
          <w:lang w:eastAsia="zh-CN"/>
        </w:rPr>
        <w:t>及川口河段护坡护岸等工程施工</w:t>
      </w:r>
      <w:r>
        <w:rPr>
          <w:rFonts w:hint="default" w:ascii="Times New Roman" w:hAnsi="Times New Roman" w:eastAsia="宋体" w:cs="Times New Roman"/>
          <w:color w:val="auto"/>
          <w:szCs w:val="24"/>
          <w:highlight w:val="none"/>
        </w:rPr>
        <w:t>，直接破坏</w:t>
      </w:r>
      <w:r>
        <w:rPr>
          <w:rFonts w:hint="eastAsia" w:ascii="Times New Roman" w:hAnsi="Times New Roman" w:eastAsia="宋体" w:cs="Times New Roman"/>
          <w:color w:val="auto"/>
          <w:szCs w:val="24"/>
          <w:highlight w:val="none"/>
          <w:lang w:eastAsia="zh-CN"/>
        </w:rPr>
        <w:t>沿岸</w:t>
      </w:r>
      <w:r>
        <w:rPr>
          <w:rFonts w:hint="default" w:ascii="Times New Roman" w:hAnsi="Times New Roman" w:eastAsia="宋体" w:cs="Times New Roman"/>
          <w:color w:val="auto"/>
          <w:szCs w:val="24"/>
          <w:highlight w:val="none"/>
        </w:rPr>
        <w:t>水生植被，其中芦苇群落受损最为严重。原有缓坡岸线变为直立或陡坡结构，鲫鱼等产黏性卵鱼类的产卵基质（水草、岸线泥沙</w:t>
      </w:r>
      <w:r>
        <w:rPr>
          <w:rFonts w:hint="eastAsia" w:ascii="Times New Roman" w:hAnsi="Times New Roman" w:eastAsia="宋体" w:cs="Times New Roman"/>
          <w:color w:val="auto"/>
          <w:szCs w:val="24"/>
          <w:highlight w:val="none"/>
          <w:lang w:eastAsia="zh-CN"/>
        </w:rPr>
        <w:t>）短期内将减少</w:t>
      </w:r>
      <w:r>
        <w:rPr>
          <w:rFonts w:hint="default" w:ascii="Times New Roman" w:hAnsi="Times New Roman" w:eastAsia="宋体" w:cs="Times New Roman"/>
          <w:color w:val="auto"/>
          <w:szCs w:val="24"/>
          <w:highlight w:val="none"/>
        </w:rPr>
        <w:t>。</w:t>
      </w:r>
    </w:p>
    <w:p w14:paraId="5DE50767">
      <w:pPr>
        <w:pStyle w:val="7"/>
        <w:bidi w:val="0"/>
        <w:rPr>
          <w:rFonts w:hint="default" w:eastAsia="宋体"/>
          <w:color w:val="auto"/>
          <w:highlight w:val="none"/>
        </w:rPr>
      </w:pPr>
      <w:r>
        <w:rPr>
          <w:rFonts w:hint="eastAsia" w:eastAsia="宋体"/>
          <w:color w:val="auto"/>
          <w:highlight w:val="none"/>
          <w:lang w:val="en-US" w:eastAsia="zh-CN"/>
        </w:rPr>
        <w:t>6.6.2.2</w:t>
      </w:r>
      <w:r>
        <w:rPr>
          <w:rFonts w:hint="default" w:eastAsia="宋体"/>
          <w:color w:val="auto"/>
          <w:highlight w:val="none"/>
        </w:rPr>
        <w:t>、运营期水生生态影响</w:t>
      </w:r>
    </w:p>
    <w:p w14:paraId="58651554">
      <w:pPr>
        <w:rPr>
          <w:rFonts w:hint="eastAsia"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1</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水文情势优化的生态效益</w:t>
      </w:r>
    </w:p>
    <w:p w14:paraId="3D6D1B0E">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河道疏浚后，行洪断面拓宽，流速趋于均匀（0.4-0.6m/s），消除原有河道淤积导致的“死水段”，增加急流-缓流交替区面积，为不同生态习性的鱼类提供多样化生境</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急流区适合底栖鱼类栖息，缓流区利于鲫鱼繁殖。水库清淤后有效库容增加120万m³，库尾浅水区、库中深水区、坝前深水区形成完整生境梯度，促进浮游生物、底栖生物、鱼类的食物链衔接。</w:t>
      </w:r>
    </w:p>
    <w:p w14:paraId="6698803C">
      <w:pP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2</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生态护岸的生境修复作用</w:t>
      </w:r>
    </w:p>
    <w:p w14:paraId="330143E6">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工程采用的坡式纯生态砌护、格宾+蜂巢式网格植草生态砖等形式，为水生植被提供附着基底，形成“植被-昆虫-幼鱼-成鱼”的微生态链。同时，护岸结构的孔隙率达30%-40%，为底栖生物提供隐蔽场所，接近自然状态。</w:t>
      </w:r>
    </w:p>
    <w:p w14:paraId="48D2D8B7">
      <w:pP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3</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水质改善的连锁效应</w:t>
      </w:r>
    </w:p>
    <w:p w14:paraId="722E9D49">
      <w:pP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河道疏浚减少底泥营养盐释放，结合岸线生态修复，浮游植物优势类群</w:t>
      </w:r>
      <w:r>
        <w:rPr>
          <w:rFonts w:hint="eastAsia" w:ascii="Times New Roman" w:hAnsi="Times New Roman" w:eastAsia="宋体" w:cs="Times New Roman"/>
          <w:color w:val="auto"/>
          <w:szCs w:val="24"/>
          <w:highlight w:val="none"/>
          <w:lang w:eastAsia="zh-CN"/>
        </w:rPr>
        <w:t>将</w:t>
      </w:r>
      <w:r>
        <w:rPr>
          <w:rFonts w:hint="default" w:ascii="Times New Roman" w:hAnsi="Times New Roman" w:eastAsia="宋体" w:cs="Times New Roman"/>
          <w:color w:val="auto"/>
          <w:szCs w:val="24"/>
          <w:highlight w:val="none"/>
        </w:rPr>
        <w:t>由硅藻门转向绿藻门，水体富营养化风险降低。水质改善带动鱼类种群结构优化，增殖放流种依赖度下降，生态系统稳定性增强。</w:t>
      </w:r>
    </w:p>
    <w:p w14:paraId="11C19722">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从长远角度看，工程的运行对水生生境的维护将是有利的。</w:t>
      </w:r>
    </w:p>
    <w:bookmarkEnd w:id="5947"/>
    <w:bookmarkEnd w:id="5948"/>
    <w:bookmarkEnd w:id="5949"/>
    <w:p w14:paraId="2719F4B0">
      <w:pPr>
        <w:pStyle w:val="6"/>
        <w:bidi w:val="0"/>
        <w:rPr>
          <w:rFonts w:hint="default" w:ascii="Times New Roman" w:hAnsi="Times New Roman" w:cs="Times New Roman"/>
          <w:color w:val="auto"/>
          <w:sz w:val="28"/>
          <w:szCs w:val="28"/>
          <w:highlight w:val="none"/>
          <w:lang w:eastAsia="zh-CN"/>
        </w:rPr>
      </w:pPr>
      <w:bookmarkStart w:id="5988" w:name="_Toc18910"/>
      <w:bookmarkStart w:id="5989" w:name="_Toc771"/>
      <w:bookmarkStart w:id="5990" w:name="_Toc1943"/>
      <w:r>
        <w:rPr>
          <w:rFonts w:hint="default" w:ascii="Times New Roman" w:hAnsi="Times New Roman" w:cs="Times New Roman"/>
          <w:color w:val="auto"/>
          <w:sz w:val="28"/>
          <w:szCs w:val="28"/>
          <w:highlight w:val="none"/>
          <w:lang w:val="en-US" w:eastAsia="zh-CN"/>
        </w:rPr>
        <w:t>6.6</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陆生生态影响分析</w:t>
      </w:r>
      <w:bookmarkEnd w:id="5988"/>
      <w:bookmarkEnd w:id="5989"/>
      <w:bookmarkEnd w:id="5990"/>
    </w:p>
    <w:p w14:paraId="28012E4F">
      <w:pPr>
        <w:pStyle w:val="7"/>
        <w:bidi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6.6</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.1对土地利用的影响</w:t>
      </w:r>
    </w:p>
    <w:p w14:paraId="18A4F3D8">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工程总占地面积92.00公顷，其中永久占地17.99公顷、临时占地74.02公顷。永久占地类型以内陆滩涂、其他林地、乔木林地、其他草地、农村道路为主，具体包括川口河及小河护岸工程占地14.65公顷、川口河及小河检修道路占地3.33公顷，无旱地、设施农用地占用；临时占地全部为水库水面及少量内陆滩涂，涉及水库清淤及淤泥堆场占地74.02公顷，无</w:t>
      </w:r>
      <w:r>
        <w:rPr>
          <w:rFonts w:hint="eastAsia" w:cs="Times New Roman"/>
          <w:color w:val="auto"/>
          <w:kern w:val="0"/>
          <w:sz w:val="24"/>
          <w:szCs w:val="24"/>
          <w:highlight w:val="none"/>
          <w:lang w:val="en-US" w:eastAsia="zh-CN" w:bidi="ar"/>
        </w:rPr>
        <w:t>水</w:t>
      </w:r>
      <w:r>
        <w:rPr>
          <w:rFonts w:hint="default" w:ascii="Times New Roman" w:hAnsi="Times New Roman" w:eastAsia="宋体" w:cs="Times New Roman"/>
          <w:color w:val="auto"/>
          <w:kern w:val="0"/>
          <w:sz w:val="24"/>
          <w:szCs w:val="24"/>
          <w:highlight w:val="none"/>
          <w:lang w:val="en-US" w:eastAsia="zh-CN" w:bidi="ar"/>
        </w:rPr>
        <w:t>浇地、旱地、其他林地等农业及草地类型占用。</w:t>
      </w:r>
    </w:p>
    <w:p w14:paraId="128BBCC1">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河道沿线区域以河滩地、水域及林地生态系统为主，区域生态环境敏感性相对不高。工程永久占地将由内陆滩涂、林地、草地等自然及农业相关用地，转变为水利设施用地和农村道路，用地性质发生改变，但永久占地规模较小，仅占评价区的1.22%，对评价区土地利用现状的影响较轻微。</w:t>
      </w:r>
    </w:p>
    <w:p w14:paraId="3F2C2723">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临时施工占地主要为水库清淤区域及淤泥堆场，施工场地与施工道路布设充分考虑生态保护与资源节约：施工场地在不影响施工进度的前提下，尽可能实现综合利用与重复使用；施工道路优先利用周边省道、县道及乡村道路，减少新增占地。临时占地在施工结束后，将及时开展场地平整工作，恢复原有水域及滩涂地貌，降低对区域生态环境的长期影响。</w:t>
      </w:r>
    </w:p>
    <w:p w14:paraId="598C596E">
      <w:pPr>
        <w:pStyle w:val="7"/>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rPr>
        <w:t>6.</w:t>
      </w:r>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2生态系统多样性分析</w:t>
      </w:r>
    </w:p>
    <w:p w14:paraId="6C5B5466">
      <w:pPr>
        <w:pStyle w:val="8"/>
        <w:bidi w:val="0"/>
        <w:ind w:left="0" w:leftChars="0" w:firstLine="0" w:firstLineChars="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val="en-US" w:eastAsia="zh-CN"/>
        </w:rPr>
        <w:t>6.6.</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.2.1</w:t>
      </w:r>
      <w:r>
        <w:rPr>
          <w:rFonts w:hint="default" w:ascii="Times New Roman" w:hAnsi="Times New Roman" w:cs="Times New Roman"/>
          <w:color w:val="auto"/>
          <w:sz w:val="28"/>
          <w:szCs w:val="28"/>
          <w:highlight w:val="none"/>
          <w:lang w:eastAsia="zh-CN"/>
        </w:rPr>
        <w:t>景观/生态系统影响</w:t>
      </w:r>
    </w:p>
    <w:p w14:paraId="2BAA4267">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①森林植被生态系统</w:t>
      </w:r>
    </w:p>
    <w:p w14:paraId="42F3ACCC">
      <w:pPr>
        <w:keepNext w:val="0"/>
        <w:keepLines w:val="0"/>
        <w:widowControl/>
        <w:suppressLineNumbers w:val="0"/>
        <w:jc w:val="both"/>
        <w:rPr>
          <w:rFonts w:hint="default" w:ascii="Times New Roman" w:hAnsi="Times New Roman" w:cs="Times New Roman"/>
          <w:color w:val="auto"/>
          <w:highlight w:val="none"/>
        </w:rPr>
      </w:pPr>
      <w:r>
        <w:rPr>
          <w:rFonts w:hint="eastAsia" w:cs="Times New Roman"/>
          <w:color w:val="auto"/>
          <w:kern w:val="0"/>
          <w:sz w:val="24"/>
          <w:szCs w:val="24"/>
          <w:highlight w:val="none"/>
          <w:lang w:val="en-US" w:eastAsia="zh-CN" w:bidi="ar"/>
        </w:rPr>
        <w:t>本工程</w:t>
      </w:r>
      <w:r>
        <w:rPr>
          <w:rFonts w:hint="default" w:ascii="Times New Roman" w:hAnsi="Times New Roman" w:eastAsia="宋体" w:cs="Times New Roman"/>
          <w:color w:val="auto"/>
          <w:kern w:val="0"/>
          <w:sz w:val="24"/>
          <w:szCs w:val="24"/>
          <w:highlight w:val="none"/>
          <w:lang w:val="en-US" w:eastAsia="zh-CN" w:bidi="ar"/>
        </w:rPr>
        <w:t>施工涉及林地主要为河道沿岸自然生长的杨树、柳树及白桦树等，林地永久占用1.41hm²（其中川口河护岸占用乔木林地1.05hm²，小河护岸占用乔木林地0.36hm²）。树种较为单一，为当地易于成活品种。项目施工结</w:t>
      </w:r>
      <w:r>
        <w:rPr>
          <w:rFonts w:hint="eastAsia" w:cs="Times New Roman"/>
          <w:color w:val="auto"/>
          <w:kern w:val="0"/>
          <w:sz w:val="24"/>
          <w:szCs w:val="24"/>
          <w:highlight w:val="none"/>
          <w:lang w:val="en-US" w:eastAsia="zh-CN" w:bidi="ar"/>
        </w:rPr>
        <w:t>束后</w:t>
      </w:r>
      <w:r>
        <w:rPr>
          <w:rFonts w:hint="default" w:ascii="Times New Roman" w:hAnsi="Times New Roman" w:eastAsia="宋体" w:cs="Times New Roman"/>
          <w:color w:val="auto"/>
          <w:kern w:val="0"/>
          <w:sz w:val="24"/>
          <w:szCs w:val="24"/>
          <w:highlight w:val="none"/>
          <w:lang w:val="en-US" w:eastAsia="zh-CN" w:bidi="ar"/>
        </w:rPr>
        <w:t>将永久占地的巡检道路两侧进行生态修复，种植生态林2.21hm²，区域森林生物量将得以补偿。</w:t>
      </w:r>
    </w:p>
    <w:p w14:paraId="29B9C3E8">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②草原植被生态系统</w:t>
      </w:r>
    </w:p>
    <w:p w14:paraId="18E50BC5">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永久占用草地工程主要为护岸及检修道路建设，占用草地面积相对较小，为2.43hm²（其中川口河护岸占用其他草地1.21hm²，川口河检修道路占用其他草地0.73hm²，小河检修道路占用其他草地0.49hm²），多为河道两侧滩涂草地，随季节及河道水面情况，草地植被生物量变化较大。随着施工结束，对堆场等区域进行草籽播撒，待丰水期水面扩大后，该区域草地植被将处于生长旺盛期，区域植被量将逐渐恢复，不会对草原植被生态系统多样性造成较大的影响。</w:t>
      </w:r>
    </w:p>
    <w:p w14:paraId="7BAA663B">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③农田生态系统</w:t>
      </w:r>
    </w:p>
    <w:p w14:paraId="7D44469E">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工程建设不涉及农用地（农田）的占用，在严格规范施工红线、加强施工管理的前提下，将不会对区域农田生态系统造成影响。</w:t>
      </w:r>
    </w:p>
    <w:p w14:paraId="72BC2A05">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④对土壤侵蚀及地质灾害的影响</w:t>
      </w:r>
    </w:p>
    <w:p w14:paraId="4B1F35C3">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工程对土壤侵蚀和地质灾害可能产生的影响主要是施工期的临时占地（74.02hm²，均为水库水面及少量内陆滩涂）等施工环节会使施工区内局部地表植被破坏，从而导致土壤表面裸露、表层土壤松动、土壤结构遭到扰动等。通过采取合理设计施工时序、控制施工范围、工程措施和水保措施，施工结束后及时进行植被恢复等措施，施工期的土壤侵蚀影响较小。工程运营期产生地质灾害的可能性极小。</w:t>
      </w:r>
    </w:p>
    <w:p w14:paraId="7A6D5E66">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⑤自然植被覆盖</w:t>
      </w:r>
    </w:p>
    <w:p w14:paraId="67B5B1B2">
      <w:pPr>
        <w:keepNext w:val="0"/>
        <w:keepLines w:val="0"/>
        <w:widowControl/>
        <w:suppressLineNumbers w:val="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通过卫片解译，评价范围内主要植被为草地、农田和林地，农田以玉米地为主要类型，林地多为人工林及河道两侧自然林地，草地以次生为主，但物种种群单一，多样性较低。工程建设前后，草地、林地、河滩地三者的变化率合计为0.03%，因此，工程的实施对区域自然植被覆盖率的影响较小。工程疏浚河道后，将淤积及坍塌部分河道恢复原有宽度，将增大水域面积（临时占地74.02hm²均为水域及滩涂相关区域），对河岸两侧自然植被的生长是有利的。</w:t>
      </w:r>
    </w:p>
    <w:p w14:paraId="78F09B8B">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⑤</w:t>
      </w:r>
      <w:r>
        <w:rPr>
          <w:rFonts w:hint="default" w:ascii="Times New Roman" w:hAnsi="Times New Roman" w:cs="Times New Roman"/>
          <w:color w:val="auto"/>
          <w:sz w:val="24"/>
          <w:szCs w:val="24"/>
          <w:highlight w:val="none"/>
          <w:lang w:eastAsia="zh-CN"/>
        </w:rPr>
        <w:t>景观影响</w:t>
      </w:r>
    </w:p>
    <w:p w14:paraId="7549EFCB">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施工期将造成占地范围内的植被破坏，土壤裸露，对原地形、地貌会造成一定破坏，对一定范围内的景观生态会造成影响。施工结束后，通过植被恢复等绿化措施，使施工期工程对景观生态环境的影响得到改善或消除，对景观生态的影响比较有限。施工期对景观的影响不可避免，建议各施工单位文明施工，同时加强施工人员的管理、培训，从而减少施工对城乡景观造成的不利影响。</w:t>
      </w:r>
    </w:p>
    <w:p w14:paraId="6E512CA1">
      <w:pPr>
        <w:pStyle w:val="8"/>
        <w:bidi w:val="0"/>
        <w:ind w:left="0" w:leftChars="0" w:firstLine="0" w:firstLineChars="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val="en-US" w:eastAsia="zh-CN"/>
        </w:rPr>
        <w:t>6.6.</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.2.2</w:t>
      </w:r>
      <w:r>
        <w:rPr>
          <w:rFonts w:hint="default" w:ascii="Times New Roman" w:hAnsi="Times New Roman" w:cs="Times New Roman"/>
          <w:color w:val="auto"/>
          <w:sz w:val="28"/>
          <w:szCs w:val="28"/>
          <w:highlight w:val="none"/>
          <w:lang w:eastAsia="zh-CN"/>
        </w:rPr>
        <w:t>对生物群落的影响</w:t>
      </w:r>
    </w:p>
    <w:p w14:paraId="6435871B">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项目影响区域主要植被类型，本工程影响范围内的植物群落类型以草地、农田和林地为主，施工期会对影响范围内的生物群落产生一些影响，包括群落面积、群落结构等，使植物群落面积有所减少，群落结构在短时期内可能会有所改变。</w:t>
      </w:r>
    </w:p>
    <w:p w14:paraId="7D406837">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）农田群落</w:t>
      </w:r>
    </w:p>
    <w:p w14:paraId="52C8CC47">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本工程施工期</w:t>
      </w:r>
      <w:r>
        <w:rPr>
          <w:rFonts w:hint="eastAsia" w:cs="Times New Roman"/>
          <w:color w:val="auto"/>
          <w:sz w:val="24"/>
          <w:szCs w:val="24"/>
          <w:highlight w:val="none"/>
          <w:lang w:eastAsia="zh-CN"/>
        </w:rPr>
        <w:t>不占用农用地</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在严格规范施工管理，划定施工红线后，将不会对农田群落造成影响</w:t>
      </w:r>
      <w:r>
        <w:rPr>
          <w:rFonts w:hint="default" w:ascii="Times New Roman" w:hAnsi="Times New Roman" w:cs="Times New Roman"/>
          <w:color w:val="auto"/>
          <w:sz w:val="24"/>
          <w:szCs w:val="24"/>
          <w:highlight w:val="none"/>
          <w:lang w:eastAsia="zh-CN"/>
        </w:rPr>
        <w:t>。</w:t>
      </w:r>
    </w:p>
    <w:p w14:paraId="2E4DE6B2">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）草地群落</w:t>
      </w:r>
    </w:p>
    <w:p w14:paraId="22F8B1BD">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项目区草地植被类型可以划分为</w:t>
      </w:r>
      <w:r>
        <w:rPr>
          <w:rFonts w:hint="eastAsia" w:cs="Times New Roman"/>
          <w:color w:val="auto"/>
          <w:sz w:val="24"/>
          <w:szCs w:val="24"/>
          <w:highlight w:val="none"/>
          <w:lang w:eastAsia="zh-CN"/>
        </w:rPr>
        <w:t>两类</w:t>
      </w:r>
      <w:r>
        <w:rPr>
          <w:rFonts w:hint="default" w:ascii="Times New Roman" w:hAnsi="Times New Roman" w:cs="Times New Roman"/>
          <w:color w:val="auto"/>
          <w:sz w:val="24"/>
          <w:szCs w:val="24"/>
          <w:highlight w:val="none"/>
          <w:lang w:eastAsia="zh-CN"/>
        </w:rPr>
        <w:t>：</w:t>
      </w:r>
    </w:p>
    <w:p w14:paraId="45AD404A">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lang w:eastAsia="zh-CN"/>
        </w:rPr>
        <w:t>受人为干扰较为强烈的林下次生草地</w:t>
      </w:r>
    </w:p>
    <w:p w14:paraId="29C13ED6">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对于第一类草地而言，由于受人为干扰较为剧烈，且多生长于人工林林下，多数杂草，生态意义并不显著，而且物种单一，长势不一，土壤水分较多的区域，长势较好，干旱的区域长势较差。</w:t>
      </w:r>
    </w:p>
    <w:p w14:paraId="38D17E1C">
      <w:pPr>
        <w:bidi w:val="0"/>
        <w:rPr>
          <w:rFonts w:hint="eastAsia"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②</w:t>
      </w:r>
      <w:r>
        <w:rPr>
          <w:rFonts w:hint="eastAsia" w:cs="Times New Roman"/>
          <w:color w:val="auto"/>
          <w:sz w:val="24"/>
          <w:szCs w:val="24"/>
          <w:highlight w:val="none"/>
          <w:lang w:eastAsia="zh-CN"/>
        </w:rPr>
        <w:t>河滩草地</w:t>
      </w:r>
    </w:p>
    <w:p w14:paraId="02F4D7F3">
      <w:pPr>
        <w:bidi w:val="0"/>
        <w:rPr>
          <w:rFonts w:hint="eastAsia" w:cs="Times New Roman"/>
          <w:color w:val="auto"/>
          <w:sz w:val="24"/>
          <w:szCs w:val="24"/>
          <w:highlight w:val="none"/>
          <w:lang w:eastAsia="zh-CN"/>
        </w:rPr>
      </w:pPr>
      <w:r>
        <w:rPr>
          <w:rFonts w:hint="eastAsia" w:cs="Times New Roman"/>
          <w:color w:val="auto"/>
          <w:sz w:val="24"/>
          <w:szCs w:val="24"/>
          <w:highlight w:val="none"/>
          <w:lang w:eastAsia="zh-CN"/>
        </w:rPr>
        <w:t>河滩草地物种单一但植被覆盖度较高，植被多为一年生湿生植物，丰水期长势旺盛。随着施工结束对临时占地进行草籽播撒、恢复河道原有宽度</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增大水域面积后，将有利于河滩草地植被的生长</w:t>
      </w:r>
      <w:r>
        <w:rPr>
          <w:rFonts w:hint="default" w:ascii="Times New Roman" w:hAnsi="Times New Roman" w:cs="Times New Roman"/>
          <w:color w:val="auto"/>
          <w:sz w:val="24"/>
          <w:szCs w:val="24"/>
          <w:highlight w:val="none"/>
          <w:lang w:eastAsia="zh-CN"/>
        </w:rPr>
        <w:t>。</w:t>
      </w:r>
    </w:p>
    <w:p w14:paraId="21128FB6">
      <w:pPr>
        <w:bidi w:val="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林地群落</w:t>
      </w:r>
    </w:p>
    <w:p w14:paraId="506F6823">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本工程影响范围内林地群落主要</w:t>
      </w:r>
      <w:r>
        <w:rPr>
          <w:rFonts w:hint="default" w:ascii="Times New Roman" w:hAnsi="Times New Roman" w:cs="Times New Roman"/>
          <w:color w:val="auto"/>
          <w:sz w:val="24"/>
          <w:szCs w:val="24"/>
          <w:highlight w:val="none"/>
          <w:lang w:val="en-US" w:eastAsia="zh-CN"/>
        </w:rPr>
        <w:t>为退耕还林种植的</w:t>
      </w:r>
      <w:r>
        <w:rPr>
          <w:rFonts w:hint="default" w:ascii="Times New Roman" w:hAnsi="Times New Roman" w:cs="Times New Roman"/>
          <w:color w:val="auto"/>
          <w:sz w:val="24"/>
          <w:szCs w:val="24"/>
          <w:highlight w:val="none"/>
          <w:lang w:eastAsia="zh-CN"/>
        </w:rPr>
        <w:t>人工景观林和</w:t>
      </w:r>
      <w:r>
        <w:rPr>
          <w:rFonts w:hint="eastAsia" w:cs="Times New Roman"/>
          <w:color w:val="auto"/>
          <w:sz w:val="24"/>
          <w:szCs w:val="24"/>
          <w:highlight w:val="none"/>
          <w:lang w:eastAsia="zh-CN"/>
        </w:rPr>
        <w:t>河道两侧</w:t>
      </w:r>
      <w:r>
        <w:rPr>
          <w:rFonts w:hint="default" w:ascii="Times New Roman" w:hAnsi="Times New Roman" w:cs="Times New Roman"/>
          <w:color w:val="auto"/>
          <w:sz w:val="24"/>
          <w:szCs w:val="24"/>
          <w:highlight w:val="none"/>
          <w:lang w:val="en-US" w:eastAsia="zh-CN"/>
        </w:rPr>
        <w:t>部分</w:t>
      </w:r>
      <w:r>
        <w:rPr>
          <w:rFonts w:hint="default" w:ascii="Times New Roman" w:hAnsi="Times New Roman" w:cs="Times New Roman"/>
          <w:color w:val="auto"/>
          <w:sz w:val="24"/>
          <w:szCs w:val="24"/>
          <w:highlight w:val="none"/>
          <w:lang w:eastAsia="zh-CN"/>
        </w:rPr>
        <w:t>自然林地，</w:t>
      </w:r>
      <w:r>
        <w:rPr>
          <w:rFonts w:hint="eastAsia" w:cs="Times New Roman"/>
          <w:color w:val="auto"/>
          <w:sz w:val="24"/>
          <w:szCs w:val="24"/>
          <w:highlight w:val="none"/>
          <w:lang w:val="en-US" w:eastAsia="zh-CN"/>
        </w:rPr>
        <w:t>人工林</w:t>
      </w:r>
      <w:r>
        <w:rPr>
          <w:rFonts w:hint="default" w:ascii="Times New Roman" w:hAnsi="Times New Roman" w:cs="Times New Roman"/>
          <w:color w:val="auto"/>
          <w:sz w:val="24"/>
          <w:szCs w:val="24"/>
          <w:highlight w:val="none"/>
          <w:lang w:eastAsia="zh-CN"/>
        </w:rPr>
        <w:t>主要树种为山杏，其受人为干扰显著，长势基本不会受到影响。</w:t>
      </w:r>
      <w:r>
        <w:rPr>
          <w:rFonts w:hint="eastAsia" w:cs="Times New Roman"/>
          <w:color w:val="auto"/>
          <w:sz w:val="24"/>
          <w:szCs w:val="24"/>
          <w:highlight w:val="none"/>
          <w:lang w:eastAsia="zh-CN"/>
        </w:rPr>
        <w:t>河道两侧植被主要为桦树、杨树、柳树，随着施工结束对永久占地生态进行恢复，补植苗木等措施，</w:t>
      </w:r>
      <w:r>
        <w:rPr>
          <w:rFonts w:hint="default" w:ascii="Times New Roman" w:hAnsi="Times New Roman" w:cs="Times New Roman"/>
          <w:color w:val="auto"/>
          <w:sz w:val="24"/>
          <w:szCs w:val="24"/>
          <w:highlight w:val="none"/>
          <w:lang w:eastAsia="zh-CN"/>
        </w:rPr>
        <w:t>对林地群落的影响很小。</w:t>
      </w:r>
    </w:p>
    <w:p w14:paraId="0DD93C10">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综上分析，工程建设对这些植物群落的影响较小，运营期这些植物群落面积能够逐渐恢复，对群落内的优势种及种群组成的影响很有限，更不会破坏区内植物水平结构、垂直结构及物种多样性组成；工程建设在施工期不会造成生物栖息地的分割或破碎化，对生物栖息地的连通性不构成影响。</w:t>
      </w:r>
    </w:p>
    <w:p w14:paraId="6967EA0A">
      <w:pPr>
        <w:pStyle w:val="8"/>
        <w:bidi w:val="0"/>
        <w:ind w:left="0" w:leftChars="0" w:firstLine="0" w:firstLineChars="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6.6.</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.2.3</w:t>
      </w:r>
      <w:r>
        <w:rPr>
          <w:rFonts w:hint="default" w:ascii="Times New Roman" w:hAnsi="Times New Roman" w:cs="Times New Roman"/>
          <w:color w:val="auto"/>
          <w:sz w:val="28"/>
          <w:szCs w:val="28"/>
          <w:highlight w:val="none"/>
          <w:lang w:eastAsia="zh-CN"/>
        </w:rPr>
        <w:t>对评价区物种或种群的影响</w:t>
      </w:r>
    </w:p>
    <w:p w14:paraId="75EC6A06">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通过实地考察和综合分析，工程沿线植物资源具有一定的丰富度，现有物种多样性，基本可以满足本地区生态环境自我调节的需要。评价区内未发现国家级重点保护植物和自治区地方保护植物。施工期的工程占地、机械施工、</w:t>
      </w:r>
      <w:r>
        <w:rPr>
          <w:rFonts w:hint="eastAsia" w:cs="Times New Roman"/>
          <w:color w:val="auto"/>
          <w:sz w:val="24"/>
          <w:szCs w:val="24"/>
          <w:highlight w:val="none"/>
          <w:lang w:eastAsia="zh-CN"/>
        </w:rPr>
        <w:t>噪声</w:t>
      </w:r>
      <w:r>
        <w:rPr>
          <w:rFonts w:hint="default" w:ascii="Times New Roman" w:hAnsi="Times New Roman" w:cs="Times New Roman"/>
          <w:color w:val="auto"/>
          <w:sz w:val="24"/>
          <w:szCs w:val="24"/>
          <w:highlight w:val="none"/>
          <w:lang w:eastAsia="zh-CN"/>
        </w:rPr>
        <w:t>、人员活动会使项目工程区内的某些物种的种群分布格局发生有限变化，但影响程度较轻，施工期结束后将会消失，将形成新的平衡格局。</w:t>
      </w:r>
    </w:p>
    <w:p w14:paraId="04DDD211">
      <w:pPr>
        <w:pStyle w:val="8"/>
        <w:bidi w:val="0"/>
        <w:ind w:left="0" w:leftChars="0" w:firstLine="0" w:firstLineChars="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6.6.</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.2.4生物安全</w:t>
      </w:r>
    </w:p>
    <w:p w14:paraId="090CE067">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期，评价区内随着人员活动的增多，车辆的出入以及施工物料的运输，一些外来物种、有害生物或外来致病虫害可能随着包装物、运输工具进入，有引发生物安全的潜在可能性。运营期基本不会产生外来物种或有害生物入侵导致病虫害发生的危险。经评估，工程在建设期可能会因运输</w:t>
      </w:r>
      <w:r>
        <w:rPr>
          <w:rFonts w:hint="eastAsia" w:cs="Times New Roman"/>
          <w:color w:val="auto"/>
          <w:sz w:val="24"/>
          <w:szCs w:val="24"/>
          <w:highlight w:val="none"/>
          <w:lang w:eastAsia="zh-CN"/>
        </w:rPr>
        <w:t>车辆</w:t>
      </w:r>
      <w:r>
        <w:rPr>
          <w:rFonts w:hint="default" w:ascii="Times New Roman" w:hAnsi="Times New Roman" w:cs="Times New Roman"/>
          <w:color w:val="auto"/>
          <w:sz w:val="24"/>
          <w:szCs w:val="24"/>
          <w:highlight w:val="none"/>
          <w:lang w:eastAsia="zh-CN"/>
        </w:rPr>
        <w:t>进出或随着携带有病虫害的包装材料进入评价区，进而威胁评价区，导致大规模</w:t>
      </w:r>
      <w:r>
        <w:rPr>
          <w:rFonts w:hint="eastAsia" w:cs="Times New Roman"/>
          <w:color w:val="auto"/>
          <w:sz w:val="24"/>
          <w:szCs w:val="24"/>
          <w:highlight w:val="none"/>
          <w:lang w:eastAsia="zh-CN"/>
        </w:rPr>
        <w:t>病虫害暴发</w:t>
      </w:r>
      <w:r>
        <w:rPr>
          <w:rFonts w:hint="default" w:ascii="Times New Roman" w:hAnsi="Times New Roman" w:cs="Times New Roman"/>
          <w:color w:val="auto"/>
          <w:sz w:val="24"/>
          <w:szCs w:val="24"/>
          <w:highlight w:val="none"/>
          <w:lang w:eastAsia="zh-CN"/>
        </w:rPr>
        <w:t>的可能性很低。通过对运输工具的消毒处理和加强涉木材料检疫、复检，可避免此类事情的发生。</w:t>
      </w:r>
    </w:p>
    <w:p w14:paraId="5175C45D">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施工期间有发生火灾的风险，施工单位需要加强宣传、巡护和管理，避免发生施工人员吸烟、野外烤火等不合理用火行为，避免危险事故的发生。运营期间，发生事故的几率很低。</w:t>
      </w:r>
    </w:p>
    <w:p w14:paraId="50179A9F">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eastAsia="zh-CN"/>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eastAsia="zh-CN"/>
        </w:rPr>
        <w:t>.3</w:t>
      </w:r>
      <w:r>
        <w:rPr>
          <w:rFonts w:hint="default" w:ascii="Times New Roman" w:hAnsi="Times New Roman" w:cs="Times New Roman"/>
          <w:color w:val="auto"/>
          <w:sz w:val="28"/>
          <w:szCs w:val="28"/>
          <w:highlight w:val="none"/>
          <w:lang w:val="en-US" w:eastAsia="zh-CN"/>
        </w:rPr>
        <w:t>生态系统完整性分析</w:t>
      </w:r>
    </w:p>
    <w:p w14:paraId="5BC27850">
      <w:pPr>
        <w:bidi w:val="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lang w:eastAsia="zh-CN"/>
        </w:rPr>
        <w:t>生态景观优势度</w:t>
      </w:r>
    </w:p>
    <w:p w14:paraId="269175D0">
      <w:pPr>
        <w:bidi w:val="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本工程施工期河道疏浚、护坡、水库清淤等工程</w:t>
      </w:r>
      <w:r>
        <w:rPr>
          <w:rFonts w:hint="default" w:ascii="Times New Roman" w:hAnsi="Times New Roman" w:cs="Times New Roman"/>
          <w:color w:val="auto"/>
          <w:sz w:val="24"/>
          <w:szCs w:val="24"/>
          <w:highlight w:val="none"/>
          <w:lang w:eastAsia="zh-CN"/>
        </w:rPr>
        <w:t>对生态系统的影响有限</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不会影响当地的植物资源和动物资源种群及数量。</w:t>
      </w:r>
      <w:r>
        <w:rPr>
          <w:rFonts w:hint="default" w:ascii="Times New Roman" w:hAnsi="Times New Roman" w:cs="Times New Roman"/>
          <w:color w:val="auto"/>
          <w:sz w:val="24"/>
          <w:szCs w:val="24"/>
          <w:highlight w:val="none"/>
          <w:lang w:val="en-US" w:eastAsia="zh-CN"/>
        </w:rPr>
        <w:t>施工后对临时占地予以恢复，</w:t>
      </w:r>
      <w:r>
        <w:rPr>
          <w:rFonts w:hint="eastAsia" w:cs="Times New Roman"/>
          <w:color w:val="auto"/>
          <w:sz w:val="24"/>
          <w:szCs w:val="24"/>
          <w:highlight w:val="none"/>
          <w:lang w:val="en-US" w:eastAsia="zh-CN"/>
        </w:rPr>
        <w:t>进行生态修复，</w:t>
      </w:r>
      <w:r>
        <w:rPr>
          <w:rFonts w:hint="default" w:ascii="Times New Roman" w:hAnsi="Times New Roman" w:cs="Times New Roman"/>
          <w:color w:val="auto"/>
          <w:sz w:val="24"/>
          <w:szCs w:val="24"/>
          <w:highlight w:val="none"/>
          <w:lang w:eastAsia="zh-CN"/>
        </w:rPr>
        <w:t>对区域生态斑块影响不显著。工程建成运行后，评价区域景观优势度基本变化不大</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由于整体工程</w:t>
      </w:r>
      <w:r>
        <w:rPr>
          <w:rFonts w:hint="eastAsia" w:cs="Times New Roman"/>
          <w:color w:val="auto"/>
          <w:sz w:val="24"/>
          <w:szCs w:val="24"/>
          <w:highlight w:val="none"/>
          <w:lang w:eastAsia="zh-CN"/>
        </w:rPr>
        <w:t>分段施工</w:t>
      </w:r>
      <w:r>
        <w:rPr>
          <w:rFonts w:hint="default" w:ascii="Times New Roman" w:hAnsi="Times New Roman" w:cs="Times New Roman"/>
          <w:color w:val="auto"/>
          <w:sz w:val="24"/>
          <w:szCs w:val="24"/>
          <w:highlight w:val="none"/>
          <w:lang w:eastAsia="zh-CN"/>
        </w:rPr>
        <w:t>，各施工占地单位面积不大，占地范围内的植被类型均为常见物种，工程施工结束后将采取平整及植被恢复等措施，因此工程建设后区域主要斑块及廊道及生态景观优势度基本没有明显变化，区域生态景观格局也不会因工程建设出现明显改变。</w:t>
      </w:r>
    </w:p>
    <w:p w14:paraId="23B5D068">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工程运行后，临时占地遭破坏的植被将逐渐得到恢复，可以弥补部分生物量损失，工程建设对自然系统的生产力及其稳定性影响较小，不会引起生态系统向生产力更低一级的自然系统衰退。</w:t>
      </w:r>
    </w:p>
    <w:p w14:paraId="1CAD6743">
      <w:pPr>
        <w:bidi w:val="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综上所述，工程建设对区域生态完整性影响轻微。</w:t>
      </w:r>
    </w:p>
    <w:p w14:paraId="2A8B4808">
      <w:pPr>
        <w:pStyle w:val="7"/>
        <w:numPr>
          <w:ilvl w:val="0"/>
          <w:numId w:val="0"/>
        </w:numPr>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val="en-US" w:eastAsia="zh-CN"/>
        </w:rPr>
        <w:t>6.6</w:t>
      </w:r>
      <w:r>
        <w:rPr>
          <w:rFonts w:hint="default" w:ascii="Times New Roman" w:hAnsi="Times New Roman" w:cs="Times New Roman"/>
          <w:color w:val="auto"/>
          <w:sz w:val="28"/>
          <w:szCs w:val="28"/>
          <w:highlight w:val="none"/>
          <w:lang w:eastAsia="zh-CN"/>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eastAsia="zh-CN"/>
        </w:rPr>
        <w:t>.4生物量影响分析</w:t>
      </w:r>
    </w:p>
    <w:p w14:paraId="14A2D80E">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项目永久占地及临时占地均会造成植被生物量的损失，具体见表6.6-</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w:t>
      </w:r>
    </w:p>
    <w:p w14:paraId="56B13E52">
      <w:pPr>
        <w:pStyle w:val="66"/>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6.6-</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项目建成各植被类型损失的生物量一览表</w:t>
      </w:r>
    </w:p>
    <w:tbl>
      <w:tblPr>
        <w:tblStyle w:val="31"/>
        <w:tblW w:w="92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983"/>
        <w:gridCol w:w="733"/>
        <w:gridCol w:w="967"/>
        <w:gridCol w:w="850"/>
        <w:gridCol w:w="1017"/>
        <w:gridCol w:w="1050"/>
        <w:gridCol w:w="1071"/>
        <w:gridCol w:w="912"/>
        <w:gridCol w:w="871"/>
      </w:tblGrid>
      <w:tr w14:paraId="69ABD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blHeader/>
          <w:jc w:val="center"/>
        </w:trPr>
        <w:tc>
          <w:tcPr>
            <w:tcW w:w="844" w:type="dxa"/>
            <w:vMerge w:val="restart"/>
            <w:tcBorders>
              <w:tl2br w:val="nil"/>
              <w:tr2bl w:val="nil"/>
            </w:tcBorders>
            <w:noWrap/>
            <w:vAlign w:val="center"/>
          </w:tcPr>
          <w:p w14:paraId="5353BAD5">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植被类型</w:t>
            </w:r>
          </w:p>
        </w:tc>
        <w:tc>
          <w:tcPr>
            <w:tcW w:w="983" w:type="dxa"/>
            <w:vMerge w:val="restart"/>
            <w:tcBorders>
              <w:tl2br w:val="nil"/>
              <w:tr2bl w:val="nil"/>
            </w:tcBorders>
            <w:noWrap/>
            <w:vAlign w:val="center"/>
          </w:tcPr>
          <w:p w14:paraId="0887F0A0">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代表植物</w:t>
            </w:r>
          </w:p>
        </w:tc>
        <w:tc>
          <w:tcPr>
            <w:tcW w:w="1700" w:type="dxa"/>
            <w:gridSpan w:val="2"/>
            <w:tcBorders>
              <w:tl2br w:val="nil"/>
              <w:tr2bl w:val="nil"/>
            </w:tcBorders>
            <w:noWrap/>
            <w:vAlign w:val="center"/>
          </w:tcPr>
          <w:p w14:paraId="39F48CF6">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面积（hm</w:t>
            </w:r>
            <w:r>
              <w:rPr>
                <w:rFonts w:hint="default" w:ascii="Times New Roman" w:hAnsi="Times New Roman" w:cs="Times New Roman"/>
                <w:b/>
                <w:bCs w:val="0"/>
                <w:color w:val="auto"/>
                <w:sz w:val="21"/>
                <w:szCs w:val="21"/>
                <w:highlight w:val="none"/>
                <w:vertAlign w:val="superscript"/>
                <w:lang w:val="en-US" w:eastAsia="zh-CN"/>
              </w:rPr>
              <w:t>2</w:t>
            </w:r>
            <w:r>
              <w:rPr>
                <w:rFonts w:hint="default" w:ascii="Times New Roman" w:hAnsi="Times New Roman" w:cs="Times New Roman"/>
                <w:b/>
                <w:bCs w:val="0"/>
                <w:color w:val="auto"/>
                <w:sz w:val="21"/>
                <w:szCs w:val="21"/>
                <w:highlight w:val="none"/>
                <w:lang w:val="en-US" w:eastAsia="zh-CN"/>
              </w:rPr>
              <w:t>）</w:t>
            </w:r>
          </w:p>
        </w:tc>
        <w:tc>
          <w:tcPr>
            <w:tcW w:w="2917" w:type="dxa"/>
            <w:gridSpan w:val="3"/>
            <w:tcBorders>
              <w:tl2br w:val="nil"/>
              <w:tr2bl w:val="nil"/>
            </w:tcBorders>
            <w:noWrap/>
            <w:vAlign w:val="center"/>
          </w:tcPr>
          <w:p w14:paraId="38D0EF6A">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生物量（t）</w:t>
            </w:r>
          </w:p>
        </w:tc>
        <w:tc>
          <w:tcPr>
            <w:tcW w:w="2854" w:type="dxa"/>
            <w:gridSpan w:val="3"/>
            <w:tcBorders>
              <w:tl2br w:val="nil"/>
              <w:tr2bl w:val="nil"/>
            </w:tcBorders>
            <w:noWrap/>
            <w:vAlign w:val="center"/>
          </w:tcPr>
          <w:p w14:paraId="7370ED27">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占评价区总生物量</w:t>
            </w:r>
          </w:p>
          <w:p w14:paraId="0A8614EC">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比例（%）</w:t>
            </w:r>
          </w:p>
        </w:tc>
      </w:tr>
      <w:tr w14:paraId="7CEB9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844" w:type="dxa"/>
            <w:vMerge w:val="continue"/>
            <w:tcBorders>
              <w:tl2br w:val="nil"/>
              <w:tr2bl w:val="nil"/>
            </w:tcBorders>
            <w:noWrap/>
            <w:vAlign w:val="center"/>
          </w:tcPr>
          <w:p w14:paraId="036566B4">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p>
        </w:tc>
        <w:tc>
          <w:tcPr>
            <w:tcW w:w="983" w:type="dxa"/>
            <w:vMerge w:val="continue"/>
            <w:tcBorders>
              <w:tl2br w:val="nil"/>
              <w:tr2bl w:val="nil"/>
            </w:tcBorders>
            <w:noWrap/>
            <w:vAlign w:val="center"/>
          </w:tcPr>
          <w:p w14:paraId="17577BFF">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p>
        </w:tc>
        <w:tc>
          <w:tcPr>
            <w:tcW w:w="733" w:type="dxa"/>
            <w:tcBorders>
              <w:tl2br w:val="nil"/>
              <w:tr2bl w:val="nil"/>
            </w:tcBorders>
            <w:noWrap/>
            <w:vAlign w:val="center"/>
          </w:tcPr>
          <w:p w14:paraId="3AD8A058">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永久</w:t>
            </w:r>
          </w:p>
          <w:p w14:paraId="30F216EE">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占地</w:t>
            </w:r>
          </w:p>
        </w:tc>
        <w:tc>
          <w:tcPr>
            <w:tcW w:w="967" w:type="dxa"/>
            <w:tcBorders>
              <w:tl2br w:val="nil"/>
              <w:tr2bl w:val="nil"/>
            </w:tcBorders>
            <w:noWrap/>
            <w:vAlign w:val="center"/>
          </w:tcPr>
          <w:p w14:paraId="2664B865">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临时</w:t>
            </w:r>
          </w:p>
          <w:p w14:paraId="266A04EA">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占地</w:t>
            </w:r>
          </w:p>
        </w:tc>
        <w:tc>
          <w:tcPr>
            <w:tcW w:w="850" w:type="dxa"/>
            <w:tcBorders>
              <w:tl2br w:val="nil"/>
              <w:tr2bl w:val="nil"/>
            </w:tcBorders>
            <w:noWrap/>
            <w:vAlign w:val="center"/>
          </w:tcPr>
          <w:p w14:paraId="67048E59">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永久占地损失</w:t>
            </w:r>
          </w:p>
        </w:tc>
        <w:tc>
          <w:tcPr>
            <w:tcW w:w="1017" w:type="dxa"/>
            <w:tcBorders>
              <w:tl2br w:val="nil"/>
              <w:tr2bl w:val="nil"/>
            </w:tcBorders>
            <w:noWrap/>
            <w:vAlign w:val="center"/>
          </w:tcPr>
          <w:p w14:paraId="06BE881F">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临时占地损失</w:t>
            </w:r>
          </w:p>
        </w:tc>
        <w:tc>
          <w:tcPr>
            <w:tcW w:w="1050" w:type="dxa"/>
            <w:tcBorders>
              <w:tl2br w:val="nil"/>
              <w:tr2bl w:val="nil"/>
            </w:tcBorders>
            <w:noWrap/>
            <w:vAlign w:val="center"/>
          </w:tcPr>
          <w:p w14:paraId="1C7E61FB">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总计</w:t>
            </w:r>
          </w:p>
        </w:tc>
        <w:tc>
          <w:tcPr>
            <w:tcW w:w="1071" w:type="dxa"/>
            <w:tcBorders>
              <w:tl2br w:val="nil"/>
              <w:tr2bl w:val="nil"/>
            </w:tcBorders>
            <w:noWrap/>
            <w:vAlign w:val="center"/>
          </w:tcPr>
          <w:p w14:paraId="201B1006">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永久</w:t>
            </w:r>
          </w:p>
          <w:p w14:paraId="64F068AC">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占比</w:t>
            </w:r>
          </w:p>
        </w:tc>
        <w:tc>
          <w:tcPr>
            <w:tcW w:w="912" w:type="dxa"/>
            <w:tcBorders>
              <w:tl2br w:val="nil"/>
              <w:tr2bl w:val="nil"/>
            </w:tcBorders>
            <w:noWrap/>
            <w:vAlign w:val="center"/>
          </w:tcPr>
          <w:p w14:paraId="5739C0F5">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临时</w:t>
            </w:r>
          </w:p>
          <w:p w14:paraId="1F712E9E">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占比</w:t>
            </w:r>
          </w:p>
        </w:tc>
        <w:tc>
          <w:tcPr>
            <w:tcW w:w="871" w:type="dxa"/>
            <w:tcBorders>
              <w:tl2br w:val="nil"/>
              <w:tr2bl w:val="nil"/>
            </w:tcBorders>
            <w:noWrap/>
            <w:vAlign w:val="center"/>
          </w:tcPr>
          <w:p w14:paraId="262DE054">
            <w:pPr>
              <w:pStyle w:val="66"/>
              <w:keepNext w:val="0"/>
              <w:keepLines w:val="0"/>
              <w:suppressLineNumbers w:val="0"/>
              <w:bidi w:val="0"/>
              <w:spacing w:before="0" w:beforeAutospacing="0" w:after="0" w:afterAutospacing="0"/>
              <w:ind w:left="0" w:right="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总占比</w:t>
            </w:r>
          </w:p>
        </w:tc>
      </w:tr>
      <w:tr w14:paraId="0ED14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844" w:type="dxa"/>
            <w:tcBorders>
              <w:tl2br w:val="nil"/>
              <w:tr2bl w:val="nil"/>
            </w:tcBorders>
            <w:noWrap/>
            <w:vAlign w:val="center"/>
          </w:tcPr>
          <w:p w14:paraId="7B017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草原植被</w:t>
            </w:r>
          </w:p>
        </w:tc>
        <w:tc>
          <w:tcPr>
            <w:tcW w:w="983" w:type="dxa"/>
            <w:tcBorders>
              <w:tl2br w:val="nil"/>
              <w:tr2bl w:val="nil"/>
            </w:tcBorders>
            <w:noWrap/>
            <w:vAlign w:val="center"/>
          </w:tcPr>
          <w:p w14:paraId="4D748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针茅、白莲蒿</w:t>
            </w:r>
          </w:p>
        </w:tc>
        <w:tc>
          <w:tcPr>
            <w:tcW w:w="733" w:type="dxa"/>
            <w:tcBorders>
              <w:tl2br w:val="nil"/>
              <w:tr2bl w:val="nil"/>
            </w:tcBorders>
            <w:noWrap/>
            <w:vAlign w:val="center"/>
          </w:tcPr>
          <w:p w14:paraId="37C54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2.43</w:t>
            </w:r>
          </w:p>
        </w:tc>
        <w:tc>
          <w:tcPr>
            <w:tcW w:w="967" w:type="dxa"/>
            <w:tcBorders>
              <w:tl2br w:val="nil"/>
              <w:tr2bl w:val="nil"/>
            </w:tcBorders>
            <w:noWrap/>
            <w:vAlign w:val="center"/>
          </w:tcPr>
          <w:p w14:paraId="09D44C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850" w:type="dxa"/>
            <w:tcBorders>
              <w:tl2br w:val="nil"/>
              <w:tr2bl w:val="nil"/>
            </w:tcBorders>
            <w:noWrap/>
            <w:vAlign w:val="center"/>
          </w:tcPr>
          <w:p w14:paraId="4D1FF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5.59 </w:t>
            </w:r>
          </w:p>
        </w:tc>
        <w:tc>
          <w:tcPr>
            <w:tcW w:w="1017" w:type="dxa"/>
            <w:tcBorders>
              <w:tl2br w:val="nil"/>
              <w:tr2bl w:val="nil"/>
            </w:tcBorders>
            <w:noWrap/>
            <w:vAlign w:val="center"/>
          </w:tcPr>
          <w:p w14:paraId="4C49EB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1050" w:type="dxa"/>
            <w:tcBorders>
              <w:tl2br w:val="nil"/>
              <w:tr2bl w:val="nil"/>
            </w:tcBorders>
            <w:noWrap/>
            <w:vAlign w:val="center"/>
          </w:tcPr>
          <w:p w14:paraId="6C2635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5.59 </w:t>
            </w:r>
          </w:p>
        </w:tc>
        <w:tc>
          <w:tcPr>
            <w:tcW w:w="1071" w:type="dxa"/>
            <w:tcBorders>
              <w:tl2br w:val="nil"/>
              <w:tr2bl w:val="nil"/>
            </w:tcBorders>
            <w:noWrap/>
            <w:vAlign w:val="center"/>
          </w:tcPr>
          <w:p w14:paraId="54CBB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0.03%</w:t>
            </w:r>
          </w:p>
        </w:tc>
        <w:tc>
          <w:tcPr>
            <w:tcW w:w="912" w:type="dxa"/>
            <w:tcBorders>
              <w:tl2br w:val="nil"/>
              <w:tr2bl w:val="nil"/>
            </w:tcBorders>
            <w:noWrap/>
            <w:vAlign w:val="center"/>
          </w:tcPr>
          <w:p w14:paraId="633BF2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871" w:type="dxa"/>
            <w:tcBorders>
              <w:tl2br w:val="nil"/>
              <w:tr2bl w:val="nil"/>
            </w:tcBorders>
            <w:noWrap/>
            <w:vAlign w:val="center"/>
          </w:tcPr>
          <w:p w14:paraId="2753A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0.03%</w:t>
            </w:r>
          </w:p>
        </w:tc>
      </w:tr>
      <w:tr w14:paraId="28433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844" w:type="dxa"/>
            <w:tcBorders>
              <w:tl2br w:val="nil"/>
              <w:tr2bl w:val="nil"/>
            </w:tcBorders>
            <w:noWrap/>
            <w:vAlign w:val="center"/>
          </w:tcPr>
          <w:p w14:paraId="09A8B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森林植被</w:t>
            </w:r>
          </w:p>
        </w:tc>
        <w:tc>
          <w:tcPr>
            <w:tcW w:w="983" w:type="dxa"/>
            <w:tcBorders>
              <w:tl2br w:val="nil"/>
              <w:tr2bl w:val="nil"/>
            </w:tcBorders>
            <w:noWrap/>
            <w:vAlign w:val="center"/>
          </w:tcPr>
          <w:p w14:paraId="63201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山杨、白桦</w:t>
            </w:r>
          </w:p>
        </w:tc>
        <w:tc>
          <w:tcPr>
            <w:tcW w:w="733" w:type="dxa"/>
            <w:tcBorders>
              <w:tl2br w:val="nil"/>
              <w:tr2bl w:val="nil"/>
            </w:tcBorders>
            <w:noWrap/>
            <w:vAlign w:val="center"/>
          </w:tcPr>
          <w:p w14:paraId="2D097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7.51</w:t>
            </w:r>
          </w:p>
        </w:tc>
        <w:tc>
          <w:tcPr>
            <w:tcW w:w="967" w:type="dxa"/>
            <w:tcBorders>
              <w:tl2br w:val="nil"/>
              <w:tr2bl w:val="nil"/>
            </w:tcBorders>
            <w:noWrap/>
            <w:vAlign w:val="center"/>
          </w:tcPr>
          <w:p w14:paraId="2208B3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0.4</w:t>
            </w:r>
          </w:p>
        </w:tc>
        <w:tc>
          <w:tcPr>
            <w:tcW w:w="850" w:type="dxa"/>
            <w:tcBorders>
              <w:tl2br w:val="nil"/>
              <w:tr2bl w:val="nil"/>
            </w:tcBorders>
            <w:noWrap/>
            <w:vAlign w:val="center"/>
          </w:tcPr>
          <w:p w14:paraId="0CEEC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3.00 </w:t>
            </w:r>
          </w:p>
        </w:tc>
        <w:tc>
          <w:tcPr>
            <w:tcW w:w="1017" w:type="dxa"/>
            <w:tcBorders>
              <w:tl2br w:val="nil"/>
              <w:tr2bl w:val="nil"/>
            </w:tcBorders>
            <w:noWrap/>
            <w:vAlign w:val="center"/>
          </w:tcPr>
          <w:p w14:paraId="4CA50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9.39 </w:t>
            </w:r>
          </w:p>
        </w:tc>
        <w:tc>
          <w:tcPr>
            <w:tcW w:w="1050" w:type="dxa"/>
            <w:tcBorders>
              <w:tl2br w:val="nil"/>
              <w:tr2bl w:val="nil"/>
            </w:tcBorders>
            <w:noWrap/>
            <w:vAlign w:val="center"/>
          </w:tcPr>
          <w:p w14:paraId="028EE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12.40 </w:t>
            </w:r>
          </w:p>
        </w:tc>
        <w:tc>
          <w:tcPr>
            <w:tcW w:w="1071" w:type="dxa"/>
            <w:tcBorders>
              <w:tl2br w:val="nil"/>
              <w:tr2bl w:val="nil"/>
            </w:tcBorders>
            <w:noWrap/>
            <w:vAlign w:val="center"/>
          </w:tcPr>
          <w:p w14:paraId="0ACBA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0.02%</w:t>
            </w:r>
          </w:p>
        </w:tc>
        <w:tc>
          <w:tcPr>
            <w:tcW w:w="912" w:type="dxa"/>
            <w:tcBorders>
              <w:tl2br w:val="nil"/>
              <w:tr2bl w:val="nil"/>
            </w:tcBorders>
            <w:noWrap/>
            <w:vAlign w:val="center"/>
          </w:tcPr>
          <w:p w14:paraId="7139B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0.05%</w:t>
            </w:r>
          </w:p>
        </w:tc>
        <w:tc>
          <w:tcPr>
            <w:tcW w:w="871" w:type="dxa"/>
            <w:tcBorders>
              <w:tl2br w:val="nil"/>
              <w:tr2bl w:val="nil"/>
            </w:tcBorders>
            <w:noWrap/>
            <w:vAlign w:val="center"/>
          </w:tcPr>
          <w:p w14:paraId="1F873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0.06%</w:t>
            </w:r>
          </w:p>
        </w:tc>
      </w:tr>
      <w:tr w14:paraId="67500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844" w:type="dxa"/>
            <w:tcBorders>
              <w:tl2br w:val="nil"/>
              <w:tr2bl w:val="nil"/>
            </w:tcBorders>
            <w:noWrap/>
            <w:vAlign w:val="center"/>
          </w:tcPr>
          <w:p w14:paraId="7D184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农作物</w:t>
            </w:r>
          </w:p>
        </w:tc>
        <w:tc>
          <w:tcPr>
            <w:tcW w:w="983" w:type="dxa"/>
            <w:tcBorders>
              <w:tl2br w:val="nil"/>
              <w:tr2bl w:val="nil"/>
            </w:tcBorders>
            <w:noWrap/>
            <w:vAlign w:val="center"/>
          </w:tcPr>
          <w:p w14:paraId="3F650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玉米</w:t>
            </w:r>
          </w:p>
        </w:tc>
        <w:tc>
          <w:tcPr>
            <w:tcW w:w="733" w:type="dxa"/>
            <w:tcBorders>
              <w:tl2br w:val="nil"/>
              <w:tr2bl w:val="nil"/>
            </w:tcBorders>
            <w:noWrap/>
            <w:vAlign w:val="center"/>
          </w:tcPr>
          <w:p w14:paraId="2D5B5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967" w:type="dxa"/>
            <w:tcBorders>
              <w:tl2br w:val="nil"/>
              <w:tr2bl w:val="nil"/>
            </w:tcBorders>
            <w:noWrap/>
            <w:vAlign w:val="center"/>
          </w:tcPr>
          <w:p w14:paraId="0AA97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850" w:type="dxa"/>
            <w:tcBorders>
              <w:tl2br w:val="nil"/>
              <w:tr2bl w:val="nil"/>
            </w:tcBorders>
            <w:noWrap/>
            <w:vAlign w:val="center"/>
          </w:tcPr>
          <w:p w14:paraId="67BED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1017" w:type="dxa"/>
            <w:tcBorders>
              <w:tl2br w:val="nil"/>
              <w:tr2bl w:val="nil"/>
            </w:tcBorders>
            <w:noWrap/>
            <w:vAlign w:val="center"/>
          </w:tcPr>
          <w:p w14:paraId="6F426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1050" w:type="dxa"/>
            <w:tcBorders>
              <w:tl2br w:val="nil"/>
              <w:tr2bl w:val="nil"/>
            </w:tcBorders>
            <w:noWrap/>
            <w:vAlign w:val="center"/>
          </w:tcPr>
          <w:p w14:paraId="11527A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1071" w:type="dxa"/>
            <w:tcBorders>
              <w:tl2br w:val="nil"/>
              <w:tr2bl w:val="nil"/>
            </w:tcBorders>
            <w:noWrap/>
            <w:vAlign w:val="center"/>
          </w:tcPr>
          <w:p w14:paraId="5F9AB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912" w:type="dxa"/>
            <w:tcBorders>
              <w:tl2br w:val="nil"/>
              <w:tr2bl w:val="nil"/>
            </w:tcBorders>
            <w:noWrap/>
            <w:vAlign w:val="center"/>
          </w:tcPr>
          <w:p w14:paraId="4555C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c>
          <w:tcPr>
            <w:tcW w:w="871" w:type="dxa"/>
            <w:tcBorders>
              <w:tl2br w:val="nil"/>
              <w:tr2bl w:val="nil"/>
            </w:tcBorders>
            <w:noWrap/>
            <w:vAlign w:val="center"/>
          </w:tcPr>
          <w:p w14:paraId="51CC1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p>
        </w:tc>
      </w:tr>
      <w:tr w14:paraId="60BEF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844" w:type="dxa"/>
            <w:tcBorders>
              <w:tl2br w:val="nil"/>
              <w:tr2bl w:val="nil"/>
            </w:tcBorders>
            <w:noWrap/>
            <w:vAlign w:val="center"/>
          </w:tcPr>
          <w:p w14:paraId="67A51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湿地植被</w:t>
            </w:r>
          </w:p>
        </w:tc>
        <w:tc>
          <w:tcPr>
            <w:tcW w:w="983" w:type="dxa"/>
            <w:tcBorders>
              <w:tl2br w:val="nil"/>
              <w:tr2bl w:val="nil"/>
            </w:tcBorders>
            <w:noWrap/>
            <w:vAlign w:val="center"/>
          </w:tcPr>
          <w:p w14:paraId="2B86A6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芦苇</w:t>
            </w:r>
          </w:p>
        </w:tc>
        <w:tc>
          <w:tcPr>
            <w:tcW w:w="733" w:type="dxa"/>
            <w:tcBorders>
              <w:tl2br w:val="nil"/>
              <w:tr2bl w:val="nil"/>
            </w:tcBorders>
            <w:noWrap/>
            <w:vAlign w:val="center"/>
          </w:tcPr>
          <w:p w14:paraId="6CB0E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6.45</w:t>
            </w:r>
          </w:p>
        </w:tc>
        <w:tc>
          <w:tcPr>
            <w:tcW w:w="967" w:type="dxa"/>
            <w:tcBorders>
              <w:tl2br w:val="nil"/>
              <w:tr2bl w:val="nil"/>
            </w:tcBorders>
            <w:noWrap/>
            <w:vAlign w:val="center"/>
          </w:tcPr>
          <w:p w14:paraId="2135E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73.62</w:t>
            </w:r>
          </w:p>
        </w:tc>
        <w:tc>
          <w:tcPr>
            <w:tcW w:w="850" w:type="dxa"/>
            <w:tcBorders>
              <w:tl2br w:val="nil"/>
              <w:tr2bl w:val="nil"/>
            </w:tcBorders>
            <w:noWrap/>
            <w:vAlign w:val="center"/>
          </w:tcPr>
          <w:p w14:paraId="5E812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35.48 </w:t>
            </w:r>
          </w:p>
        </w:tc>
        <w:tc>
          <w:tcPr>
            <w:tcW w:w="1017" w:type="dxa"/>
            <w:tcBorders>
              <w:tl2br w:val="nil"/>
              <w:tr2bl w:val="nil"/>
            </w:tcBorders>
            <w:noWrap/>
            <w:vAlign w:val="center"/>
          </w:tcPr>
          <w:p w14:paraId="62A90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2611.67 </w:t>
            </w:r>
          </w:p>
        </w:tc>
        <w:tc>
          <w:tcPr>
            <w:tcW w:w="1050" w:type="dxa"/>
            <w:tcBorders>
              <w:tl2br w:val="nil"/>
              <w:tr2bl w:val="nil"/>
            </w:tcBorders>
            <w:noWrap/>
            <w:vAlign w:val="center"/>
          </w:tcPr>
          <w:p w14:paraId="3429FF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2647.14 </w:t>
            </w:r>
          </w:p>
        </w:tc>
        <w:tc>
          <w:tcPr>
            <w:tcW w:w="1071" w:type="dxa"/>
            <w:tcBorders>
              <w:tl2br w:val="nil"/>
              <w:tr2bl w:val="nil"/>
            </w:tcBorders>
            <w:noWrap/>
            <w:vAlign w:val="center"/>
          </w:tcPr>
          <w:p w14:paraId="4A497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0.18%</w:t>
            </w:r>
          </w:p>
        </w:tc>
        <w:tc>
          <w:tcPr>
            <w:tcW w:w="912" w:type="dxa"/>
            <w:tcBorders>
              <w:tl2br w:val="nil"/>
              <w:tr2bl w:val="nil"/>
            </w:tcBorders>
            <w:noWrap/>
            <w:vAlign w:val="center"/>
          </w:tcPr>
          <w:p w14:paraId="04468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13.46%</w:t>
            </w:r>
          </w:p>
        </w:tc>
        <w:tc>
          <w:tcPr>
            <w:tcW w:w="871" w:type="dxa"/>
            <w:tcBorders>
              <w:tl2br w:val="nil"/>
              <w:tr2bl w:val="nil"/>
            </w:tcBorders>
            <w:noWrap/>
            <w:vAlign w:val="center"/>
          </w:tcPr>
          <w:p w14:paraId="433476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13.64%</w:t>
            </w:r>
          </w:p>
        </w:tc>
      </w:tr>
      <w:tr w14:paraId="5025D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844" w:type="dxa"/>
            <w:tcBorders>
              <w:tl2br w:val="nil"/>
              <w:tr2bl w:val="nil"/>
            </w:tcBorders>
            <w:noWrap/>
            <w:vAlign w:val="center"/>
          </w:tcPr>
          <w:p w14:paraId="7B0D1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合计</w:t>
            </w:r>
          </w:p>
        </w:tc>
        <w:tc>
          <w:tcPr>
            <w:tcW w:w="983" w:type="dxa"/>
            <w:tcBorders>
              <w:tl2br w:val="nil"/>
              <w:tr2bl w:val="nil"/>
            </w:tcBorders>
            <w:noWrap/>
            <w:vAlign w:val="center"/>
          </w:tcPr>
          <w:p w14:paraId="6CC2A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p>
        </w:tc>
        <w:tc>
          <w:tcPr>
            <w:tcW w:w="733" w:type="dxa"/>
            <w:tcBorders>
              <w:tl2br w:val="nil"/>
              <w:tr2bl w:val="nil"/>
            </w:tcBorders>
            <w:noWrap/>
            <w:vAlign w:val="center"/>
          </w:tcPr>
          <w:p w14:paraId="0DAB3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16.39</w:t>
            </w:r>
          </w:p>
        </w:tc>
        <w:tc>
          <w:tcPr>
            <w:tcW w:w="967" w:type="dxa"/>
            <w:tcBorders>
              <w:tl2br w:val="nil"/>
              <w:tr2bl w:val="nil"/>
            </w:tcBorders>
            <w:noWrap/>
            <w:vAlign w:val="center"/>
          </w:tcPr>
          <w:p w14:paraId="3311F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74.02</w:t>
            </w:r>
          </w:p>
        </w:tc>
        <w:tc>
          <w:tcPr>
            <w:tcW w:w="850" w:type="dxa"/>
            <w:tcBorders>
              <w:tl2br w:val="nil"/>
              <w:tr2bl w:val="nil"/>
            </w:tcBorders>
            <w:noWrap/>
            <w:vAlign w:val="center"/>
          </w:tcPr>
          <w:p w14:paraId="600BB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44.07 </w:t>
            </w:r>
          </w:p>
        </w:tc>
        <w:tc>
          <w:tcPr>
            <w:tcW w:w="1017" w:type="dxa"/>
            <w:tcBorders>
              <w:tl2br w:val="nil"/>
              <w:tr2bl w:val="nil"/>
            </w:tcBorders>
            <w:noWrap/>
            <w:vAlign w:val="center"/>
          </w:tcPr>
          <w:p w14:paraId="5F38B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2621.06 </w:t>
            </w:r>
          </w:p>
        </w:tc>
        <w:tc>
          <w:tcPr>
            <w:tcW w:w="1050" w:type="dxa"/>
            <w:tcBorders>
              <w:tl2br w:val="nil"/>
              <w:tr2bl w:val="nil"/>
            </w:tcBorders>
            <w:noWrap/>
            <w:vAlign w:val="center"/>
          </w:tcPr>
          <w:p w14:paraId="25BC1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 xml:space="preserve">2665.13 </w:t>
            </w:r>
          </w:p>
        </w:tc>
        <w:tc>
          <w:tcPr>
            <w:tcW w:w="1071" w:type="dxa"/>
            <w:tcBorders>
              <w:tl2br w:val="nil"/>
              <w:tr2bl w:val="nil"/>
            </w:tcBorders>
            <w:noWrap/>
            <w:vAlign w:val="center"/>
          </w:tcPr>
          <w:p w14:paraId="76037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0.23%</w:t>
            </w:r>
          </w:p>
        </w:tc>
        <w:tc>
          <w:tcPr>
            <w:tcW w:w="912" w:type="dxa"/>
            <w:tcBorders>
              <w:tl2br w:val="nil"/>
              <w:tr2bl w:val="nil"/>
            </w:tcBorders>
            <w:noWrap/>
            <w:vAlign w:val="center"/>
          </w:tcPr>
          <w:p w14:paraId="6079F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13.51%</w:t>
            </w:r>
          </w:p>
        </w:tc>
        <w:tc>
          <w:tcPr>
            <w:tcW w:w="871" w:type="dxa"/>
            <w:tcBorders>
              <w:tl2br w:val="nil"/>
              <w:tr2bl w:val="nil"/>
            </w:tcBorders>
            <w:noWrap/>
            <w:vAlign w:val="center"/>
          </w:tcPr>
          <w:p w14:paraId="6A03A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13.74%</w:t>
            </w:r>
          </w:p>
        </w:tc>
      </w:tr>
      <w:tr w14:paraId="78CD8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298" w:type="dxa"/>
            <w:gridSpan w:val="10"/>
            <w:tcBorders>
              <w:tl2br w:val="nil"/>
              <w:tr2bl w:val="nil"/>
            </w:tcBorders>
            <w:noWrap/>
            <w:vAlign w:val="center"/>
          </w:tcPr>
          <w:p w14:paraId="03EF98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注：变化值为</w:t>
            </w:r>
            <w:r>
              <w:rPr>
                <w:rFonts w:hint="eastAsia" w:cs="Times New Roman"/>
                <w:color w:val="auto"/>
                <w:sz w:val="21"/>
                <w:szCs w:val="21"/>
                <w:highlight w:val="none"/>
                <w:lang w:val="en-US" w:eastAsia="zh-CN"/>
              </w:rPr>
              <w:t>本工程</w:t>
            </w:r>
            <w:r>
              <w:rPr>
                <w:rFonts w:hint="default" w:ascii="Times New Roman" w:hAnsi="Times New Roman" w:cs="Times New Roman"/>
                <w:color w:val="auto"/>
                <w:sz w:val="21"/>
                <w:szCs w:val="21"/>
                <w:highlight w:val="none"/>
                <w:lang w:val="en-US" w:eastAsia="zh-CN"/>
              </w:rPr>
              <w:t>实施后预测值减去现阶段生物量及比例变化，</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值为减少。</w:t>
            </w:r>
          </w:p>
        </w:tc>
      </w:tr>
    </w:tbl>
    <w:p w14:paraId="3DC18D09">
      <w:pPr>
        <w:keepNext w:val="0"/>
        <w:keepLines w:val="0"/>
        <w:widowControl/>
        <w:suppressLineNumbers w:val="0"/>
        <w:jc w:val="both"/>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建设完成后，评价范围的各植被类型面积和生物量发生变化，具体变化情况见表</w:t>
      </w:r>
      <w:r>
        <w:rPr>
          <w:rFonts w:hint="eastAsia" w:ascii="Times New Roman" w:hAnsi="Times New Roman" w:eastAsia="宋体" w:cs="Times New Roman"/>
          <w:color w:val="auto"/>
          <w:sz w:val="24"/>
          <w:szCs w:val="24"/>
          <w:highlight w:val="none"/>
          <w:lang w:val="en-US" w:eastAsia="zh-CN"/>
        </w:rPr>
        <w:t>6.6-</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永久征地将完全损毁原有的植被类型，植被生物量将发生变化，生物量总损失为2665.13t，占评价范围总生物量的13.74%。通过遥感卫片和典型样方生物量估算，其中湿地植被生物量损失最多，为2647.14t，所占比例为13.64%；区域森林植被生物损失量次之，为12.40t，草原植被损失量最小，为5.59t。项目临时占地占用湿地植被面积最大，达73.62hm²，主要为堆场占用，项目建成运行后，临时施工占地区将进行植被恢复补偿，生物量将逐步得到恢复，但永久占地区植被生物量损失将不可逆转，</w:t>
      </w:r>
      <w:r>
        <w:rPr>
          <w:rFonts w:hint="eastAsia" w:cs="Times New Roman"/>
          <w:color w:val="auto"/>
          <w:sz w:val="24"/>
          <w:szCs w:val="24"/>
          <w:highlight w:val="none"/>
          <w:lang w:val="en-US" w:eastAsia="zh-CN"/>
        </w:rPr>
        <w:t>本工程</w:t>
      </w:r>
      <w:r>
        <w:rPr>
          <w:rFonts w:hint="default" w:ascii="Times New Roman" w:hAnsi="Times New Roman" w:eastAsia="宋体" w:cs="Times New Roman"/>
          <w:color w:val="auto"/>
          <w:sz w:val="24"/>
          <w:szCs w:val="24"/>
          <w:highlight w:val="none"/>
          <w:lang w:val="en-US" w:eastAsia="zh-CN"/>
        </w:rPr>
        <w:t>永久占地损失的植被生物量为44.07t，占评价范围总生物量的0.23%，随着施工结束对巡检道路两侧进行苗木栽植，对堆场及其他临时占地进行草籽播撒并给予经济补偿，总体来说项目占地的生物量和生产力损失在可接受范围内。</w:t>
      </w:r>
    </w:p>
    <w:p w14:paraId="697D7684">
      <w:pPr>
        <w:pStyle w:val="7"/>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eastAsia="zh-CN"/>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eastAsia="zh-CN"/>
        </w:rPr>
        <w:t>.5对动物的影响</w:t>
      </w:r>
    </w:p>
    <w:p w14:paraId="32298D4E">
      <w:pPr>
        <w:pStyle w:val="8"/>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eastAsia="zh-CN"/>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eastAsia="zh-CN"/>
        </w:rPr>
        <w:t>.</w:t>
      </w:r>
      <w:r>
        <w:rPr>
          <w:rFonts w:hint="eastAsia" w:cs="Times New Roman"/>
          <w:color w:val="auto"/>
          <w:sz w:val="28"/>
          <w:szCs w:val="28"/>
          <w:highlight w:val="none"/>
          <w:lang w:val="en-US" w:eastAsia="zh-CN"/>
        </w:rPr>
        <w:t>5</w:t>
      </w:r>
      <w:r>
        <w:rPr>
          <w:rFonts w:hint="default" w:ascii="Times New Roman" w:hAnsi="Times New Roman" w:cs="Times New Roman"/>
          <w:color w:val="auto"/>
          <w:sz w:val="28"/>
          <w:szCs w:val="28"/>
          <w:highlight w:val="none"/>
          <w:lang w:eastAsia="zh-CN"/>
        </w:rPr>
        <w:t>.1施工期</w:t>
      </w:r>
    </w:p>
    <w:p w14:paraId="4B55A41D">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施工期的永久和临时占地缩小了野生动物的栖息空间，</w:t>
      </w:r>
      <w:r>
        <w:rPr>
          <w:rFonts w:hint="eastAsia" w:cs="Times New Roman"/>
          <w:color w:val="auto"/>
          <w:sz w:val="24"/>
          <w:szCs w:val="24"/>
          <w:highlight w:val="none"/>
          <w:lang w:eastAsia="zh-CN"/>
        </w:rPr>
        <w:t>影响</w:t>
      </w:r>
      <w:r>
        <w:rPr>
          <w:rFonts w:hint="default" w:ascii="Times New Roman" w:hAnsi="Times New Roman" w:cs="Times New Roman"/>
          <w:color w:val="auto"/>
          <w:sz w:val="24"/>
          <w:szCs w:val="24"/>
          <w:highlight w:val="none"/>
          <w:lang w:eastAsia="zh-CN"/>
        </w:rPr>
        <w:t>了部分陆生动物的活动区域、迁移途径、栖息区域、觅食范围等。</w:t>
      </w:r>
      <w:r>
        <w:rPr>
          <w:rFonts w:hint="default" w:ascii="Times New Roman" w:hAnsi="Times New Roman" w:cs="Times New Roman"/>
          <w:color w:val="auto"/>
          <w:sz w:val="24"/>
          <w:szCs w:val="24"/>
          <w:highlight w:val="none"/>
          <w:lang w:val="en-US" w:eastAsia="zh-CN"/>
        </w:rPr>
        <w:t>项目</w:t>
      </w:r>
      <w:r>
        <w:rPr>
          <w:rFonts w:hint="eastAsia" w:cs="Times New Roman"/>
          <w:color w:val="auto"/>
          <w:sz w:val="24"/>
          <w:szCs w:val="24"/>
          <w:highlight w:val="none"/>
          <w:lang w:eastAsia="zh-CN"/>
        </w:rPr>
        <w:t>施工范围在河道两侧，周边村庄较为密集</w:t>
      </w:r>
      <w:r>
        <w:rPr>
          <w:rFonts w:hint="default" w:ascii="Times New Roman" w:hAnsi="Times New Roman" w:cs="Times New Roman"/>
          <w:color w:val="auto"/>
          <w:sz w:val="24"/>
          <w:szCs w:val="24"/>
          <w:highlight w:val="none"/>
          <w:lang w:eastAsia="zh-CN"/>
        </w:rPr>
        <w:t>，人为活动频繁，区域内有许多动物的替代生境，动物比较容易找到栖息场所。同时由于工程施工范围小，工程建设对野生动物影响的范围不大且影响时间较短，因此对动物不会造成大的影响，可随植被的恢复而缓解、消失。</w:t>
      </w:r>
    </w:p>
    <w:p w14:paraId="197971F3">
      <w:pPr>
        <w:jc w:val="both"/>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lang w:eastAsia="zh-CN"/>
        </w:rPr>
        <w:t>对两栖、爬行类的影响</w:t>
      </w:r>
    </w:p>
    <w:p w14:paraId="6DF7D6B8">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两栖动物主要栖息在沿线的河流、水域中，工程建设期可能导致水质的变化的因素有以下几个方面：临近水域地区由于施工材料的堆放，随着雨水的冲刷进入水域，造成水质的污染；施工人员产生的生活垃圾、废水如果直接排入河道也会造成水质的污染。</w:t>
      </w:r>
    </w:p>
    <w:p w14:paraId="48C5D3A7">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在评价范围内分布的蜥蜴类及蛇类等爬行动物，由于施工便道的建设，施工人员的进入，必然惊扰这些动物，原分布区被部分破坏会导致这些动物的生活区向上迁移或暂时迁移到工程影响区外生境相似的地区。由于工程建设影响范围有限，只要采取相应的环保措施，工程对爬行动物的影响较小，且主要是在施工期的影响。</w:t>
      </w:r>
    </w:p>
    <w:p w14:paraId="5C50185A">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建设过程中，由于施工车辆产生的噪声、人为活动的干扰等因素，可能导致线路两侧附近的两栖、爬行类动物产生回避行为，使其向外围转移，沿线两侧较近范围内爬行类出现的频率会降低，由于数量多、分布广，局部施工时间短，不会对两栖、爬行类的总体多样性产生影响。</w:t>
      </w:r>
    </w:p>
    <w:p w14:paraId="0FF6F629">
      <w:pPr>
        <w:jc w:val="both"/>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lang w:eastAsia="zh-CN"/>
        </w:rPr>
        <w:t>对鸟类的影响</w:t>
      </w:r>
    </w:p>
    <w:p w14:paraId="5FF3554C">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工程在施工过程中，由于车辆噪声、人为活动干扰等所造成的廊道效应可能导致临时施工区域的鸟类密度下降。春季是鸟类繁殖季节，此时配对的雌、雄鸟会在高大树木</w:t>
      </w:r>
      <w:r>
        <w:rPr>
          <w:rFonts w:hint="eastAsia" w:cs="Times New Roman"/>
          <w:color w:val="auto"/>
          <w:sz w:val="24"/>
          <w:szCs w:val="24"/>
          <w:highlight w:val="none"/>
          <w:lang w:eastAsia="zh-CN"/>
        </w:rPr>
        <w:t>上</w:t>
      </w:r>
      <w:r>
        <w:rPr>
          <w:rFonts w:hint="default" w:ascii="Times New Roman" w:hAnsi="Times New Roman" w:cs="Times New Roman"/>
          <w:color w:val="auto"/>
          <w:sz w:val="24"/>
          <w:szCs w:val="24"/>
          <w:highlight w:val="none"/>
          <w:lang w:eastAsia="zh-CN"/>
        </w:rPr>
        <w:t>筑巢、产卵，施工过程中产生的噪声及人为活动可能会对鸟类繁殖产生一定的干扰；在春秋季迁徙期间，对迁徙候鸟特别是水鸟类会形成较大干扰，甚至会导致一些迁徙物种临时性改变迁徙路线或停歇区域。</w:t>
      </w:r>
    </w:p>
    <w:p w14:paraId="076EBD6E">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本工程不涉及重要鸟类栖息地和繁殖地，考虑鸟类对声音的适应性以及沿线社会和自然</w:t>
      </w:r>
      <w:r>
        <w:rPr>
          <w:rFonts w:hint="eastAsia" w:cs="Times New Roman"/>
          <w:color w:val="auto"/>
          <w:sz w:val="24"/>
          <w:szCs w:val="24"/>
          <w:highlight w:val="none"/>
          <w:lang w:eastAsia="zh-CN"/>
        </w:rPr>
        <w:t>活动</w:t>
      </w:r>
      <w:r>
        <w:rPr>
          <w:rFonts w:hint="default" w:ascii="Times New Roman" w:hAnsi="Times New Roman" w:cs="Times New Roman"/>
          <w:color w:val="auto"/>
          <w:sz w:val="24"/>
          <w:szCs w:val="24"/>
          <w:highlight w:val="none"/>
          <w:lang w:eastAsia="zh-CN"/>
        </w:rPr>
        <w:t>等特点，工程施工活动会对区域鸟类带来一定的惊扰影响，随着施工结束，影响随之消失，不会对保护鸟类栖息繁殖造成长久影响。</w:t>
      </w:r>
    </w:p>
    <w:p w14:paraId="4A4E38C2">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）对哺乳类动物的影响</w:t>
      </w:r>
    </w:p>
    <w:p w14:paraId="0F86A697">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程施工中，各种临时占地、永久占地会直接破坏原有植被，使在此区域内活动的野生动物觅食地、栖息地减少，导致动物减少。在管线敷设的建设期，由于人为活动干扰、施工噪声的影响，从而导致野生动物回避施工区域，使沿线野生动物在沿线出现的频率降低。</w:t>
      </w:r>
    </w:p>
    <w:p w14:paraId="04AF5EB5">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便道、施工场地等施工区域在一定程度上对野生动物正常活动产生干扰，工程施工便道一般利用既有乡道或村路，可大大降低对生态环境的破坏和对野生动物栖息地的切割。施工机械操作对野生动物的影响主要</w:t>
      </w:r>
      <w:r>
        <w:rPr>
          <w:rFonts w:hint="eastAsia" w:cs="Times New Roman"/>
          <w:color w:val="auto"/>
          <w:sz w:val="24"/>
          <w:szCs w:val="24"/>
          <w:highlight w:val="none"/>
          <w:lang w:eastAsia="zh-CN"/>
        </w:rPr>
        <w:t>涉及</w:t>
      </w:r>
      <w:r>
        <w:rPr>
          <w:rFonts w:hint="default" w:ascii="Times New Roman" w:hAnsi="Times New Roman" w:cs="Times New Roman"/>
          <w:color w:val="auto"/>
          <w:sz w:val="24"/>
          <w:szCs w:val="24"/>
          <w:highlight w:val="none"/>
          <w:lang w:eastAsia="zh-CN"/>
        </w:rPr>
        <w:t>施工场地周边的区域，这种影响会</w:t>
      </w:r>
      <w:r>
        <w:rPr>
          <w:rFonts w:hint="eastAsia" w:cs="Times New Roman"/>
          <w:color w:val="auto"/>
          <w:sz w:val="24"/>
          <w:szCs w:val="24"/>
          <w:highlight w:val="none"/>
          <w:lang w:eastAsia="zh-CN"/>
        </w:rPr>
        <w:t>波及</w:t>
      </w:r>
      <w:r>
        <w:rPr>
          <w:rFonts w:hint="default" w:ascii="Times New Roman" w:hAnsi="Times New Roman" w:cs="Times New Roman"/>
          <w:color w:val="auto"/>
          <w:sz w:val="24"/>
          <w:szCs w:val="24"/>
          <w:highlight w:val="none"/>
          <w:lang w:eastAsia="zh-CN"/>
        </w:rPr>
        <w:t>线路两侧1km范围内活动的野生动物，由于施工期短，随之施工活动结束，影响也随之消失。</w:t>
      </w:r>
    </w:p>
    <w:p w14:paraId="5D5B957A">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总体分析，工程施工活动会对工程区周边动物带来一定的惊扰影响，但不会造成鸟类、两栖爬行类等动物种群数量下降和灭绝，施工期结束后各种影响也将随之结束。同时，工程施工期间应加强施工人员宣传教育，严格划定施工区域，明确施工活动范围；加强对于区域动物保护力度，避免施工人员对动物的捕杀等行为，最大程度上减轻工程施工期对于各种动物的影响。</w:t>
      </w:r>
    </w:p>
    <w:p w14:paraId="765822A6">
      <w:pPr>
        <w:pStyle w:val="8"/>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lang w:eastAsia="zh-CN"/>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eastAsia="zh-CN"/>
        </w:rPr>
        <w:t>.</w:t>
      </w:r>
      <w:r>
        <w:rPr>
          <w:rFonts w:hint="eastAsia" w:cs="Times New Roman"/>
          <w:color w:val="auto"/>
          <w:sz w:val="28"/>
          <w:szCs w:val="28"/>
          <w:highlight w:val="none"/>
          <w:lang w:val="en-US" w:eastAsia="zh-CN"/>
        </w:rPr>
        <w:t>5</w:t>
      </w:r>
      <w:r>
        <w:rPr>
          <w:rFonts w:hint="default" w:ascii="Times New Roman" w:hAnsi="Times New Roman" w:cs="Times New Roman"/>
          <w:color w:val="auto"/>
          <w:sz w:val="28"/>
          <w:szCs w:val="28"/>
          <w:highlight w:val="none"/>
          <w:lang w:eastAsia="zh-CN"/>
        </w:rPr>
        <w:t>.2运营期</w:t>
      </w:r>
    </w:p>
    <w:p w14:paraId="29305A64">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由于工程沿线人类活动频繁，适生物种都是常见物种，生存能力较强，附近均为同类生境，施工活动对动物的阻隔影响有限，虽然会对该区域的野生动物产生一定的干扰</w:t>
      </w:r>
      <w:r>
        <w:rPr>
          <w:rFonts w:hint="eastAsia" w:cs="Times New Roman"/>
          <w:color w:val="auto"/>
          <w:sz w:val="24"/>
          <w:szCs w:val="24"/>
          <w:highlight w:val="none"/>
          <w:lang w:eastAsia="zh-CN"/>
        </w:rPr>
        <w:t>，随着施工期结束，</w:t>
      </w:r>
      <w:r>
        <w:rPr>
          <w:rFonts w:hint="default" w:ascii="Times New Roman" w:hAnsi="Times New Roman" w:cs="Times New Roman"/>
          <w:color w:val="auto"/>
          <w:sz w:val="24"/>
          <w:szCs w:val="24"/>
          <w:highlight w:val="none"/>
          <w:lang w:eastAsia="zh-CN"/>
        </w:rPr>
        <w:t>恢复原有地貌，</w:t>
      </w:r>
      <w:r>
        <w:rPr>
          <w:rFonts w:hint="eastAsia" w:cs="Times New Roman"/>
          <w:color w:val="auto"/>
          <w:sz w:val="24"/>
          <w:szCs w:val="24"/>
          <w:highlight w:val="none"/>
          <w:lang w:eastAsia="zh-CN"/>
        </w:rPr>
        <w:t>并进行苗木栽植、播撒草籽等措施后，生境将逐渐恢复原貌</w:t>
      </w:r>
      <w:r>
        <w:rPr>
          <w:rFonts w:hint="default" w:ascii="Times New Roman" w:hAnsi="Times New Roman" w:cs="Times New Roman"/>
          <w:color w:val="auto"/>
          <w:sz w:val="24"/>
          <w:szCs w:val="24"/>
          <w:highlight w:val="none"/>
          <w:lang w:eastAsia="zh-CN"/>
        </w:rPr>
        <w:t>，动物仍可回到原来的领域，因此工程运营期不会对区域动物种群、生境等产生大的影响。</w:t>
      </w:r>
    </w:p>
    <w:p w14:paraId="3984A924">
      <w:pPr>
        <w:pStyle w:val="6"/>
        <w:bidi w:val="0"/>
        <w:rPr>
          <w:rFonts w:hint="default" w:ascii="Times New Roman" w:hAnsi="Times New Roman" w:cs="Times New Roman"/>
          <w:color w:val="auto"/>
          <w:sz w:val="28"/>
          <w:szCs w:val="28"/>
          <w:highlight w:val="none"/>
          <w:lang w:eastAsia="zh-CN"/>
        </w:rPr>
      </w:pPr>
      <w:bookmarkStart w:id="5991" w:name="_Toc4860"/>
      <w:r>
        <w:rPr>
          <w:rFonts w:hint="default" w:ascii="Times New Roman" w:hAnsi="Times New Roman" w:cs="Times New Roman"/>
          <w:color w:val="auto"/>
          <w:sz w:val="28"/>
          <w:szCs w:val="28"/>
          <w:highlight w:val="none"/>
          <w:lang w:val="en-US" w:eastAsia="zh-CN"/>
        </w:rPr>
        <w:t>6.6</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4</w:t>
      </w:r>
      <w:r>
        <w:rPr>
          <w:rFonts w:hint="eastAsia" w:cs="Times New Roman"/>
          <w:color w:val="auto"/>
          <w:sz w:val="28"/>
          <w:szCs w:val="28"/>
          <w:highlight w:val="none"/>
          <w:lang w:eastAsia="zh-CN"/>
        </w:rPr>
        <w:t>生态红线</w:t>
      </w:r>
      <w:r>
        <w:rPr>
          <w:rFonts w:hint="default" w:ascii="Times New Roman" w:hAnsi="Times New Roman" w:cs="Times New Roman"/>
          <w:color w:val="auto"/>
          <w:sz w:val="28"/>
          <w:szCs w:val="28"/>
          <w:highlight w:val="none"/>
        </w:rPr>
        <w:t>影响分析</w:t>
      </w:r>
      <w:bookmarkEnd w:id="5991"/>
    </w:p>
    <w:p w14:paraId="22613A99">
      <w:pPr>
        <w:rPr>
          <w:rFonts w:hint="default"/>
          <w:color w:val="auto"/>
          <w:highlight w:val="none"/>
          <w:lang w:val="en-US" w:eastAsia="zh-CN"/>
        </w:rPr>
      </w:pPr>
      <w:r>
        <w:rPr>
          <w:rFonts w:hint="eastAsia" w:cs="Times New Roman"/>
          <w:color w:val="auto"/>
          <w:sz w:val="24"/>
          <w:szCs w:val="24"/>
          <w:highlight w:val="none"/>
          <w:lang w:eastAsia="zh-CN"/>
        </w:rPr>
        <w:t>项目占地不涉及生态保护红线，仅评价范围进入红线区域，施工过程严格</w:t>
      </w:r>
      <w:r>
        <w:rPr>
          <w:rFonts w:hint="default"/>
          <w:color w:val="auto"/>
          <w:highlight w:val="none"/>
          <w:lang w:val="en-US" w:eastAsia="zh-CN"/>
        </w:rPr>
        <w:t>控制施工作业带宽度，</w:t>
      </w:r>
      <w:r>
        <w:rPr>
          <w:rFonts w:hint="eastAsia"/>
          <w:color w:val="auto"/>
          <w:highlight w:val="none"/>
          <w:lang w:val="en-US" w:eastAsia="zh-CN"/>
        </w:rPr>
        <w:t>禁止占用生态保护红线，禁止在红线范围堆放施工材料，严格管理施工人员，严禁破坏红线内植被及野生动物，严禁烟火，采取上述措施后，将</w:t>
      </w:r>
      <w:r>
        <w:rPr>
          <w:rFonts w:hint="default" w:ascii="Times New Roman" w:hAnsi="Times New Roman" w:cs="Times New Roman"/>
          <w:color w:val="auto"/>
          <w:sz w:val="24"/>
          <w:szCs w:val="24"/>
          <w:highlight w:val="none"/>
        </w:rPr>
        <w:t>不会对红线范围内生物多样性造成影响，也不会破坏整个生态系统的结构和稳定性。</w:t>
      </w:r>
    </w:p>
    <w:p w14:paraId="0F4DE797">
      <w:pPr>
        <w:pStyle w:val="4"/>
        <w:bidi w:val="0"/>
        <w:rPr>
          <w:rFonts w:hint="default" w:ascii="Times New Roman" w:hAnsi="Times New Roman" w:cs="Times New Roman"/>
          <w:color w:val="auto"/>
          <w:sz w:val="28"/>
          <w:szCs w:val="28"/>
          <w:highlight w:val="none"/>
          <w:lang w:val="en-US" w:eastAsia="zh-CN"/>
        </w:rPr>
      </w:pPr>
      <w:bookmarkStart w:id="5992" w:name="_Toc20709"/>
      <w:bookmarkStart w:id="5993" w:name="_Toc22777"/>
      <w:bookmarkStart w:id="5994" w:name="_Toc4298"/>
      <w:bookmarkStart w:id="5995" w:name="_Toc16851"/>
      <w:r>
        <w:rPr>
          <w:rFonts w:hint="default" w:ascii="Times New Roman" w:hAnsi="Times New Roman" w:cs="Times New Roman"/>
          <w:color w:val="auto"/>
          <w:sz w:val="28"/>
          <w:szCs w:val="28"/>
          <w:highlight w:val="none"/>
          <w:lang w:val="en-US" w:eastAsia="zh-CN"/>
        </w:rPr>
        <w:t>6.7固体废物环境影响分析</w:t>
      </w:r>
      <w:bookmarkEnd w:id="5992"/>
      <w:bookmarkEnd w:id="5993"/>
      <w:bookmarkEnd w:id="5994"/>
      <w:bookmarkEnd w:id="5995"/>
    </w:p>
    <w:p w14:paraId="00D19D15">
      <w:pP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本工程固体废物环境影响主要是施工期的废弃土方、施工人员生活垃圾及部分建筑垃圾。</w:t>
      </w:r>
    </w:p>
    <w:p w14:paraId="0533E211">
      <w:pPr>
        <w:pStyle w:val="6"/>
        <w:bidi w:val="0"/>
        <w:rPr>
          <w:rFonts w:hint="default" w:ascii="Times New Roman" w:hAnsi="Times New Roman" w:cs="Times New Roman"/>
          <w:color w:val="auto"/>
          <w:sz w:val="28"/>
          <w:szCs w:val="28"/>
          <w:highlight w:val="none"/>
          <w:lang w:eastAsia="zh-CN"/>
        </w:rPr>
      </w:pPr>
      <w:bookmarkStart w:id="5996" w:name="_Toc22839"/>
      <w:bookmarkStart w:id="5997" w:name="_Toc18989"/>
      <w:bookmarkStart w:id="5998" w:name="_Toc29655"/>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eastAsia="zh-CN"/>
        </w:rPr>
        <w:t>.1施工期环境影响分析</w:t>
      </w:r>
      <w:bookmarkEnd w:id="5996"/>
      <w:bookmarkEnd w:id="5997"/>
      <w:bookmarkEnd w:id="5998"/>
    </w:p>
    <w:p w14:paraId="4CF80A49">
      <w:pPr>
        <w:pStyle w:val="7"/>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eastAsia="zh-CN"/>
        </w:rPr>
        <w:t>.1.1弃土</w:t>
      </w:r>
    </w:p>
    <w:p w14:paraId="2B8EC105">
      <w:pPr>
        <w:spacing w:line="360" w:lineRule="auto"/>
        <w:ind w:firstLine="480" w:firstLineChars="200"/>
        <w:jc w:val="both"/>
        <w:rPr>
          <w:rFonts w:hint="default" w:ascii="Times New Roman" w:hAnsi="Times New Roman" w:cs="Times New Roman"/>
          <w:color w:val="auto"/>
          <w:sz w:val="24"/>
          <w:highlight w:val="none"/>
          <w:lang w:eastAsia="zh-CN"/>
        </w:rPr>
      </w:pPr>
      <w:r>
        <w:rPr>
          <w:rFonts w:hint="eastAsia" w:cs="Times New Roman"/>
          <w:color w:val="auto"/>
          <w:sz w:val="24"/>
          <w:highlight w:val="none"/>
          <w:lang w:eastAsia="zh-CN"/>
        </w:rPr>
        <w:t>本工程总</w:t>
      </w:r>
      <w:r>
        <w:rPr>
          <w:rFonts w:hint="default" w:ascii="Times New Roman" w:hAnsi="Times New Roman" w:cs="Times New Roman"/>
          <w:color w:val="auto"/>
          <w:sz w:val="24"/>
          <w:highlight w:val="none"/>
        </w:rPr>
        <w:t>土方开挖</w:t>
      </w:r>
      <w:r>
        <w:rPr>
          <w:rFonts w:hint="eastAsia" w:cs="Times New Roman"/>
          <w:color w:val="auto"/>
          <w:sz w:val="24"/>
          <w:highlight w:val="none"/>
          <w:lang w:val="en-US" w:eastAsia="zh-CN"/>
        </w:rPr>
        <w:t>152.92</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总</w:t>
      </w:r>
      <w:r>
        <w:rPr>
          <w:rFonts w:hint="default" w:ascii="Times New Roman" w:hAnsi="Times New Roman" w:cs="Times New Roman"/>
          <w:color w:val="auto"/>
          <w:sz w:val="24"/>
          <w:highlight w:val="none"/>
        </w:rPr>
        <w:t>土方回填</w:t>
      </w:r>
      <w:r>
        <w:rPr>
          <w:rFonts w:hint="eastAsia" w:cs="Times New Roman"/>
          <w:color w:val="auto"/>
          <w:sz w:val="24"/>
          <w:highlight w:val="none"/>
          <w:lang w:val="en-US" w:eastAsia="zh-CN"/>
        </w:rPr>
        <w:t>16.93</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。其中</w:t>
      </w:r>
      <w:r>
        <w:rPr>
          <w:rFonts w:hint="eastAsia" w:cs="Times New Roman"/>
          <w:color w:val="auto"/>
          <w:sz w:val="24"/>
          <w:highlight w:val="none"/>
          <w:lang w:eastAsia="zh-CN"/>
        </w:rPr>
        <w:t>一期工程土方开挖</w:t>
      </w:r>
      <w:r>
        <w:rPr>
          <w:rFonts w:hint="eastAsia" w:cs="Times New Roman"/>
          <w:color w:val="auto"/>
          <w:sz w:val="24"/>
          <w:highlight w:val="none"/>
          <w:lang w:val="en-US" w:eastAsia="zh-CN"/>
        </w:rPr>
        <w:t>16.93万</w:t>
      </w:r>
      <w:r>
        <w:rPr>
          <w:rFonts w:hint="default" w:ascii="Times New Roman" w:hAnsi="Times New Roman" w:cs="Times New Roman"/>
          <w:color w:val="auto"/>
          <w:sz w:val="24"/>
          <w:highlight w:val="none"/>
        </w:rPr>
        <w:t>m³</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土方回填</w:t>
      </w:r>
      <w:r>
        <w:rPr>
          <w:rFonts w:hint="eastAsia" w:cs="Times New Roman"/>
          <w:color w:val="auto"/>
          <w:sz w:val="24"/>
          <w:highlight w:val="none"/>
          <w:lang w:val="en-US" w:eastAsia="zh-CN"/>
        </w:rPr>
        <w:t>16.93</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lang w:eastAsia="zh-CN"/>
        </w:rPr>
        <w:t>（其中</w:t>
      </w:r>
      <w:r>
        <w:rPr>
          <w:rFonts w:hint="eastAsia" w:cs="Times New Roman"/>
          <w:color w:val="auto"/>
          <w:sz w:val="24"/>
          <w:highlight w:val="none"/>
          <w:lang w:val="en-US" w:eastAsia="zh-CN"/>
        </w:rPr>
        <w:t>4.42</w:t>
      </w:r>
      <w:r>
        <w:rPr>
          <w:rFonts w:hint="default" w:ascii="Times New Roman" w:hAnsi="Times New Roman" w:cs="Times New Roman"/>
          <w:color w:val="auto"/>
          <w:sz w:val="24"/>
          <w:highlight w:val="none"/>
        </w:rPr>
        <w:t>万m³</w:t>
      </w:r>
      <w:r>
        <w:rPr>
          <w:rFonts w:hint="eastAsia" w:cs="Times New Roman"/>
          <w:color w:val="auto"/>
          <w:sz w:val="24"/>
          <w:highlight w:val="none"/>
          <w:lang w:eastAsia="zh-CN"/>
        </w:rPr>
        <w:t>为河道疏浚及道路开挖多余），挖填平衡；二期工程清淤及临时道路开挖土方共计</w:t>
      </w:r>
      <w:r>
        <w:rPr>
          <w:rFonts w:hint="eastAsia" w:cs="Times New Roman"/>
          <w:color w:val="auto"/>
          <w:sz w:val="24"/>
          <w:highlight w:val="none"/>
          <w:lang w:val="en-US" w:eastAsia="zh-CN"/>
        </w:rPr>
        <w:t>136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eastAsia" w:cs="Times New Roman"/>
          <w:color w:val="auto"/>
          <w:sz w:val="24"/>
          <w:highlight w:val="none"/>
          <w:vertAlign w:val="baseline"/>
          <w:lang w:eastAsia="zh-CN"/>
        </w:rPr>
        <w:t>，</w:t>
      </w:r>
      <w:r>
        <w:rPr>
          <w:rFonts w:hint="eastAsia" w:cs="Times New Roman"/>
          <w:color w:val="auto"/>
          <w:sz w:val="24"/>
          <w:highlight w:val="none"/>
          <w:lang w:eastAsia="zh-CN"/>
        </w:rPr>
        <w:t>疏浚土方在河底自然晾干后运至川口河段用于护岸工程土方回填，水库淤泥在库底自然晾干，淤泥及临时道路开挖土方运至水库附近</w:t>
      </w:r>
      <w:r>
        <w:rPr>
          <w:rFonts w:hint="eastAsia" w:cs="Times New Roman"/>
          <w:color w:val="auto"/>
          <w:sz w:val="24"/>
          <w:highlight w:val="none"/>
          <w:vertAlign w:val="baseline"/>
          <w:lang w:val="en-US" w:eastAsia="zh-CN"/>
        </w:rPr>
        <w:t>7处堆场依次堆存。</w:t>
      </w:r>
      <w:r>
        <w:rPr>
          <w:rFonts w:hint="default" w:ascii="Times New Roman" w:hAnsi="Times New Roman" w:cs="Times New Roman"/>
          <w:color w:val="auto"/>
          <w:sz w:val="24"/>
          <w:highlight w:val="none"/>
        </w:rPr>
        <w:t>7座</w:t>
      </w:r>
      <w:r>
        <w:rPr>
          <w:rFonts w:hint="default" w:ascii="Times New Roman" w:hAnsi="Times New Roman" w:cs="Times New Roman"/>
          <w:color w:val="auto"/>
          <w:sz w:val="24"/>
          <w:highlight w:val="none"/>
          <w:lang w:eastAsia="zh-CN"/>
        </w:rPr>
        <w:t>堆场可</w:t>
      </w:r>
      <w:r>
        <w:rPr>
          <w:rFonts w:hint="default" w:ascii="Times New Roman" w:hAnsi="Times New Roman" w:cs="Times New Roman"/>
          <w:color w:val="auto"/>
          <w:sz w:val="24"/>
          <w:highlight w:val="none"/>
        </w:rPr>
        <w:t>消纳容积</w:t>
      </w:r>
      <w:r>
        <w:rPr>
          <w:rFonts w:hint="eastAsia" w:cs="Times New Roman"/>
          <w:color w:val="auto"/>
          <w:sz w:val="24"/>
          <w:highlight w:val="none"/>
          <w:lang w:eastAsia="zh-CN"/>
        </w:rPr>
        <w:t>共计</w:t>
      </w:r>
      <w:r>
        <w:rPr>
          <w:rFonts w:hint="default" w:ascii="Times New Roman" w:hAnsi="Times New Roman" w:cs="Times New Roman"/>
          <w:color w:val="auto"/>
          <w:sz w:val="24"/>
          <w:highlight w:val="none"/>
        </w:rPr>
        <w:t>136万m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lang w:eastAsia="zh-CN"/>
        </w:rPr>
        <w:t>。</w:t>
      </w:r>
    </w:p>
    <w:p w14:paraId="62ABD9EB">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eastAsia="zh-CN"/>
        </w:rPr>
        <w:t>.1.2</w:t>
      </w:r>
      <w:r>
        <w:rPr>
          <w:rFonts w:hint="default" w:ascii="Times New Roman" w:hAnsi="Times New Roman" w:cs="Times New Roman"/>
          <w:color w:val="auto"/>
          <w:sz w:val="28"/>
          <w:szCs w:val="28"/>
          <w:highlight w:val="none"/>
          <w:lang w:val="en-US" w:eastAsia="zh-CN"/>
        </w:rPr>
        <w:t>生活垃圾</w:t>
      </w:r>
    </w:p>
    <w:p w14:paraId="7D9CEE2D">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生活垃圾依托租用民房垃圾桶集中收集后</w:t>
      </w:r>
      <w:r>
        <w:rPr>
          <w:rFonts w:hint="default" w:ascii="Times New Roman" w:hAnsi="Times New Roman" w:cs="Times New Roman"/>
          <w:color w:val="auto"/>
          <w:sz w:val="24"/>
          <w:szCs w:val="24"/>
          <w:highlight w:val="none"/>
        </w:rPr>
        <w:t>，交由乡镇环卫部门统一处理，对项目区环境影响轻微。</w:t>
      </w:r>
    </w:p>
    <w:p w14:paraId="26F076B1">
      <w:pPr>
        <w:pStyle w:val="7"/>
        <w:bidi w:val="0"/>
        <w:rPr>
          <w:rFonts w:hint="default" w:ascii="Times New Roman" w:hAnsi="Times New Roman" w:cs="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6.</w:t>
      </w:r>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eastAsia="zh-CN"/>
        </w:rPr>
        <w:t>.1.3建筑垃圾</w:t>
      </w:r>
    </w:p>
    <w:p w14:paraId="41391BC4">
      <w:pPr>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项</w:t>
      </w:r>
      <w:r>
        <w:rPr>
          <w:rFonts w:hint="default" w:ascii="Times New Roman" w:hAnsi="Times New Roman" w:eastAsia="宋体" w:cs="Times New Roman"/>
          <w:color w:val="auto"/>
          <w:sz w:val="24"/>
          <w:szCs w:val="24"/>
          <w:highlight w:val="none"/>
        </w:rPr>
        <w:t>目施工会产生极少量施工废物，这些建筑垃圾统一收集，</w:t>
      </w:r>
      <w:r>
        <w:rPr>
          <w:rFonts w:hint="default" w:ascii="Times New Roman" w:hAnsi="Times New Roman" w:cs="Times New Roman"/>
          <w:color w:val="auto"/>
          <w:sz w:val="24"/>
          <w:szCs w:val="24"/>
          <w:highlight w:val="none"/>
        </w:rPr>
        <w:t>送当地政府指定的建筑垃圾</w:t>
      </w:r>
      <w:r>
        <w:rPr>
          <w:rFonts w:hint="eastAsia" w:cs="Times New Roman"/>
          <w:color w:val="auto"/>
          <w:sz w:val="24"/>
          <w:szCs w:val="24"/>
          <w:highlight w:val="none"/>
          <w:lang w:eastAsia="zh-CN"/>
        </w:rPr>
        <w:t>消纳场处置</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工程施工期产生的建筑垃圾均设计采用合理可行的再利用方案和妥善处置，对环境的影响很小。</w:t>
      </w:r>
    </w:p>
    <w:p w14:paraId="41461DCD">
      <w:pPr>
        <w:pStyle w:val="6"/>
        <w:bidi w:val="0"/>
        <w:rPr>
          <w:rFonts w:hint="default" w:ascii="Times New Roman" w:hAnsi="Times New Roman" w:cs="Times New Roman"/>
          <w:color w:val="auto"/>
          <w:sz w:val="28"/>
          <w:szCs w:val="28"/>
          <w:highlight w:val="none"/>
          <w:lang w:eastAsia="zh-CN"/>
        </w:rPr>
      </w:pPr>
      <w:bookmarkStart w:id="5999" w:name="_Toc22626"/>
      <w:bookmarkStart w:id="6000" w:name="_Toc28904"/>
      <w:bookmarkStart w:id="6001" w:name="_Toc17850"/>
      <w:r>
        <w:rPr>
          <w:rFonts w:hint="default" w:ascii="Times New Roman" w:hAnsi="Times New Roman" w:cs="Times New Roman"/>
          <w:color w:val="auto"/>
          <w:sz w:val="28"/>
          <w:szCs w:val="28"/>
          <w:highlight w:val="none"/>
          <w:lang w:val="en-US" w:eastAsia="zh-CN"/>
        </w:rPr>
        <w:t>6.7</w:t>
      </w:r>
      <w:r>
        <w:rPr>
          <w:rFonts w:hint="default" w:ascii="Times New Roman" w:hAnsi="Times New Roman" w:cs="Times New Roman"/>
          <w:color w:val="auto"/>
          <w:sz w:val="28"/>
          <w:szCs w:val="28"/>
          <w:highlight w:val="none"/>
          <w:lang w:eastAsia="zh-CN"/>
        </w:rPr>
        <w:t>.2营期环境影响分析</w:t>
      </w:r>
      <w:bookmarkEnd w:id="5999"/>
      <w:bookmarkEnd w:id="6000"/>
      <w:bookmarkEnd w:id="6001"/>
    </w:p>
    <w:p w14:paraId="4492AB0E">
      <w:pPr>
        <w:bidi w:val="0"/>
        <w:jc w:val="both"/>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运营期无固体废物产生，对环境无影响。</w:t>
      </w:r>
    </w:p>
    <w:p w14:paraId="745F6348">
      <w:pPr>
        <w:pStyle w:val="4"/>
        <w:bidi w:val="0"/>
        <w:ind w:left="0" w:leftChars="0" w:firstLine="0" w:firstLineChars="0"/>
        <w:rPr>
          <w:rFonts w:hint="default" w:ascii="Times New Roman" w:hAnsi="Times New Roman" w:cs="Times New Roman"/>
          <w:color w:val="auto"/>
          <w:sz w:val="28"/>
          <w:szCs w:val="28"/>
          <w:highlight w:val="none"/>
          <w:lang w:eastAsia="zh-CN"/>
        </w:rPr>
      </w:pPr>
      <w:bookmarkStart w:id="6002" w:name="_Toc1742"/>
      <w:bookmarkStart w:id="6003" w:name="_Toc26146"/>
      <w:bookmarkStart w:id="6004" w:name="_Toc13014"/>
      <w:bookmarkStart w:id="6005" w:name="_Toc3438"/>
      <w:r>
        <w:rPr>
          <w:rFonts w:hint="default" w:ascii="Times New Roman" w:hAnsi="Times New Roman" w:cs="Times New Roman"/>
          <w:color w:val="auto"/>
          <w:sz w:val="28"/>
          <w:szCs w:val="28"/>
          <w:highlight w:val="none"/>
          <w:lang w:val="en-US" w:eastAsia="zh-CN"/>
        </w:rPr>
        <w:t>6.8</w:t>
      </w:r>
      <w:r>
        <w:rPr>
          <w:rFonts w:hint="default" w:ascii="Times New Roman" w:hAnsi="Times New Roman" w:cs="Times New Roman"/>
          <w:color w:val="auto"/>
          <w:sz w:val="28"/>
          <w:szCs w:val="28"/>
          <w:highlight w:val="none"/>
          <w:lang w:eastAsia="zh-CN"/>
        </w:rPr>
        <w:t>环境风险分析</w:t>
      </w:r>
      <w:bookmarkEnd w:id="6002"/>
      <w:bookmarkEnd w:id="6003"/>
      <w:bookmarkEnd w:id="6004"/>
      <w:bookmarkEnd w:id="6005"/>
    </w:p>
    <w:p w14:paraId="274B3587">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工程投资规模较大、涉及范围较广、建设内容较多、施工工期较长、影响因素较多，工程建设和运行中可能存在一些不确定的突发性事故风险因素，造成一定的环境风险，因此，有必要进行环境风险分析，并采取必要的措施。</w:t>
      </w:r>
    </w:p>
    <w:p w14:paraId="1A678B44">
      <w:pPr>
        <w:pStyle w:val="6"/>
        <w:bidi w:val="0"/>
        <w:rPr>
          <w:rFonts w:hint="default" w:ascii="Times New Roman" w:hAnsi="Times New Roman" w:cs="Times New Roman"/>
          <w:color w:val="auto"/>
          <w:sz w:val="28"/>
          <w:szCs w:val="28"/>
          <w:highlight w:val="none"/>
          <w:lang w:eastAsia="zh-CN"/>
        </w:rPr>
      </w:pPr>
      <w:bookmarkStart w:id="6006" w:name="_Toc16929"/>
      <w:bookmarkStart w:id="6007" w:name="_Toc30355"/>
      <w:bookmarkStart w:id="6008" w:name="_Toc17475"/>
      <w:r>
        <w:rPr>
          <w:rFonts w:hint="default" w:ascii="Times New Roman" w:hAnsi="Times New Roman" w:cs="Times New Roman"/>
          <w:color w:val="auto"/>
          <w:sz w:val="28"/>
          <w:szCs w:val="28"/>
          <w:highlight w:val="none"/>
          <w:lang w:val="en-US" w:eastAsia="zh-CN"/>
        </w:rPr>
        <w:t>6.8.1</w:t>
      </w:r>
      <w:r>
        <w:rPr>
          <w:rFonts w:hint="default" w:ascii="Times New Roman" w:hAnsi="Times New Roman" w:cs="Times New Roman"/>
          <w:color w:val="auto"/>
          <w:sz w:val="28"/>
          <w:szCs w:val="28"/>
          <w:highlight w:val="none"/>
          <w:lang w:eastAsia="zh-CN"/>
        </w:rPr>
        <w:t>风险因素识别</w:t>
      </w:r>
      <w:bookmarkEnd w:id="6006"/>
      <w:bookmarkEnd w:id="6007"/>
      <w:bookmarkEnd w:id="6008"/>
    </w:p>
    <w:p w14:paraId="33B378F7">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6.8.1.1施工期</w:t>
      </w:r>
    </w:p>
    <w:p w14:paraId="213C8976">
      <w:pPr>
        <w:bidi w:val="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（1）污废水事故源</w:t>
      </w:r>
    </w:p>
    <w:p w14:paraId="705D6D94">
      <w:pPr>
        <w:bidi w:val="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工程施工期间将产生一定的污废水，混凝土养护废水、机械车辆冲洗废水等正常情况下沉淀处理后回用，不会对地表水体产生影响。</w:t>
      </w:r>
    </w:p>
    <w:p w14:paraId="56B03EC1">
      <w:pPr>
        <w:bidi w:val="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（2）洪水风险</w:t>
      </w:r>
    </w:p>
    <w:p w14:paraId="24753029">
      <w:pPr>
        <w:bidi w:val="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工程部分项目施工期较长，在雨季可能因暴雨产生的洪水影响工程施工。</w:t>
      </w:r>
    </w:p>
    <w:p w14:paraId="2935619C">
      <w:pPr>
        <w:pStyle w:val="6"/>
        <w:bidi w:val="0"/>
        <w:rPr>
          <w:rFonts w:hint="default" w:ascii="Times New Roman" w:hAnsi="Times New Roman" w:cs="Times New Roman"/>
          <w:color w:val="auto"/>
          <w:sz w:val="28"/>
          <w:szCs w:val="28"/>
          <w:highlight w:val="none"/>
          <w:lang w:val="en-US" w:eastAsia="zh-CN"/>
        </w:rPr>
      </w:pPr>
      <w:bookmarkStart w:id="6009" w:name="_Toc17305"/>
      <w:bookmarkStart w:id="6010" w:name="_Toc6896"/>
      <w:bookmarkStart w:id="6011" w:name="_Toc16487"/>
      <w:r>
        <w:rPr>
          <w:rFonts w:hint="default" w:ascii="Times New Roman" w:hAnsi="Times New Roman" w:cs="Times New Roman"/>
          <w:color w:val="auto"/>
          <w:sz w:val="28"/>
          <w:szCs w:val="28"/>
          <w:highlight w:val="none"/>
          <w:lang w:val="en-US" w:eastAsia="zh-CN"/>
        </w:rPr>
        <w:t>6.8.2风险评价</w:t>
      </w:r>
      <w:bookmarkEnd w:id="6009"/>
      <w:bookmarkEnd w:id="6010"/>
      <w:bookmarkEnd w:id="6011"/>
    </w:p>
    <w:p w14:paraId="3C9FE780">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6.8.2.1施工期</w:t>
      </w:r>
    </w:p>
    <w:p w14:paraId="619E37C5">
      <w:pPr>
        <w:jc w:val="both"/>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施工机械、车辆溢油风险</w:t>
      </w:r>
    </w:p>
    <w:p w14:paraId="557316FD">
      <w:pPr>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本工程施工机械、车辆包括反铲挖掘机、推土机、自卸汽车等，施工机械在施工作业及行进过程中，由于自然灾害及人为操作失误或与其他车辆发生碰撞而可能引起油品</w:t>
      </w:r>
      <w:r>
        <w:rPr>
          <w:rFonts w:hint="eastAsia" w:cs="Times New Roman"/>
          <w:color w:val="auto"/>
          <w:sz w:val="24"/>
          <w:szCs w:val="24"/>
          <w:highlight w:val="none"/>
          <w:lang w:val="en-US" w:eastAsia="zh-CN"/>
        </w:rPr>
        <w:t>泄漏</w:t>
      </w:r>
      <w:r>
        <w:rPr>
          <w:rFonts w:hint="default" w:ascii="Times New Roman" w:hAnsi="Times New Roman" w:cs="Times New Roman"/>
          <w:color w:val="auto"/>
          <w:sz w:val="24"/>
          <w:szCs w:val="24"/>
          <w:highlight w:val="none"/>
          <w:lang w:val="en-US" w:eastAsia="zh-CN"/>
        </w:rPr>
        <w:t>。施工所用机械仅自带燃油，载油量少，一般的管理操作失误或碰撞不会引起溢油事故，即使发生溢油事故，源强也较小。另外施工机械车辆运行时速较低，也不会产生较为剧烈的碰撞。且施工期会尽量避开大风、暴雨、大雾等灾害性天气，因此造成施工机械车辆溢油事故发生的概率相对较小。</w:t>
      </w:r>
    </w:p>
    <w:p w14:paraId="4E17DFF2">
      <w:pPr>
        <w:jc w:val="both"/>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施工期污废水事故排放风险</w:t>
      </w:r>
    </w:p>
    <w:p w14:paraId="7BE37096">
      <w:pPr>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工程建设期间各类污废水均进行处理并回用，在各处理系统正常运行情况下不会对地表水造成影响。工程建设期间的污水成分相对简单且间歇产生，并且采用成熟可靠的处理工艺，发生事故排放的概率很小。加强施工设备维护，配备备用电源，一旦发生事故，废水处理设施不能正常运转时，应立即停止施工，进行设备修理，待设备恢复正常后，方可开始施工。</w:t>
      </w:r>
    </w:p>
    <w:p w14:paraId="01A28463">
      <w:pPr>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洪水对工程施工的风险</w:t>
      </w:r>
      <w:r>
        <w:rPr>
          <w:rFonts w:hint="eastAsia" w:cs="Times New Roman"/>
          <w:color w:val="auto"/>
          <w:sz w:val="24"/>
          <w:szCs w:val="24"/>
          <w:highlight w:val="none"/>
          <w:lang w:val="en-US" w:eastAsia="zh-CN"/>
        </w:rPr>
        <w:t>评价</w:t>
      </w:r>
    </w:p>
    <w:p w14:paraId="6576594E">
      <w:pPr>
        <w:jc w:val="both"/>
        <w:rPr>
          <w:rFonts w:hint="eastAsia" w:cs="Times New Roman"/>
          <w:color w:val="auto"/>
          <w:sz w:val="24"/>
          <w:szCs w:val="24"/>
          <w:highlight w:val="none"/>
          <w:lang w:val="en-US" w:eastAsia="zh-CN"/>
        </w:rPr>
      </w:pPr>
      <w:r>
        <w:rPr>
          <w:rFonts w:hint="eastAsia" w:cs="Times New Roman"/>
          <w:color w:val="auto"/>
          <w:sz w:val="24"/>
          <w:szCs w:val="24"/>
          <w:highlight w:val="none"/>
          <w:lang w:eastAsia="zh-CN"/>
        </w:rPr>
        <w:t>项目河道疏浚及库底清淤均安排在枯水季进行，发生洪水概率较小，</w:t>
      </w:r>
      <w:r>
        <w:rPr>
          <w:rFonts w:hint="default" w:ascii="Times New Roman" w:hAnsi="Times New Roman" w:eastAsia="宋体" w:cs="Times New Roman"/>
          <w:color w:val="auto"/>
          <w:sz w:val="24"/>
          <w:szCs w:val="24"/>
          <w:highlight w:val="none"/>
          <w:lang w:val="en-US" w:eastAsia="zh-CN"/>
        </w:rPr>
        <w:t>结合工程布置和现场地形条件，施工导流</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宁夏中部地区</w:t>
      </w:r>
      <w:r>
        <w:rPr>
          <w:rFonts w:hint="eastAsia"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lang w:val="en-US" w:eastAsia="zh-CN"/>
        </w:rPr>
        <w:t>典型黄土丘陵地貌，具有半干旱区降雨的一般特性，降雨一般集中在每年的6</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9月，降雨一般为短历时暴雨，笼罩面积不大，且区域蒸发量远大于降雨量，因此，洪水对工程施工的风险很小</w:t>
      </w:r>
      <w:r>
        <w:rPr>
          <w:rFonts w:hint="eastAsia" w:cs="Times New Roman"/>
          <w:color w:val="auto"/>
          <w:sz w:val="24"/>
          <w:szCs w:val="24"/>
          <w:highlight w:val="none"/>
          <w:lang w:val="en-US" w:eastAsia="zh-CN"/>
        </w:rPr>
        <w:t>。</w:t>
      </w:r>
    </w:p>
    <w:p w14:paraId="76C21D87">
      <w:pPr>
        <w:pStyle w:val="2"/>
        <w:jc w:val="both"/>
        <w:rPr>
          <w:rFonts w:ascii="宋体" w:hAnsi="宋体" w:eastAsia="宋体" w:cs="宋体"/>
          <w:b w:val="0"/>
          <w:bCs w:val="0"/>
          <w:color w:val="auto"/>
          <w:sz w:val="24"/>
          <w:szCs w:val="24"/>
          <w:highlight w:val="none"/>
        </w:rPr>
      </w:pPr>
      <w:r>
        <w:rPr>
          <w:rFonts w:hint="eastAsia"/>
          <w:b w:val="0"/>
          <w:bCs w:val="0"/>
          <w:color w:val="auto"/>
          <w:highlight w:val="none"/>
          <w:lang w:eastAsia="zh-CN"/>
        </w:rPr>
        <w:t>（</w:t>
      </w:r>
      <w:r>
        <w:rPr>
          <w:rFonts w:hint="eastAsia"/>
          <w:b w:val="0"/>
          <w:bCs w:val="0"/>
          <w:color w:val="auto"/>
          <w:highlight w:val="none"/>
          <w:lang w:val="en-US" w:eastAsia="zh-CN"/>
        </w:rPr>
        <w:t>4</w:t>
      </w:r>
      <w:r>
        <w:rPr>
          <w:rFonts w:hint="eastAsia"/>
          <w:b w:val="0"/>
          <w:bCs w:val="0"/>
          <w:color w:val="auto"/>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bidi="ar-SA"/>
        </w:rPr>
        <w:t>污泥堆存区溃坝风险评价</w:t>
      </w:r>
    </w:p>
    <w:p w14:paraId="068D3AE2">
      <w:pPr>
        <w:jc w:val="both"/>
        <w:rPr>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堆场选址于水库库尾凹湾，地形天然利于淤泥堆存；设计已设置拦泥护脚、格宾防护、排水滤层及PE排水花管等抗风险设施，且堆填过程严格遵循“分层碾压、错缝堆筑”工艺，正常工况下溃坝概率极低。但极端暴雨（如百年一遇短历时暴雨）或施工质量管控不到位时，存在局部失稳进而引发溃坝的潜在风险。若发生溃坝，堆存的淤泥将随水流冲刷进入茹河主河道及周边区域，导致地表水SS浓度急剧升高，污染范围波及堆场下游1-3km河道；淤泥中夹带的营养盐会加剧水体富营养化风险，同时冲刷过程可能破坏周边植被，极端情况下威胁下游近距离居民区的人身财产安全。</w:t>
      </w:r>
    </w:p>
    <w:p w14:paraId="1A870824">
      <w:pPr>
        <w:pStyle w:val="2"/>
        <w:jc w:val="both"/>
        <w:rPr>
          <w:rFonts w:hint="default"/>
          <w:color w:val="auto"/>
          <w:highlight w:val="none"/>
          <w:lang w:val="en-US" w:eastAsia="zh-CN"/>
        </w:rPr>
        <w:sectPr>
          <w:head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5B2861D">
      <w:pPr>
        <w:pStyle w:val="3"/>
        <w:bidi w:val="0"/>
        <w:outlineLvl w:val="0"/>
        <w:rPr>
          <w:rFonts w:hint="default" w:ascii="Times New Roman" w:hAnsi="Times New Roman" w:cs="Times New Roman"/>
          <w:color w:val="auto"/>
          <w:sz w:val="28"/>
          <w:szCs w:val="28"/>
          <w:highlight w:val="none"/>
          <w:lang w:val="en-US" w:eastAsia="zh-CN"/>
        </w:rPr>
      </w:pPr>
      <w:bookmarkStart w:id="6012" w:name="_Toc3546"/>
      <w:bookmarkStart w:id="6013" w:name="_Toc6945"/>
      <w:bookmarkStart w:id="6014" w:name="_Toc869"/>
      <w:bookmarkStart w:id="6015" w:name="_Toc27836"/>
      <w:r>
        <w:rPr>
          <w:rFonts w:hint="default" w:ascii="Times New Roman" w:hAnsi="Times New Roman" w:cs="Times New Roman"/>
          <w:color w:val="auto"/>
          <w:sz w:val="28"/>
          <w:szCs w:val="28"/>
          <w:highlight w:val="none"/>
          <w:lang w:val="en-US" w:eastAsia="zh-CN"/>
        </w:rPr>
        <w:t>7 环境保护措施及其可行性分析</w:t>
      </w:r>
      <w:bookmarkEnd w:id="6012"/>
      <w:bookmarkEnd w:id="6013"/>
      <w:bookmarkEnd w:id="6014"/>
      <w:bookmarkEnd w:id="6015"/>
    </w:p>
    <w:p w14:paraId="59E76001">
      <w:pPr>
        <w:pStyle w:val="3"/>
        <w:bidi w:val="0"/>
        <w:outlineLvl w:val="1"/>
        <w:rPr>
          <w:rFonts w:hint="default" w:ascii="Times New Roman" w:hAnsi="Times New Roman" w:cs="Times New Roman"/>
          <w:color w:val="auto"/>
          <w:sz w:val="28"/>
          <w:szCs w:val="28"/>
          <w:highlight w:val="none"/>
          <w:lang w:val="en-US" w:eastAsia="zh-CN"/>
        </w:rPr>
      </w:pPr>
      <w:bookmarkStart w:id="6016" w:name="_Toc24029"/>
      <w:bookmarkStart w:id="6017" w:name="_Toc12238"/>
      <w:bookmarkStart w:id="6018" w:name="_Toc19916"/>
      <w:bookmarkStart w:id="6019" w:name="_Toc15074"/>
      <w:r>
        <w:rPr>
          <w:rFonts w:hint="default" w:ascii="Times New Roman" w:hAnsi="Times New Roman" w:cs="Times New Roman"/>
          <w:color w:val="auto"/>
          <w:sz w:val="28"/>
          <w:szCs w:val="28"/>
          <w:highlight w:val="none"/>
          <w:lang w:val="en-US" w:eastAsia="zh-CN"/>
        </w:rPr>
        <w:t>7.1生态环境保护措施</w:t>
      </w:r>
      <w:bookmarkEnd w:id="6016"/>
      <w:bookmarkEnd w:id="6017"/>
      <w:bookmarkEnd w:id="6018"/>
      <w:bookmarkEnd w:id="6019"/>
    </w:p>
    <w:p w14:paraId="1B4C5F70">
      <w:pPr>
        <w:pStyle w:val="6"/>
        <w:bidi w:val="0"/>
        <w:rPr>
          <w:rFonts w:hint="default" w:ascii="Times New Roman" w:hAnsi="Times New Roman" w:cs="Times New Roman"/>
          <w:color w:val="auto"/>
          <w:sz w:val="28"/>
          <w:szCs w:val="28"/>
          <w:highlight w:val="none"/>
          <w:lang w:val="en-US" w:eastAsia="zh-CN"/>
        </w:rPr>
      </w:pPr>
      <w:bookmarkStart w:id="6020" w:name="_Toc27740"/>
      <w:bookmarkStart w:id="6021" w:name="_Toc17732"/>
      <w:bookmarkStart w:id="6022" w:name="_Toc7138"/>
      <w:r>
        <w:rPr>
          <w:rFonts w:hint="default" w:ascii="Times New Roman" w:hAnsi="Times New Roman" w:cs="Times New Roman"/>
          <w:color w:val="auto"/>
          <w:sz w:val="28"/>
          <w:szCs w:val="28"/>
          <w:highlight w:val="none"/>
          <w:lang w:val="en-US" w:eastAsia="zh-CN"/>
        </w:rPr>
        <w:t>7.1.1陆生生态保护措施</w:t>
      </w:r>
      <w:bookmarkEnd w:id="6020"/>
      <w:bookmarkEnd w:id="6021"/>
      <w:bookmarkEnd w:id="6022"/>
    </w:p>
    <w:p w14:paraId="047A6811">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7.1.1.1植物保护措施</w:t>
      </w:r>
    </w:p>
    <w:p w14:paraId="56B122C3">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根据工程建设对植物资源影响因素、影响方式，考虑措施可操作性和经济性，从减缓、恢复、管理方面提出保护措施。</w:t>
      </w:r>
    </w:p>
    <w:p w14:paraId="03D7747C">
      <w:pPr>
        <w:bidi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减缓措施</w:t>
      </w:r>
    </w:p>
    <w:p w14:paraId="7418A8E4">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①优化施工布置，合理规划占地，严格控制占地面积。根据工程可研报告的施工组织设计，</w:t>
      </w:r>
      <w:r>
        <w:rPr>
          <w:rFonts w:hint="default" w:ascii="Times New Roman" w:hAnsi="Times New Roman" w:cs="Times New Roman"/>
          <w:color w:val="auto"/>
          <w:sz w:val="24"/>
          <w:szCs w:val="24"/>
          <w:highlight w:val="none"/>
          <w:lang w:val="en-US" w:eastAsia="zh-CN"/>
        </w:rPr>
        <w:t>工程设置</w:t>
      </w:r>
      <w:r>
        <w:rPr>
          <w:rFonts w:hint="default" w:ascii="Times New Roman" w:hAnsi="Times New Roman" w:cs="Times New Roman"/>
          <w:color w:val="auto"/>
          <w:sz w:val="24"/>
          <w:szCs w:val="24"/>
          <w:highlight w:val="none"/>
        </w:rPr>
        <w:t>施工</w:t>
      </w:r>
      <w:r>
        <w:rPr>
          <w:rFonts w:hint="eastAsia" w:cs="Times New Roman"/>
          <w:color w:val="auto"/>
          <w:sz w:val="24"/>
          <w:szCs w:val="24"/>
          <w:highlight w:val="none"/>
          <w:lang w:eastAsia="zh-CN"/>
        </w:rPr>
        <w:t>工区</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处。鉴于以上临时工程在施工期可能对周边产生的生态环境影响，建议进一步优化施工组织设计，将临近的料场、施工营地合并处理，或在设置营地时利用周边闲置的农村住房，最大程度</w:t>
      </w:r>
      <w:r>
        <w:rPr>
          <w:rFonts w:hint="eastAsia" w:cs="Times New Roman"/>
          <w:color w:val="auto"/>
          <w:sz w:val="24"/>
          <w:szCs w:val="24"/>
          <w:highlight w:val="none"/>
          <w:lang w:eastAsia="zh-CN"/>
        </w:rPr>
        <w:t>地</w:t>
      </w:r>
      <w:r>
        <w:rPr>
          <w:rFonts w:hint="default" w:ascii="Times New Roman" w:hAnsi="Times New Roman" w:cs="Times New Roman"/>
          <w:color w:val="auto"/>
          <w:sz w:val="24"/>
          <w:szCs w:val="24"/>
          <w:highlight w:val="none"/>
        </w:rPr>
        <w:t>减缓工程施工对区域生态环境影响。</w:t>
      </w:r>
    </w:p>
    <w:p w14:paraId="43D46C80">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②施工期间，施工占地周围设置5m宽的作业范围，施工车辆、人员必须在作业带内活动，严禁随意扩大扰动范围。</w:t>
      </w:r>
    </w:p>
    <w:p w14:paraId="6097F007">
      <w:pPr>
        <w:bidi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恢复措施</w:t>
      </w:r>
    </w:p>
    <w:p w14:paraId="2768F777">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工程占压包括永久占压和临时占压，对生态环境的影响主要表现为压埋植被、水土流失加重等。工程应根据建筑物的布置、主体工程施工方法及施工区地形等情况，进行规划布置，尽可能</w:t>
      </w:r>
      <w:r>
        <w:rPr>
          <w:rFonts w:hint="eastAsia" w:cs="Times New Roman"/>
          <w:color w:val="auto"/>
          <w:sz w:val="24"/>
          <w:szCs w:val="24"/>
          <w:highlight w:val="none"/>
          <w:lang w:eastAsia="zh-CN"/>
        </w:rPr>
        <w:t>地</w:t>
      </w:r>
      <w:r>
        <w:rPr>
          <w:rFonts w:hint="default" w:ascii="Times New Roman" w:hAnsi="Times New Roman" w:cs="Times New Roman"/>
          <w:color w:val="auto"/>
          <w:sz w:val="24"/>
          <w:szCs w:val="24"/>
          <w:highlight w:val="none"/>
        </w:rPr>
        <w:t>减少工程占压对植被的破坏。</w:t>
      </w:r>
    </w:p>
    <w:p w14:paraId="0490EBD7">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①临时占地植被恢复措施</w:t>
      </w:r>
    </w:p>
    <w:p w14:paraId="6AA16106">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临时占地主要包括施工</w:t>
      </w:r>
      <w:r>
        <w:rPr>
          <w:rFonts w:hint="default" w:ascii="Times New Roman" w:hAnsi="Times New Roman" w:cs="Times New Roman"/>
          <w:color w:val="auto"/>
          <w:sz w:val="24"/>
          <w:szCs w:val="24"/>
          <w:highlight w:val="none"/>
          <w:lang w:val="en-US" w:eastAsia="zh-CN"/>
        </w:rPr>
        <w:t>工区</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临时施工道路</w:t>
      </w:r>
      <w:r>
        <w:rPr>
          <w:rFonts w:hint="eastAsia" w:cs="Times New Roman"/>
          <w:color w:val="auto"/>
          <w:sz w:val="24"/>
          <w:szCs w:val="24"/>
          <w:highlight w:val="none"/>
          <w:lang w:val="en-US" w:eastAsia="zh-CN"/>
        </w:rPr>
        <w:t>及堆场</w:t>
      </w:r>
      <w:r>
        <w:rPr>
          <w:rFonts w:hint="default"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24"/>
          <w:highlight w:val="none"/>
        </w:rPr>
        <w:t>。施工完成以后，应及时对临时施工场地进行平整，采取植被恢复措施。</w:t>
      </w:r>
    </w:p>
    <w:p w14:paraId="506DAF13">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具体见表7.1-1。</w:t>
      </w:r>
    </w:p>
    <w:p w14:paraId="20F95516">
      <w:pPr>
        <w:jc w:val="center"/>
        <w:rPr>
          <w:rFonts w:hint="default" w:ascii="Times New Roman" w:hAnsi="Times New Roman" w:cs="Times New Roman"/>
          <w:b/>
          <w:bCs/>
          <w:color w:val="auto"/>
          <w:sz w:val="24"/>
          <w:szCs w:val="24"/>
          <w:highlight w:val="none"/>
        </w:rPr>
      </w:pPr>
    </w:p>
    <w:p w14:paraId="224FD9E8">
      <w:pPr>
        <w:jc w:val="center"/>
        <w:rPr>
          <w:rFonts w:hint="default" w:ascii="Times New Roman" w:hAnsi="Times New Roman" w:cs="Times New Roman"/>
          <w:b/>
          <w:bCs/>
          <w:color w:val="auto"/>
          <w:sz w:val="24"/>
          <w:szCs w:val="24"/>
          <w:highlight w:val="none"/>
        </w:rPr>
      </w:pPr>
    </w:p>
    <w:p w14:paraId="4751FAFD">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表7.1-1占地植物保护和恢复措施</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7670"/>
      </w:tblGrid>
      <w:tr w14:paraId="67DEA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tcBorders>
              <w:tl2br w:val="nil"/>
              <w:tr2bl w:val="nil"/>
            </w:tcBorders>
            <w:vAlign w:val="center"/>
          </w:tcPr>
          <w:p w14:paraId="5C3B3C4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023" w:name="_Toc18819"/>
            <w:bookmarkStart w:id="6024" w:name="_Toc3723"/>
            <w:bookmarkStart w:id="6025" w:name="_Toc13225"/>
            <w:bookmarkStart w:id="6026" w:name="_Toc26780"/>
            <w:bookmarkStart w:id="6027" w:name="_Toc23619"/>
            <w:r>
              <w:rPr>
                <w:rFonts w:hint="default" w:ascii="Times New Roman" w:hAnsi="Times New Roman" w:cs="Times New Roman"/>
                <w:b/>
                <w:bCs/>
                <w:color w:val="auto"/>
                <w:sz w:val="21"/>
                <w:szCs w:val="21"/>
                <w:highlight w:val="none"/>
              </w:rPr>
              <w:t>占地类型</w:t>
            </w:r>
            <w:bookmarkEnd w:id="6023"/>
            <w:bookmarkEnd w:id="6024"/>
            <w:bookmarkEnd w:id="6025"/>
            <w:bookmarkEnd w:id="6026"/>
            <w:bookmarkEnd w:id="6027"/>
          </w:p>
        </w:tc>
        <w:tc>
          <w:tcPr>
            <w:tcW w:w="4234" w:type="pct"/>
            <w:tcBorders>
              <w:tl2br w:val="nil"/>
              <w:tr2bl w:val="nil"/>
            </w:tcBorders>
            <w:vAlign w:val="center"/>
          </w:tcPr>
          <w:p w14:paraId="4DB1167C">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028" w:name="_Toc12170"/>
            <w:bookmarkStart w:id="6029" w:name="_Toc25025"/>
            <w:bookmarkStart w:id="6030" w:name="_Toc17983"/>
            <w:bookmarkStart w:id="6031" w:name="_Toc26150"/>
            <w:bookmarkStart w:id="6032" w:name="_Toc14530"/>
            <w:r>
              <w:rPr>
                <w:rFonts w:hint="default" w:ascii="Times New Roman" w:hAnsi="Times New Roman" w:cs="Times New Roman"/>
                <w:b/>
                <w:bCs/>
                <w:color w:val="auto"/>
                <w:sz w:val="21"/>
                <w:szCs w:val="21"/>
                <w:highlight w:val="none"/>
              </w:rPr>
              <w:t>植被保护及恢复措施</w:t>
            </w:r>
            <w:bookmarkEnd w:id="6028"/>
            <w:bookmarkEnd w:id="6029"/>
            <w:bookmarkEnd w:id="6030"/>
            <w:bookmarkEnd w:id="6031"/>
            <w:bookmarkEnd w:id="6032"/>
          </w:p>
        </w:tc>
      </w:tr>
      <w:tr w14:paraId="509D4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tcBorders>
              <w:tl2br w:val="nil"/>
              <w:tr2bl w:val="nil"/>
            </w:tcBorders>
            <w:vAlign w:val="center"/>
          </w:tcPr>
          <w:p w14:paraId="6AF2957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033" w:name="_Toc25069"/>
            <w:bookmarkStart w:id="6034" w:name="_Toc20912"/>
            <w:bookmarkStart w:id="6035" w:name="_Toc15684"/>
            <w:bookmarkStart w:id="6036" w:name="_Toc3806"/>
            <w:bookmarkStart w:id="6037" w:name="_Toc22938"/>
            <w:r>
              <w:rPr>
                <w:rFonts w:hint="eastAsia" w:cs="Times New Roman"/>
                <w:color w:val="auto"/>
                <w:sz w:val="21"/>
                <w:szCs w:val="21"/>
                <w:highlight w:val="none"/>
                <w:lang w:eastAsia="zh-CN"/>
              </w:rPr>
              <w:t>河滩</w:t>
            </w:r>
            <w:r>
              <w:rPr>
                <w:rFonts w:hint="default" w:ascii="Times New Roman" w:hAnsi="Times New Roman" w:cs="Times New Roman"/>
                <w:color w:val="auto"/>
                <w:sz w:val="21"/>
                <w:szCs w:val="21"/>
                <w:highlight w:val="none"/>
              </w:rPr>
              <w:t>地</w:t>
            </w:r>
            <w:bookmarkEnd w:id="6033"/>
            <w:bookmarkEnd w:id="6034"/>
            <w:bookmarkEnd w:id="6035"/>
            <w:bookmarkEnd w:id="6036"/>
            <w:bookmarkEnd w:id="6037"/>
          </w:p>
        </w:tc>
        <w:tc>
          <w:tcPr>
            <w:tcW w:w="4234" w:type="pct"/>
            <w:tcBorders>
              <w:tl2br w:val="nil"/>
              <w:tr2bl w:val="nil"/>
            </w:tcBorders>
            <w:vAlign w:val="center"/>
          </w:tcPr>
          <w:p w14:paraId="0D95F42B">
            <w:pPr>
              <w:pStyle w:val="29"/>
              <w:suppressLineNumbers w:val="0"/>
              <w:bidi w:val="0"/>
              <w:spacing w:beforeAutospacing="0" w:afterAutospacing="0"/>
              <w:ind w:left="0" w:right="0"/>
              <w:jc w:val="left"/>
              <w:rPr>
                <w:rFonts w:hint="eastAsia" w:ascii="Times New Roman" w:hAnsi="Times New Roman" w:eastAsia="宋体" w:cs="Times New Roman"/>
                <w:color w:val="auto"/>
                <w:sz w:val="21"/>
                <w:szCs w:val="21"/>
                <w:highlight w:val="none"/>
                <w:lang w:eastAsia="zh-CN"/>
              </w:rPr>
            </w:pPr>
            <w:bookmarkStart w:id="6038" w:name="_Toc16653"/>
            <w:bookmarkStart w:id="6039" w:name="_Toc19676"/>
            <w:bookmarkStart w:id="6040" w:name="_Toc30999"/>
            <w:r>
              <w:rPr>
                <w:rFonts w:hint="eastAsia" w:cs="Times New Roman"/>
                <w:color w:val="auto"/>
                <w:sz w:val="21"/>
                <w:szCs w:val="21"/>
                <w:highlight w:val="none"/>
                <w:lang w:eastAsia="zh-CN"/>
              </w:rPr>
              <w:t>堆场及部分施工工区临时占用河滩地。</w:t>
            </w:r>
            <w:bookmarkEnd w:id="6038"/>
            <w:bookmarkEnd w:id="6039"/>
            <w:bookmarkEnd w:id="6040"/>
          </w:p>
          <w:p w14:paraId="4AC9C1FC">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41" w:name="_Toc18330"/>
            <w:bookmarkStart w:id="6042" w:name="_Toc27458"/>
            <w:bookmarkStart w:id="6043" w:name="_Toc14467"/>
            <w:r>
              <w:rPr>
                <w:rFonts w:hint="eastAsia" w:cs="Times New Roman"/>
                <w:color w:val="auto"/>
                <w:sz w:val="21"/>
                <w:szCs w:val="21"/>
                <w:highlight w:val="none"/>
                <w:lang w:eastAsia="zh-CN"/>
              </w:rPr>
              <w:t>①</w:t>
            </w:r>
            <w:r>
              <w:rPr>
                <w:rFonts w:hint="default" w:ascii="Times New Roman" w:hAnsi="Times New Roman" w:cs="Times New Roman"/>
                <w:color w:val="auto"/>
                <w:sz w:val="21"/>
                <w:szCs w:val="21"/>
                <w:highlight w:val="none"/>
              </w:rPr>
              <w:t>表土剥离与回覆：对施工营地进行表土剥离，剥离的表土堆放于该区域一角，与施工材料分开堆放，待施工结束后进行回覆平整。表土剥离厚度30cm。</w:t>
            </w:r>
            <w:bookmarkEnd w:id="6041"/>
            <w:bookmarkEnd w:id="6042"/>
            <w:bookmarkEnd w:id="6043"/>
          </w:p>
          <w:p w14:paraId="29E28CA1">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44" w:name="_Toc5086"/>
            <w:bookmarkStart w:id="6045" w:name="_Toc26188"/>
            <w:bookmarkStart w:id="6046" w:name="_Toc26225"/>
            <w:r>
              <w:rPr>
                <w:rFonts w:hint="default" w:ascii="Times New Roman" w:hAnsi="Times New Roman" w:cs="Times New Roman"/>
                <w:color w:val="auto"/>
                <w:sz w:val="21"/>
                <w:szCs w:val="21"/>
                <w:highlight w:val="none"/>
              </w:rPr>
              <w:t>②机械土地整治：施工结束表土回覆后进行土地整治。</w:t>
            </w:r>
            <w:bookmarkEnd w:id="6044"/>
            <w:bookmarkEnd w:id="6045"/>
            <w:bookmarkEnd w:id="6046"/>
          </w:p>
          <w:p w14:paraId="258A6360">
            <w:pPr>
              <w:pStyle w:val="29"/>
              <w:suppressLineNumbers w:val="0"/>
              <w:bidi w:val="0"/>
              <w:spacing w:beforeAutospacing="0" w:afterAutospacing="0"/>
              <w:ind w:left="0" w:right="0"/>
              <w:jc w:val="left"/>
              <w:rPr>
                <w:rFonts w:hint="eastAsia" w:ascii="Times New Roman" w:hAnsi="Times New Roman" w:eastAsia="宋体" w:cs="Times New Roman"/>
                <w:color w:val="auto"/>
                <w:sz w:val="21"/>
                <w:szCs w:val="21"/>
                <w:highlight w:val="none"/>
                <w:lang w:eastAsia="zh-CN"/>
              </w:rPr>
            </w:pPr>
            <w:bookmarkStart w:id="6047" w:name="_Toc32238"/>
            <w:bookmarkStart w:id="6048" w:name="_Toc21346"/>
            <w:bookmarkStart w:id="6049" w:name="_Toc16424"/>
            <w:r>
              <w:rPr>
                <w:rFonts w:hint="default" w:ascii="Times New Roman" w:hAnsi="Times New Roman" w:cs="Times New Roman"/>
                <w:color w:val="auto"/>
                <w:sz w:val="21"/>
                <w:szCs w:val="21"/>
                <w:highlight w:val="none"/>
              </w:rPr>
              <w:t>③植物措施：通过人工种草措施进行原有植被恢复，种植冰草30%、披碱草30%、紫花苜蓿40%</w:t>
            </w:r>
            <w:r>
              <w:rPr>
                <w:rFonts w:hint="eastAsia" w:cs="Times New Roman"/>
                <w:color w:val="auto"/>
                <w:sz w:val="21"/>
                <w:szCs w:val="21"/>
                <w:highlight w:val="none"/>
                <w:lang w:eastAsia="zh-CN"/>
              </w:rPr>
              <w:t>。</w:t>
            </w:r>
            <w:bookmarkEnd w:id="6047"/>
            <w:bookmarkEnd w:id="6048"/>
            <w:bookmarkEnd w:id="6049"/>
          </w:p>
        </w:tc>
      </w:tr>
      <w:tr w14:paraId="1572E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tcBorders>
              <w:tl2br w:val="nil"/>
              <w:tr2bl w:val="nil"/>
            </w:tcBorders>
            <w:vAlign w:val="center"/>
          </w:tcPr>
          <w:p w14:paraId="6373E0C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050" w:name="_Toc17117"/>
            <w:bookmarkStart w:id="6051" w:name="_Toc2666"/>
            <w:bookmarkStart w:id="6052" w:name="_Toc23316"/>
            <w:bookmarkStart w:id="6053" w:name="_Toc31118"/>
            <w:bookmarkStart w:id="6054" w:name="_Toc28474"/>
            <w:r>
              <w:rPr>
                <w:rFonts w:hint="default" w:ascii="Times New Roman" w:hAnsi="Times New Roman" w:cs="Times New Roman"/>
                <w:color w:val="auto"/>
                <w:sz w:val="21"/>
                <w:szCs w:val="21"/>
                <w:highlight w:val="none"/>
              </w:rPr>
              <w:t>草地</w:t>
            </w:r>
            <w:bookmarkEnd w:id="6050"/>
            <w:bookmarkEnd w:id="6051"/>
            <w:bookmarkEnd w:id="6052"/>
            <w:bookmarkEnd w:id="6053"/>
            <w:bookmarkEnd w:id="6054"/>
          </w:p>
        </w:tc>
        <w:tc>
          <w:tcPr>
            <w:tcW w:w="4234" w:type="pct"/>
            <w:tcBorders>
              <w:tl2br w:val="nil"/>
              <w:tr2bl w:val="nil"/>
            </w:tcBorders>
            <w:vAlign w:val="center"/>
          </w:tcPr>
          <w:p w14:paraId="44AEC4F9">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55" w:name="_Toc6690"/>
            <w:bookmarkStart w:id="6056" w:name="_Toc32370"/>
            <w:bookmarkStart w:id="6057" w:name="_Toc11051"/>
            <w:bookmarkStart w:id="6058" w:name="_Toc1908"/>
            <w:bookmarkStart w:id="6059" w:name="_Toc11254"/>
            <w:r>
              <w:rPr>
                <w:rFonts w:hint="default" w:ascii="Times New Roman" w:hAnsi="Times New Roman" w:cs="Times New Roman"/>
                <w:color w:val="auto"/>
                <w:sz w:val="21"/>
                <w:szCs w:val="21"/>
                <w:highlight w:val="none"/>
                <w:lang w:val="en-US" w:eastAsia="zh-CN"/>
              </w:rPr>
              <w:t>施工工区</w:t>
            </w:r>
            <w:r>
              <w:rPr>
                <w:rFonts w:hint="eastAsia" w:cs="Times New Roman"/>
                <w:color w:val="auto"/>
                <w:sz w:val="21"/>
                <w:szCs w:val="21"/>
                <w:highlight w:val="none"/>
                <w:lang w:val="en-US" w:eastAsia="zh-CN"/>
              </w:rPr>
              <w:t>临时</w:t>
            </w:r>
            <w:r>
              <w:rPr>
                <w:rFonts w:hint="default" w:ascii="Times New Roman" w:hAnsi="Times New Roman" w:cs="Times New Roman"/>
                <w:color w:val="auto"/>
                <w:sz w:val="21"/>
                <w:szCs w:val="21"/>
                <w:highlight w:val="none"/>
              </w:rPr>
              <w:t>占用天然草地。</w:t>
            </w:r>
            <w:bookmarkEnd w:id="6055"/>
            <w:bookmarkEnd w:id="6056"/>
            <w:bookmarkEnd w:id="6057"/>
            <w:bookmarkEnd w:id="6058"/>
            <w:bookmarkEnd w:id="6059"/>
          </w:p>
          <w:p w14:paraId="7D6C9321">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60" w:name="_Toc5159"/>
            <w:bookmarkStart w:id="6061" w:name="_Toc8801"/>
            <w:bookmarkStart w:id="6062" w:name="_Toc15694"/>
            <w:bookmarkStart w:id="6063" w:name="_Toc24198"/>
            <w:bookmarkStart w:id="6064" w:name="_Toc11323"/>
            <w:r>
              <w:rPr>
                <w:rFonts w:hint="default" w:ascii="Times New Roman" w:hAnsi="Times New Roman" w:cs="Times New Roman"/>
                <w:color w:val="auto"/>
                <w:sz w:val="21"/>
                <w:szCs w:val="21"/>
                <w:highlight w:val="none"/>
              </w:rPr>
              <w:t>①表土剥离与回覆：对施工营地进行表土剥离，剥离的表土堆放于该区域一角，与施工材料分开堆放，待施工结束后进行回覆平整。表土剥离厚度30cm。</w:t>
            </w:r>
            <w:bookmarkEnd w:id="6060"/>
            <w:bookmarkEnd w:id="6061"/>
            <w:bookmarkEnd w:id="6062"/>
            <w:bookmarkEnd w:id="6063"/>
            <w:bookmarkEnd w:id="6064"/>
          </w:p>
          <w:p w14:paraId="78D23237">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65" w:name="_Toc21962"/>
            <w:bookmarkStart w:id="6066" w:name="_Toc10025"/>
            <w:bookmarkStart w:id="6067" w:name="_Toc12907"/>
            <w:bookmarkStart w:id="6068" w:name="_Toc639"/>
            <w:bookmarkStart w:id="6069" w:name="_Toc21289"/>
            <w:r>
              <w:rPr>
                <w:rFonts w:hint="default" w:ascii="Times New Roman" w:hAnsi="Times New Roman" w:cs="Times New Roman"/>
                <w:color w:val="auto"/>
                <w:sz w:val="21"/>
                <w:szCs w:val="21"/>
                <w:highlight w:val="none"/>
              </w:rPr>
              <w:t>②机械土地整治：施工结束表土回覆后进行土地整治。</w:t>
            </w:r>
            <w:bookmarkEnd w:id="6065"/>
            <w:bookmarkEnd w:id="6066"/>
            <w:bookmarkEnd w:id="6067"/>
            <w:bookmarkEnd w:id="6068"/>
            <w:bookmarkEnd w:id="6069"/>
          </w:p>
          <w:p w14:paraId="779996D7">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70" w:name="_Toc1458"/>
            <w:bookmarkStart w:id="6071" w:name="_Toc30937"/>
            <w:bookmarkStart w:id="6072" w:name="_Toc24441"/>
            <w:bookmarkStart w:id="6073" w:name="_Toc30129"/>
            <w:bookmarkStart w:id="6074" w:name="_Toc1483"/>
            <w:r>
              <w:rPr>
                <w:rFonts w:hint="default" w:ascii="Times New Roman" w:hAnsi="Times New Roman" w:cs="Times New Roman"/>
                <w:color w:val="auto"/>
                <w:sz w:val="21"/>
                <w:szCs w:val="21"/>
                <w:highlight w:val="none"/>
              </w:rPr>
              <w:t>③植物措施：通过人工种草措施进行原有植被恢复，</w:t>
            </w:r>
            <w:bookmarkEnd w:id="6070"/>
            <w:bookmarkEnd w:id="6071"/>
            <w:r>
              <w:rPr>
                <w:rFonts w:hint="default" w:ascii="Times New Roman" w:hAnsi="Times New Roman" w:cs="Times New Roman"/>
                <w:color w:val="auto"/>
                <w:sz w:val="21"/>
                <w:szCs w:val="21"/>
                <w:highlight w:val="none"/>
              </w:rPr>
              <w:t>种植冰草30%、披碱草30%、紫花苜蓿40%</w:t>
            </w:r>
            <w:r>
              <w:rPr>
                <w:rFonts w:hint="eastAsia" w:cs="Times New Roman"/>
                <w:color w:val="auto"/>
                <w:sz w:val="21"/>
                <w:szCs w:val="21"/>
                <w:highlight w:val="none"/>
                <w:lang w:eastAsia="zh-CN"/>
              </w:rPr>
              <w:t>。</w:t>
            </w:r>
            <w:bookmarkEnd w:id="6072"/>
            <w:bookmarkEnd w:id="6073"/>
            <w:bookmarkEnd w:id="6074"/>
          </w:p>
        </w:tc>
      </w:tr>
      <w:tr w14:paraId="7F45C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5" w:type="pct"/>
            <w:tcBorders>
              <w:tl2br w:val="nil"/>
              <w:tr2bl w:val="nil"/>
            </w:tcBorders>
            <w:vAlign w:val="center"/>
          </w:tcPr>
          <w:p w14:paraId="131C9A2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075" w:name="_Toc854"/>
            <w:bookmarkStart w:id="6076" w:name="_Toc14907"/>
            <w:bookmarkStart w:id="6077" w:name="_Toc29312"/>
            <w:bookmarkStart w:id="6078" w:name="_Toc10121"/>
            <w:bookmarkStart w:id="6079" w:name="_Toc22792"/>
            <w:r>
              <w:rPr>
                <w:rFonts w:hint="default" w:ascii="Times New Roman" w:hAnsi="Times New Roman" w:cs="Times New Roman"/>
                <w:color w:val="auto"/>
                <w:sz w:val="21"/>
                <w:szCs w:val="21"/>
                <w:highlight w:val="none"/>
              </w:rPr>
              <w:t>林地</w:t>
            </w:r>
            <w:bookmarkEnd w:id="6075"/>
            <w:bookmarkEnd w:id="6076"/>
            <w:bookmarkEnd w:id="6077"/>
            <w:bookmarkEnd w:id="6078"/>
            <w:bookmarkEnd w:id="6079"/>
          </w:p>
        </w:tc>
        <w:tc>
          <w:tcPr>
            <w:tcW w:w="4234" w:type="pct"/>
            <w:tcBorders>
              <w:tl2br w:val="nil"/>
              <w:tr2bl w:val="nil"/>
            </w:tcBorders>
            <w:vAlign w:val="center"/>
          </w:tcPr>
          <w:p w14:paraId="503CB1F5">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80" w:name="_Toc15203"/>
            <w:bookmarkStart w:id="6081" w:name="_Toc18265"/>
            <w:bookmarkStart w:id="6082" w:name="_Toc9048"/>
            <w:bookmarkStart w:id="6083" w:name="_Toc26192"/>
            <w:bookmarkStart w:id="6084" w:name="_Toc18139"/>
            <w:r>
              <w:rPr>
                <w:rFonts w:hint="eastAsia" w:cs="Times New Roman"/>
                <w:color w:val="auto"/>
                <w:sz w:val="21"/>
                <w:szCs w:val="21"/>
                <w:highlight w:val="none"/>
                <w:lang w:eastAsia="zh-CN"/>
              </w:rPr>
              <w:t>施工工区及施工道路临时</w:t>
            </w:r>
            <w:r>
              <w:rPr>
                <w:rFonts w:hint="default" w:ascii="Times New Roman" w:hAnsi="Times New Roman" w:cs="Times New Roman"/>
                <w:color w:val="auto"/>
                <w:sz w:val="21"/>
                <w:szCs w:val="21"/>
                <w:highlight w:val="none"/>
              </w:rPr>
              <w:t>占用林地。</w:t>
            </w:r>
            <w:bookmarkEnd w:id="6080"/>
            <w:bookmarkEnd w:id="6081"/>
            <w:bookmarkEnd w:id="6082"/>
            <w:bookmarkEnd w:id="6083"/>
            <w:bookmarkEnd w:id="6084"/>
          </w:p>
          <w:p w14:paraId="090B91A2">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85" w:name="_Toc5132"/>
            <w:bookmarkStart w:id="6086" w:name="_Toc24282"/>
            <w:bookmarkStart w:id="6087" w:name="_Toc873"/>
            <w:bookmarkStart w:id="6088" w:name="_Toc6116"/>
            <w:bookmarkStart w:id="6089" w:name="_Toc10238"/>
            <w:r>
              <w:rPr>
                <w:rFonts w:hint="default" w:ascii="Times New Roman" w:hAnsi="Times New Roman" w:cs="Times New Roman"/>
                <w:color w:val="auto"/>
                <w:sz w:val="21"/>
                <w:szCs w:val="21"/>
                <w:highlight w:val="none"/>
              </w:rPr>
              <w:t>①表土剥离与回覆：对施工营地进行表土剥离，剥离的表土堆放于该区域一角，与施工材料分开堆放，待施工结束后进行回覆平整。表土剥离厚度30cm。</w:t>
            </w:r>
            <w:bookmarkEnd w:id="6085"/>
            <w:bookmarkEnd w:id="6086"/>
            <w:bookmarkEnd w:id="6087"/>
            <w:bookmarkEnd w:id="6088"/>
            <w:bookmarkEnd w:id="6089"/>
          </w:p>
          <w:p w14:paraId="09353E87">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90" w:name="_Toc5858"/>
            <w:bookmarkStart w:id="6091" w:name="_Toc8247"/>
            <w:bookmarkStart w:id="6092" w:name="_Toc15788"/>
            <w:bookmarkStart w:id="6093" w:name="_Toc24245"/>
            <w:bookmarkStart w:id="6094" w:name="_Toc1857"/>
            <w:r>
              <w:rPr>
                <w:rFonts w:hint="default" w:ascii="Times New Roman" w:hAnsi="Times New Roman" w:cs="Times New Roman"/>
                <w:color w:val="auto"/>
                <w:sz w:val="21"/>
                <w:szCs w:val="21"/>
                <w:highlight w:val="none"/>
              </w:rPr>
              <w:t>②机械土地整治：施工结束表土回覆后进行土地整治。</w:t>
            </w:r>
            <w:bookmarkEnd w:id="6090"/>
            <w:bookmarkEnd w:id="6091"/>
            <w:bookmarkEnd w:id="6092"/>
            <w:bookmarkEnd w:id="6093"/>
            <w:bookmarkEnd w:id="6094"/>
          </w:p>
          <w:p w14:paraId="0C6ACB36">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095" w:name="_Toc8799"/>
            <w:bookmarkStart w:id="6096" w:name="_Toc9447"/>
            <w:bookmarkStart w:id="6097" w:name="_Toc14240"/>
            <w:bookmarkStart w:id="6098" w:name="_Toc19071"/>
            <w:bookmarkStart w:id="6099" w:name="_Toc21055"/>
            <w:r>
              <w:rPr>
                <w:rFonts w:hint="default" w:ascii="Times New Roman" w:hAnsi="Times New Roman" w:cs="Times New Roman"/>
                <w:color w:val="auto"/>
                <w:sz w:val="21"/>
                <w:szCs w:val="21"/>
                <w:highlight w:val="none"/>
              </w:rPr>
              <w:t>③植物措施：有林地通过栽植灌木进行植被恢复，灌木选用</w:t>
            </w:r>
            <w:r>
              <w:rPr>
                <w:rFonts w:hint="eastAsia" w:cs="Times New Roman"/>
                <w:color w:val="auto"/>
                <w:sz w:val="21"/>
                <w:szCs w:val="21"/>
                <w:highlight w:val="none"/>
                <w:lang w:eastAsia="zh-CN"/>
              </w:rPr>
              <w:t>云杉、</w:t>
            </w:r>
            <w:r>
              <w:rPr>
                <w:rFonts w:hint="default" w:ascii="Times New Roman" w:hAnsi="Times New Roman" w:cs="Times New Roman"/>
                <w:color w:val="auto"/>
                <w:sz w:val="21"/>
                <w:szCs w:val="21"/>
                <w:highlight w:val="none"/>
                <w:lang w:val="en-US" w:eastAsia="zh-CN"/>
              </w:rPr>
              <w:t>山杏、樟子松等</w:t>
            </w:r>
            <w:r>
              <w:rPr>
                <w:rFonts w:hint="default" w:ascii="Times New Roman" w:hAnsi="Times New Roman" w:cs="Times New Roman"/>
                <w:color w:val="auto"/>
                <w:sz w:val="21"/>
                <w:szCs w:val="21"/>
                <w:highlight w:val="none"/>
              </w:rPr>
              <w:t>。</w:t>
            </w:r>
            <w:bookmarkEnd w:id="6095"/>
            <w:bookmarkEnd w:id="6096"/>
            <w:bookmarkEnd w:id="6097"/>
            <w:bookmarkEnd w:id="6098"/>
            <w:bookmarkEnd w:id="6099"/>
          </w:p>
        </w:tc>
      </w:tr>
    </w:tbl>
    <w:p w14:paraId="2BB125FA">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②永久占地生物工程措施</w:t>
      </w:r>
    </w:p>
    <w:p w14:paraId="4DBE0284">
      <w:pPr>
        <w:spacing w:line="360" w:lineRule="auto"/>
        <w:ind w:firstLine="567"/>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工程永久占地涉及到草地、</w:t>
      </w:r>
      <w:r>
        <w:rPr>
          <w:rFonts w:hint="eastAsia" w:cs="Times New Roman"/>
          <w:color w:val="auto"/>
          <w:sz w:val="24"/>
          <w:szCs w:val="24"/>
          <w:highlight w:val="none"/>
          <w:lang w:eastAsia="zh-CN"/>
        </w:rPr>
        <w:t>林地、河滩地</w:t>
      </w:r>
      <w:r>
        <w:rPr>
          <w:rFonts w:hint="default" w:ascii="Times New Roman" w:hAnsi="Times New Roman" w:cs="Times New Roman"/>
          <w:color w:val="auto"/>
          <w:sz w:val="24"/>
          <w:szCs w:val="24"/>
          <w:highlight w:val="none"/>
        </w:rPr>
        <w:t>等，对植被产生一定的破坏，需采取积极的植被恢复措施，补偿因工程占地、占压造成的生物量损失。</w:t>
      </w:r>
      <w:r>
        <w:rPr>
          <w:rFonts w:hint="eastAsia" w:cs="Times New Roman"/>
          <w:color w:val="auto"/>
          <w:sz w:val="24"/>
          <w:szCs w:val="24"/>
          <w:highlight w:val="none"/>
          <w:lang w:eastAsia="zh-CN"/>
        </w:rPr>
        <w:t>在</w:t>
      </w:r>
      <w:r>
        <w:rPr>
          <w:rFonts w:hint="eastAsia" w:ascii="宋体" w:hAnsi="宋体"/>
          <w:color w:val="auto"/>
          <w:kern w:val="0"/>
          <w:sz w:val="24"/>
          <w:szCs w:val="20"/>
          <w:highlight w:val="none"/>
        </w:rPr>
        <w:t>川口河巡检道路两侧、小河巡检道路两侧</w:t>
      </w:r>
      <w:r>
        <w:rPr>
          <w:rFonts w:hint="eastAsia" w:ascii="宋体" w:hAnsi="宋体"/>
          <w:color w:val="auto"/>
          <w:kern w:val="0"/>
          <w:sz w:val="24"/>
          <w:szCs w:val="20"/>
          <w:highlight w:val="none"/>
          <w:lang w:eastAsia="zh-CN"/>
        </w:rPr>
        <w:t>种植</w:t>
      </w:r>
      <w:r>
        <w:rPr>
          <w:rFonts w:hint="eastAsia" w:ascii="宋体" w:hAnsi="宋体"/>
          <w:color w:val="auto"/>
          <w:kern w:val="0"/>
          <w:sz w:val="24"/>
          <w:szCs w:val="20"/>
          <w:highlight w:val="none"/>
        </w:rPr>
        <w:t>生态林</w:t>
      </w:r>
      <w:r>
        <w:rPr>
          <w:rFonts w:hint="default" w:ascii="Times New Roman" w:hAnsi="Times New Roman" w:cs="Times New Roman"/>
          <w:color w:val="auto"/>
          <w:sz w:val="24"/>
          <w:szCs w:val="24"/>
          <w:highlight w:val="none"/>
        </w:rPr>
        <w:t>，补偿相应的生物损失量。加强环境监理职能作用，对保护措施实施监督和检查，对出现的环境问题及时处理。</w:t>
      </w:r>
    </w:p>
    <w:p w14:paraId="361730A6">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③施工单位在进场前，必须制定严格的施工组织和管理细则，</w:t>
      </w:r>
      <w:r>
        <w:rPr>
          <w:rFonts w:hint="eastAsia" w:cs="Times New Roman"/>
          <w:color w:val="auto"/>
          <w:sz w:val="24"/>
          <w:szCs w:val="24"/>
          <w:highlight w:val="none"/>
          <w:lang w:eastAsia="zh-CN"/>
        </w:rPr>
        <w:t>做好</w:t>
      </w:r>
      <w:r>
        <w:rPr>
          <w:rFonts w:hint="default" w:ascii="Times New Roman" w:hAnsi="Times New Roman" w:cs="Times New Roman"/>
          <w:color w:val="auto"/>
          <w:sz w:val="24"/>
          <w:szCs w:val="24"/>
          <w:highlight w:val="none"/>
        </w:rPr>
        <w:t>有关生态环境保护知识和法律宣传工作，在施工区、生活区设置宣传牌，</w:t>
      </w:r>
      <w:r>
        <w:rPr>
          <w:rFonts w:hint="eastAsia" w:cs="Times New Roman"/>
          <w:color w:val="auto"/>
          <w:sz w:val="24"/>
          <w:szCs w:val="24"/>
          <w:highlight w:val="none"/>
          <w:lang w:eastAsia="zh-CN"/>
        </w:rPr>
        <w:t>增强</w:t>
      </w:r>
      <w:r>
        <w:rPr>
          <w:rFonts w:hint="default" w:ascii="Times New Roman" w:hAnsi="Times New Roman" w:cs="Times New Roman"/>
          <w:color w:val="auto"/>
          <w:sz w:val="24"/>
          <w:szCs w:val="24"/>
          <w:highlight w:val="none"/>
        </w:rPr>
        <w:t>施工人员环境保护意识。</w:t>
      </w:r>
    </w:p>
    <w:p w14:paraId="379D016D">
      <w:pPr>
        <w:pStyle w:val="7"/>
        <w:bidi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7.1.1.2动物保护措施</w:t>
      </w:r>
    </w:p>
    <w:p w14:paraId="4C88F462">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为减少工程对区域野生动物的影响，应采取以下保护措施：</w:t>
      </w:r>
    </w:p>
    <w:p w14:paraId="3D7F283C">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施工期间，对施工人员和附近居民加强生态保护的宣传教育，以公告、发放宣传册等形式，教育施工人员，说明国家法律对野生动物保护的要求及意义，尤其说明对施工区周边保护动物保护的重要性，增强施工人员保护植被和动植物多样性对生态环境重要性的意识。</w:t>
      </w:r>
    </w:p>
    <w:p w14:paraId="41BE4BF0">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②建立生态破坏惩罚制度，严禁施工人员非法猎捕野生动物，禁止施工人员食用蛙类、鸟类、鱼类等；限制施工人员在施工以外区域活动，禁止施工人员野外用火，把对野生动物的干扰降至最低程度。</w:t>
      </w:r>
    </w:p>
    <w:p w14:paraId="2D091751">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③在各施工区设置野生动植物保护警示牌或宣传栏，说明生物保护的意义等。</w:t>
      </w:r>
    </w:p>
    <w:p w14:paraId="26321184">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④施工过程中，根据工程设计优化施工布置，尽量减少施工占地及施工活动对植被的扰动，减少陆生动物生境损失。</w:t>
      </w:r>
    </w:p>
    <w:p w14:paraId="36412103">
      <w:pPr>
        <w:pStyle w:val="6"/>
        <w:bidi w:val="0"/>
        <w:rPr>
          <w:rFonts w:hint="default" w:ascii="Times New Roman" w:hAnsi="Times New Roman" w:cs="Times New Roman"/>
          <w:color w:val="auto"/>
          <w:sz w:val="28"/>
          <w:szCs w:val="28"/>
          <w:highlight w:val="none"/>
        </w:rPr>
      </w:pPr>
      <w:bookmarkStart w:id="6100" w:name="_Toc9340"/>
      <w:bookmarkStart w:id="6101" w:name="_Toc10904"/>
      <w:bookmarkStart w:id="6102" w:name="_Toc18883"/>
      <w:r>
        <w:rPr>
          <w:rFonts w:hint="default" w:ascii="Times New Roman" w:hAnsi="Times New Roman" w:cs="Times New Roman"/>
          <w:color w:val="auto"/>
          <w:sz w:val="28"/>
          <w:szCs w:val="28"/>
          <w:highlight w:val="none"/>
        </w:rPr>
        <w:t>7.1.2水生生态保护措施</w:t>
      </w:r>
      <w:bookmarkEnd w:id="6100"/>
      <w:bookmarkEnd w:id="6101"/>
      <w:bookmarkEnd w:id="6102"/>
    </w:p>
    <w:p w14:paraId="6B024771">
      <w:pPr>
        <w:bidi w:val="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针对性</w:t>
      </w:r>
      <w:r>
        <w:rPr>
          <w:rFonts w:hint="default" w:ascii="Times New Roman" w:hAnsi="Times New Roman" w:cs="Times New Roman"/>
          <w:color w:val="auto"/>
          <w:sz w:val="24"/>
          <w:szCs w:val="24"/>
          <w:highlight w:val="none"/>
          <w:lang w:val="en-US" w:eastAsia="zh-CN"/>
        </w:rPr>
        <w:t>措施</w:t>
      </w:r>
    </w:p>
    <w:p w14:paraId="132B36D0">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针对引水工程可能存在的主要环境问题及其保护措施，建立相应的环境管理机构，使引水工程的环境保护措施得以切实有效</w:t>
      </w:r>
      <w:r>
        <w:rPr>
          <w:rFonts w:hint="eastAsia" w:cs="Times New Roman"/>
          <w:color w:val="auto"/>
          <w:sz w:val="24"/>
          <w:szCs w:val="24"/>
          <w:highlight w:val="none"/>
          <w:lang w:eastAsia="zh-CN"/>
        </w:rPr>
        <w:t>地</w:t>
      </w:r>
      <w:r>
        <w:rPr>
          <w:rFonts w:hint="default" w:ascii="Times New Roman" w:hAnsi="Times New Roman" w:cs="Times New Roman"/>
          <w:color w:val="auto"/>
          <w:sz w:val="24"/>
          <w:szCs w:val="24"/>
          <w:highlight w:val="none"/>
        </w:rPr>
        <w:t>实施，达到工程建设与生态环境保护协调发展，防止、减少工程活动对生态环境的破坏。</w:t>
      </w:r>
    </w:p>
    <w:p w14:paraId="3BE83ABC">
      <w:pPr>
        <w:bidi w:val="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预防为主，防治结合的</w:t>
      </w:r>
      <w:r>
        <w:rPr>
          <w:rFonts w:hint="default" w:ascii="Times New Roman" w:hAnsi="Times New Roman" w:cs="Times New Roman"/>
          <w:color w:val="auto"/>
          <w:sz w:val="24"/>
          <w:szCs w:val="24"/>
          <w:highlight w:val="none"/>
          <w:lang w:val="en-US" w:eastAsia="zh-CN"/>
        </w:rPr>
        <w:t>措施</w:t>
      </w:r>
    </w:p>
    <w:p w14:paraId="2AF999CD">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物资源及生态环境保护要预先采取防范措施，防止生物资源及环境破坏的发生，并把预防作为管理的重要原则。对已经明确的不利影响采取针对性措施的同时，对于一些目前难以准确评价的影响要采取预防措施。</w:t>
      </w:r>
    </w:p>
    <w:p w14:paraId="6B3C2AD2">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生生物保护措施是工程环境保护工作的重要组成部分。该工程目的是在当前的技术背景条件下尽量减免工程对鱼类和水生生物及其生境的不利影响，维护水生生态的相对稳定性，促进水利开发与自然资源保护协调发展。</w:t>
      </w:r>
    </w:p>
    <w:p w14:paraId="5BFF8425">
      <w:pPr>
        <w:pStyle w:val="4"/>
        <w:bidi w:val="0"/>
        <w:rPr>
          <w:rFonts w:hint="default" w:ascii="Times New Roman" w:hAnsi="Times New Roman" w:cs="Times New Roman"/>
          <w:color w:val="auto"/>
          <w:sz w:val="28"/>
          <w:szCs w:val="28"/>
          <w:highlight w:val="none"/>
        </w:rPr>
      </w:pPr>
      <w:bookmarkStart w:id="6103" w:name="_Toc21702"/>
      <w:bookmarkStart w:id="6104" w:name="_Toc2932"/>
      <w:bookmarkStart w:id="6105" w:name="_Toc12499"/>
      <w:bookmarkStart w:id="6106" w:name="_Toc7893"/>
      <w:r>
        <w:rPr>
          <w:rFonts w:hint="default" w:ascii="Times New Roman" w:hAnsi="Times New Roman" w:cs="Times New Roman"/>
          <w:color w:val="auto"/>
          <w:sz w:val="28"/>
          <w:szCs w:val="28"/>
          <w:highlight w:val="none"/>
        </w:rPr>
        <w:t>7.2地表水环境污染防治措施</w:t>
      </w:r>
      <w:bookmarkEnd w:id="6103"/>
      <w:bookmarkEnd w:id="6104"/>
      <w:bookmarkEnd w:id="6105"/>
      <w:bookmarkEnd w:id="6106"/>
    </w:p>
    <w:p w14:paraId="5A2190D0">
      <w:pPr>
        <w:pStyle w:val="6"/>
        <w:bidi w:val="0"/>
        <w:rPr>
          <w:rFonts w:hint="default" w:ascii="Times New Roman" w:hAnsi="Times New Roman" w:cs="Times New Roman"/>
          <w:color w:val="auto"/>
          <w:sz w:val="28"/>
          <w:szCs w:val="28"/>
          <w:highlight w:val="none"/>
        </w:rPr>
      </w:pPr>
      <w:bookmarkStart w:id="6107" w:name="_Toc25614"/>
      <w:bookmarkStart w:id="6108" w:name="_Toc14705"/>
      <w:bookmarkStart w:id="6109" w:name="_Toc16882"/>
      <w:r>
        <w:rPr>
          <w:rFonts w:hint="default" w:ascii="Times New Roman" w:hAnsi="Times New Roman" w:cs="Times New Roman"/>
          <w:color w:val="auto"/>
          <w:sz w:val="28"/>
          <w:szCs w:val="28"/>
          <w:highlight w:val="none"/>
        </w:rPr>
        <w:t>7.2.1施工期水环境防治措施</w:t>
      </w:r>
      <w:bookmarkEnd w:id="6107"/>
      <w:bookmarkEnd w:id="6108"/>
      <w:bookmarkEnd w:id="6109"/>
    </w:p>
    <w:p w14:paraId="6DD70722">
      <w:pPr>
        <w:pStyle w:val="7"/>
        <w:bidi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7.2.1.1混凝土养护废水</w:t>
      </w:r>
    </w:p>
    <w:p w14:paraId="38FC7CE3">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混凝土养护废水具有废水量较小、pH值高、悬浮物浓度高、间歇集中排放的特点。评价要求，施工区应设置沉淀池</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每台班末的养护废水排入池内</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静置沉淀到下一台班末回用于混凝土养护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沉淀时间达6h以上</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确保处理后废水不外排。沉淀池底泥需定期清理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干化后用于平整土地、绿化</w:t>
      </w:r>
      <w:r>
        <w:rPr>
          <w:rFonts w:hint="eastAsia" w:cs="Times New Roman"/>
          <w:color w:val="auto"/>
          <w:sz w:val="24"/>
          <w:szCs w:val="24"/>
          <w:highlight w:val="none"/>
          <w:lang w:eastAsia="zh-CN"/>
        </w:rPr>
        <w:t>。</w:t>
      </w:r>
    </w:p>
    <w:p w14:paraId="608C6F74">
      <w:pPr>
        <w:pStyle w:val="7"/>
        <w:bidi w:val="0"/>
        <w:jc w:val="both"/>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7.2.1.</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施工机械和车辆冲洗废水</w:t>
      </w:r>
    </w:p>
    <w:p w14:paraId="7A348C6A">
      <w:pPr>
        <w:bidi w:val="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施工机械和车辆冲洗废水污染因子主要为石油类和SS，具有废水量小、集中间歇排放的特点，评价要求各施工区设置沉淀池，将冲洗废水处理后回用于机械冲洗或洒水降尘，保证无废水排放。</w:t>
      </w:r>
      <w:r>
        <w:rPr>
          <w:rFonts w:hint="eastAsia" w:cs="Times New Roman"/>
          <w:color w:val="auto"/>
          <w:sz w:val="24"/>
          <w:szCs w:val="24"/>
          <w:highlight w:val="none"/>
          <w:lang w:eastAsia="zh-CN"/>
        </w:rPr>
        <w:t>隔油沉淀池的设置需远离地表水体。</w:t>
      </w:r>
    </w:p>
    <w:p w14:paraId="77982351">
      <w:pPr>
        <w:pStyle w:val="7"/>
        <w:bidi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7.2.1.</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施工生活污水</w:t>
      </w:r>
    </w:p>
    <w:p w14:paraId="184658BA">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施工人员生活污水主要污染物为BOD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、COD、NH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-N等，施工期</w:t>
      </w:r>
      <w:r>
        <w:rPr>
          <w:rFonts w:hint="eastAsia" w:cs="Times New Roman"/>
          <w:color w:val="auto"/>
          <w:sz w:val="24"/>
          <w:szCs w:val="24"/>
          <w:highlight w:val="none"/>
          <w:lang w:eastAsia="zh-CN"/>
        </w:rPr>
        <w:t>租用附近民房，对民房旱厕定期清掏，用于周边农田施肥</w:t>
      </w:r>
      <w:r>
        <w:rPr>
          <w:rFonts w:hint="default" w:ascii="Times New Roman" w:hAnsi="Times New Roman" w:cs="Times New Roman"/>
          <w:color w:val="auto"/>
          <w:sz w:val="24"/>
          <w:szCs w:val="24"/>
          <w:highlight w:val="none"/>
          <w:lang w:val="en-US" w:eastAsia="zh-CN"/>
        </w:rPr>
        <w:t>。</w:t>
      </w:r>
    </w:p>
    <w:p w14:paraId="63A2011E">
      <w:pPr>
        <w:pStyle w:val="4"/>
        <w:bidi w:val="0"/>
        <w:rPr>
          <w:rFonts w:hint="default" w:ascii="Times New Roman" w:hAnsi="Times New Roman" w:cs="Times New Roman"/>
          <w:color w:val="auto"/>
          <w:sz w:val="28"/>
          <w:szCs w:val="28"/>
          <w:highlight w:val="none"/>
        </w:rPr>
      </w:pPr>
      <w:bookmarkStart w:id="6110" w:name="_Toc21242"/>
      <w:bookmarkStart w:id="6111" w:name="_Toc31866"/>
      <w:bookmarkStart w:id="6112" w:name="_Toc27481"/>
      <w:bookmarkStart w:id="6113" w:name="_Toc12320"/>
      <w:r>
        <w:rPr>
          <w:rFonts w:hint="default" w:ascii="Times New Roman" w:hAnsi="Times New Roman" w:cs="Times New Roman"/>
          <w:color w:val="auto"/>
          <w:sz w:val="28"/>
          <w:szCs w:val="28"/>
          <w:highlight w:val="none"/>
        </w:rPr>
        <w:t>7.3噪声污染防治措施</w:t>
      </w:r>
      <w:bookmarkEnd w:id="6110"/>
      <w:bookmarkEnd w:id="6111"/>
      <w:bookmarkEnd w:id="6112"/>
      <w:bookmarkEnd w:id="6113"/>
    </w:p>
    <w:p w14:paraId="35F8F9CC">
      <w:pPr>
        <w:bidi w:val="0"/>
        <w:jc w:val="both"/>
        <w:rPr>
          <w:rFonts w:hint="default" w:ascii="Times New Roman" w:hAnsi="Times New Roman" w:eastAsia="宋体" w:cs="Times New Roman"/>
          <w:color w:val="auto"/>
          <w:sz w:val="24"/>
          <w:szCs w:val="24"/>
          <w:highlight w:val="none"/>
        </w:rPr>
      </w:pPr>
      <w:bookmarkStart w:id="6114" w:name="_Toc32574"/>
      <w:bookmarkStart w:id="6115" w:name="_Toc20785"/>
      <w:r>
        <w:rPr>
          <w:rFonts w:hint="default" w:ascii="Times New Roman" w:hAnsi="Times New Roman" w:eastAsia="宋体"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rPr>
        <w:t>源头控制优先：优先选用低噪声、低振动的先进施工设备和工艺。对高噪声设备采取基础减振、安装消声器或设置临时隔声罩等源头降噪措施。</w:t>
      </w:r>
    </w:p>
    <w:p w14:paraId="3588AA1E">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②</w:t>
      </w:r>
      <w:r>
        <w:rPr>
          <w:rFonts w:hint="default" w:ascii="Times New Roman" w:hAnsi="Times New Roman" w:eastAsia="宋体" w:cs="Times New Roman"/>
          <w:color w:val="auto"/>
          <w:sz w:val="24"/>
          <w:szCs w:val="24"/>
          <w:highlight w:val="none"/>
        </w:rPr>
        <w:t>优化施工组织：在临近敏感点区域，优化施工方案，采用</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人工施工为主、机械施工为辅</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的作业方式，并合理安排施工时序，避免多台高噪声设备在同一地点、同一时段集中作业，从空间和时间上分散噪声源。</w:t>
      </w:r>
    </w:p>
    <w:p w14:paraId="551CB856">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rPr>
        <w:t>设置高效声屏障：针对预测超标的敏感点，在其</w:t>
      </w:r>
      <w:r>
        <w:rPr>
          <w:rFonts w:hint="default" w:ascii="Times New Roman" w:hAnsi="Times New Roman" w:eastAsia="宋体" w:cs="Times New Roman"/>
          <w:color w:val="auto"/>
          <w:sz w:val="24"/>
          <w:szCs w:val="24"/>
          <w:highlight w:val="none"/>
          <w:lang w:eastAsia="zh-CN"/>
        </w:rPr>
        <w:t>邻近</w:t>
      </w:r>
      <w:r>
        <w:rPr>
          <w:rFonts w:hint="default" w:ascii="Times New Roman" w:hAnsi="Times New Roman" w:eastAsia="宋体" w:cs="Times New Roman"/>
          <w:color w:val="auto"/>
          <w:sz w:val="24"/>
          <w:szCs w:val="24"/>
          <w:highlight w:val="none"/>
        </w:rPr>
        <w:t>的施工场地边界设置高效直立式声屏障。采用顶部带折臂（T型或弧形）的直立式结构，设计高度为3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，以有效阻挡和衍射噪声。面板采用金属吸隔声板（镀锌钢板/铝板，内填离心玻璃棉），背板为金属板，确保其平均隔声量（TL）≥25dB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，降噪系数（NRC）≥0.80。屏障长度须完全覆盖噪声源至敏感点的投影区域，并在两端各延长至少20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，形成有效的声影区，确保隔声效果。</w:t>
      </w:r>
    </w:p>
    <w:p w14:paraId="5D985FE9">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划定禁止区与限时作业：严格限制高噪声作业时段。</w:t>
      </w:r>
      <w:r>
        <w:rPr>
          <w:rFonts w:hint="default" w:ascii="Times New Roman" w:hAnsi="Times New Roman" w:eastAsia="宋体" w:cs="Times New Roman"/>
          <w:color w:val="auto"/>
          <w:sz w:val="24"/>
          <w:szCs w:val="24"/>
          <w:highlight w:val="none"/>
          <w:lang w:eastAsia="zh-CN"/>
        </w:rPr>
        <w:t>将敏感点四周</w:t>
      </w:r>
      <w:r>
        <w:rPr>
          <w:rFonts w:hint="default" w:ascii="Times New Roman" w:hAnsi="Times New Roman" w:eastAsia="宋体" w:cs="Times New Roman"/>
          <w:color w:val="auto"/>
          <w:sz w:val="24"/>
          <w:szCs w:val="24"/>
          <w:highlight w:val="none"/>
          <w:lang w:val="en-US" w:eastAsia="zh-CN"/>
        </w:rPr>
        <w:t>50m范围内</w:t>
      </w:r>
      <w:r>
        <w:rPr>
          <w:rFonts w:hint="default" w:ascii="Times New Roman" w:hAnsi="Times New Roman" w:eastAsia="宋体" w:cs="Times New Roman"/>
          <w:color w:val="auto"/>
          <w:sz w:val="24"/>
          <w:szCs w:val="24"/>
          <w:highlight w:val="none"/>
        </w:rPr>
        <w:t>划定</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夜间禁止施工区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，在此区域内，夜间（22:00至次日6:00）严禁一切施工作业。昼间施工也尽量安排在非休息时段，并缩短高噪声设备持续作业时间。</w:t>
      </w:r>
    </w:p>
    <w:p w14:paraId="1046C517">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最终保障措施：对于在采取了上述声屏障措施后，仍不能达标的极近距离敏感点区域，在该特定区域完全采用人工施工方式，禁止使用任何高噪声机械设备，以绝对确保敏感点声环境质量达标。</w:t>
      </w:r>
    </w:p>
    <w:p w14:paraId="11A85333">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⑥</w:t>
      </w:r>
      <w:r>
        <w:rPr>
          <w:rFonts w:hint="default" w:ascii="Times New Roman" w:hAnsi="Times New Roman" w:eastAsia="宋体" w:cs="Times New Roman"/>
          <w:color w:val="auto"/>
          <w:sz w:val="24"/>
          <w:szCs w:val="24"/>
          <w:highlight w:val="none"/>
        </w:rPr>
        <w:t>强化公众沟通与应急响应：在项目开工前至少7个工作日，通过社区公告栏、官方网站、微信群等多渠道，主动公示《施工噪声污染防治方案及作业时间公告》，明确禁止施工的时段和区域，公布投诉电话，争取公众理解。施工现场设立公告牌，接受监督。建立快速响应机制，一旦接到合理投诉，立即核查整改。</w:t>
      </w:r>
    </w:p>
    <w:p w14:paraId="2BEC3812">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通过落实以上从源头、传播途径到受体保护的全过程、多层次防控体系，预期可使施工噪声对周边敏感点的影响得到有效控制，确保其声环境满足《声环境质量标准》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GB3096-2008</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1类区标准要求。施工结束后，该噪声影响将随之彻底消除。</w:t>
      </w:r>
    </w:p>
    <w:bookmarkEnd w:id="6114"/>
    <w:bookmarkEnd w:id="6115"/>
    <w:p w14:paraId="6E850811">
      <w:pPr>
        <w:pStyle w:val="4"/>
        <w:bidi w:val="0"/>
        <w:rPr>
          <w:rFonts w:hint="default" w:ascii="Times New Roman" w:hAnsi="Times New Roman" w:cs="Times New Roman"/>
          <w:color w:val="auto"/>
          <w:sz w:val="28"/>
          <w:szCs w:val="28"/>
          <w:highlight w:val="none"/>
        </w:rPr>
      </w:pPr>
      <w:bookmarkStart w:id="6116" w:name="_Toc15752"/>
      <w:bookmarkStart w:id="6117" w:name="_Toc30545"/>
      <w:bookmarkStart w:id="6118" w:name="_Toc25320"/>
      <w:bookmarkStart w:id="6119" w:name="_Toc13699"/>
      <w:r>
        <w:rPr>
          <w:rFonts w:hint="default" w:ascii="Times New Roman" w:hAnsi="Times New Roman" w:cs="Times New Roman"/>
          <w:color w:val="auto"/>
          <w:sz w:val="28"/>
          <w:szCs w:val="28"/>
          <w:highlight w:val="none"/>
        </w:rPr>
        <w:t>7.4地下水环境污染防治措施</w:t>
      </w:r>
      <w:bookmarkEnd w:id="6116"/>
      <w:bookmarkEnd w:id="6117"/>
      <w:bookmarkEnd w:id="6118"/>
      <w:bookmarkEnd w:id="6119"/>
    </w:p>
    <w:p w14:paraId="0A5A2D61">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对施工营地的生产废水进行集中收集处理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各混凝土养护废水、机械车辆冲洗废水沉淀池等应采取满足要求的防渗措施，经处理后的废水全部回用于生产或洒水降尘，不得外排。</w:t>
      </w:r>
      <w:r>
        <w:rPr>
          <w:rFonts w:hint="eastAsia" w:cs="Times New Roman"/>
          <w:color w:val="auto"/>
          <w:sz w:val="24"/>
          <w:szCs w:val="24"/>
          <w:highlight w:val="none"/>
          <w:lang w:eastAsia="zh-CN"/>
        </w:rPr>
        <w:t>生活污水依托周边民房</w:t>
      </w:r>
      <w:r>
        <w:rPr>
          <w:rFonts w:hint="default" w:ascii="Times New Roman" w:hAnsi="Times New Roman" w:cs="Times New Roman"/>
          <w:color w:val="auto"/>
          <w:sz w:val="24"/>
          <w:szCs w:val="24"/>
          <w:highlight w:val="none"/>
          <w:lang w:val="en-US" w:eastAsia="zh-CN"/>
        </w:rPr>
        <w:t>，定期清掏</w:t>
      </w:r>
      <w:r>
        <w:rPr>
          <w:rFonts w:hint="eastAsia" w:cs="Times New Roman"/>
          <w:color w:val="auto"/>
          <w:sz w:val="24"/>
          <w:szCs w:val="24"/>
          <w:highlight w:val="none"/>
          <w:lang w:val="en-US" w:eastAsia="zh-CN"/>
        </w:rPr>
        <w:t>用于农肥</w:t>
      </w:r>
      <w:r>
        <w:rPr>
          <w:rFonts w:hint="default" w:ascii="Times New Roman" w:hAnsi="Times New Roman" w:cs="Times New Roman"/>
          <w:color w:val="auto"/>
          <w:sz w:val="24"/>
          <w:szCs w:val="24"/>
          <w:highlight w:val="none"/>
        </w:rPr>
        <w:t>。</w:t>
      </w:r>
    </w:p>
    <w:p w14:paraId="16680B6A">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工程</w:t>
      </w:r>
      <w:r>
        <w:rPr>
          <w:rFonts w:hint="eastAsia" w:cs="Times New Roman"/>
          <w:color w:val="auto"/>
          <w:sz w:val="24"/>
          <w:szCs w:val="24"/>
          <w:highlight w:val="none"/>
          <w:lang w:eastAsia="zh-CN"/>
        </w:rPr>
        <w:t>施工废水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应</w:t>
      </w:r>
      <w:r>
        <w:rPr>
          <w:rFonts w:hint="eastAsia" w:cs="Times New Roman"/>
          <w:color w:val="auto"/>
          <w:sz w:val="24"/>
          <w:szCs w:val="24"/>
          <w:highlight w:val="none"/>
          <w:lang w:eastAsia="zh-CN"/>
        </w:rPr>
        <w:t>采取相应措施</w:t>
      </w:r>
      <w:r>
        <w:rPr>
          <w:rFonts w:hint="default" w:ascii="Times New Roman" w:hAnsi="Times New Roman" w:cs="Times New Roman"/>
          <w:color w:val="auto"/>
          <w:sz w:val="24"/>
          <w:szCs w:val="24"/>
          <w:highlight w:val="none"/>
        </w:rPr>
        <w:t>尽可能回收再利用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用于洒水降尘等。</w:t>
      </w:r>
    </w:p>
    <w:p w14:paraId="75323D48">
      <w:pPr>
        <w:pStyle w:val="4"/>
        <w:bidi w:val="0"/>
        <w:rPr>
          <w:rFonts w:hint="default" w:ascii="Times New Roman" w:hAnsi="Times New Roman" w:cs="Times New Roman"/>
          <w:color w:val="auto"/>
          <w:sz w:val="28"/>
          <w:szCs w:val="28"/>
          <w:highlight w:val="none"/>
        </w:rPr>
      </w:pPr>
      <w:bookmarkStart w:id="6120" w:name="_Toc27563"/>
      <w:bookmarkStart w:id="6121" w:name="_Toc26740"/>
      <w:bookmarkStart w:id="6122" w:name="_Toc22907"/>
      <w:bookmarkStart w:id="6123" w:name="_Toc25901"/>
      <w:r>
        <w:rPr>
          <w:rFonts w:hint="default" w:ascii="Times New Roman" w:hAnsi="Times New Roman" w:cs="Times New Roman"/>
          <w:color w:val="auto"/>
          <w:sz w:val="28"/>
          <w:szCs w:val="28"/>
          <w:highlight w:val="none"/>
        </w:rPr>
        <w:t>7.5土壤环境污染防治措施</w:t>
      </w:r>
      <w:bookmarkEnd w:id="6120"/>
      <w:bookmarkEnd w:id="6121"/>
      <w:bookmarkEnd w:id="6122"/>
      <w:bookmarkEnd w:id="6123"/>
    </w:p>
    <w:p w14:paraId="42123EE5">
      <w:pPr>
        <w:bidi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严格按照施工组织设计控制施工范围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最大限度地减少对土壤的破坏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将临时占地控制在最低限度。</w:t>
      </w:r>
    </w:p>
    <w:p w14:paraId="6147F0B7">
      <w:pPr>
        <w:bidi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施工营地的小型机械维修保养站应铺设沙子以防止含油废水污染土壤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污染的沙子也要统一进行收集处理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施工营地上滴漏的油渍应及时进行清理。</w:t>
      </w:r>
    </w:p>
    <w:p w14:paraId="61D773B2">
      <w:pPr>
        <w:bidi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施工废水采取合理有效的处理措施，废水处理池根据废水性质采取一定的防渗措施。</w:t>
      </w:r>
    </w:p>
    <w:p w14:paraId="7E57658B">
      <w:pPr>
        <w:bidi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各种施工机械及车辆应定期进行检查维护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尽量减少跑、冒、滴、漏现象。</w:t>
      </w:r>
    </w:p>
    <w:p w14:paraId="5A837136">
      <w:pPr>
        <w:pStyle w:val="4"/>
        <w:bidi w:val="0"/>
        <w:rPr>
          <w:rFonts w:hint="default" w:ascii="Times New Roman" w:hAnsi="Times New Roman" w:cs="Times New Roman"/>
          <w:color w:val="auto"/>
          <w:sz w:val="28"/>
          <w:szCs w:val="28"/>
          <w:highlight w:val="none"/>
        </w:rPr>
      </w:pPr>
      <w:bookmarkStart w:id="6124" w:name="_Toc27822"/>
      <w:bookmarkStart w:id="6125" w:name="_Toc16869"/>
      <w:bookmarkStart w:id="6126" w:name="_Toc20403"/>
      <w:bookmarkStart w:id="6127" w:name="_Toc19690"/>
      <w:r>
        <w:rPr>
          <w:rFonts w:hint="default" w:ascii="Times New Roman" w:hAnsi="Times New Roman" w:cs="Times New Roman"/>
          <w:color w:val="auto"/>
          <w:sz w:val="28"/>
          <w:szCs w:val="28"/>
          <w:highlight w:val="none"/>
        </w:rPr>
        <w:t>7.6环境空气污染防治措施</w:t>
      </w:r>
      <w:bookmarkEnd w:id="6124"/>
      <w:bookmarkEnd w:id="6125"/>
      <w:bookmarkEnd w:id="6126"/>
      <w:bookmarkEnd w:id="6127"/>
    </w:p>
    <w:p w14:paraId="62DB6C76">
      <w:pPr>
        <w:pStyle w:val="6"/>
        <w:bidi w:val="0"/>
        <w:rPr>
          <w:rFonts w:hint="default" w:ascii="Times New Roman" w:hAnsi="Times New Roman" w:cs="Times New Roman"/>
          <w:color w:val="auto"/>
          <w:sz w:val="28"/>
          <w:szCs w:val="28"/>
          <w:highlight w:val="none"/>
        </w:rPr>
      </w:pPr>
      <w:bookmarkStart w:id="6128" w:name="_Toc28333"/>
      <w:bookmarkStart w:id="6129" w:name="_Toc4923"/>
      <w:bookmarkStart w:id="6130" w:name="_Toc23283"/>
      <w:r>
        <w:rPr>
          <w:rFonts w:hint="default" w:ascii="Times New Roman" w:hAnsi="Times New Roman" w:cs="Times New Roman"/>
          <w:color w:val="auto"/>
          <w:sz w:val="28"/>
          <w:szCs w:val="28"/>
          <w:highlight w:val="none"/>
        </w:rPr>
        <w:t>7.6.1</w:t>
      </w:r>
      <w:r>
        <w:rPr>
          <w:rFonts w:hint="default" w:ascii="Times New Roman" w:hAnsi="Times New Roman" w:cs="Times New Roman"/>
          <w:color w:val="auto"/>
          <w:sz w:val="28"/>
          <w:szCs w:val="28"/>
          <w:highlight w:val="none"/>
          <w:lang w:val="en-US" w:eastAsia="zh-CN"/>
        </w:rPr>
        <w:t>施工</w:t>
      </w:r>
      <w:r>
        <w:rPr>
          <w:rFonts w:hint="default" w:ascii="Times New Roman" w:hAnsi="Times New Roman" w:cs="Times New Roman"/>
          <w:color w:val="auto"/>
          <w:sz w:val="28"/>
          <w:szCs w:val="28"/>
          <w:highlight w:val="none"/>
        </w:rPr>
        <w:t>粉尘</w:t>
      </w:r>
      <w:bookmarkEnd w:id="6128"/>
      <w:bookmarkEnd w:id="6129"/>
      <w:bookmarkEnd w:id="6130"/>
    </w:p>
    <w:p w14:paraId="19AF5907">
      <w:pPr>
        <w:bidi w:val="0"/>
        <w:jc w:val="both"/>
        <w:rPr>
          <w:rFonts w:hint="eastAsia"/>
          <w:color w:val="auto"/>
          <w:highlight w:val="none"/>
          <w:lang w:eastAsia="zh-CN"/>
        </w:rPr>
      </w:pPr>
      <w:r>
        <w:rPr>
          <w:rFonts w:hint="default" w:ascii="Times New Roman" w:hAnsi="Times New Roman" w:cs="Times New Roman"/>
          <w:color w:val="auto"/>
          <w:sz w:val="24"/>
          <w:szCs w:val="24"/>
          <w:highlight w:val="none"/>
        </w:rPr>
        <w:t>土石方工程施工尽量避开干燥多风天气</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并视情况采取必要的</w:t>
      </w:r>
      <w:r>
        <w:rPr>
          <w:rFonts w:hint="eastAsia" w:cs="Times New Roman"/>
          <w:color w:val="auto"/>
          <w:sz w:val="24"/>
          <w:szCs w:val="24"/>
          <w:highlight w:val="none"/>
          <w:lang w:eastAsia="zh-CN"/>
        </w:rPr>
        <w:t>洒水</w:t>
      </w:r>
      <w:r>
        <w:rPr>
          <w:rFonts w:hint="default" w:ascii="Times New Roman" w:hAnsi="Times New Roman" w:cs="Times New Roman"/>
          <w:color w:val="auto"/>
          <w:sz w:val="24"/>
          <w:szCs w:val="24"/>
          <w:highlight w:val="none"/>
        </w:rPr>
        <w:t>防尘措施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洒水次数根据天气情况而定。一般晴朗天气每天早、中、晚各洒水一次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当遇特别干燥的天气</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且风速大于3级时应每隔2小时洒水一次。开挖工程控制扬尘措施：施工现场必须设置控制扬尘污染责任标志牌；道路开挖施工工地周围必须连续设置稳固、整齐、美观的围挡（墙）；管道开挖必须辅以持续加压洒水或喷淋措施，以抑制扬尘飞散；开挖的翻渣和垃圾清运，应采取洒水或喷淋措施；</w:t>
      </w:r>
      <w:r>
        <w:rPr>
          <w:rFonts w:hint="eastAsia" w:cs="Times New Roman"/>
          <w:color w:val="auto"/>
          <w:sz w:val="24"/>
          <w:szCs w:val="24"/>
          <w:highlight w:val="none"/>
          <w:lang w:eastAsia="zh-CN"/>
        </w:rPr>
        <w:t>在距居民点较近区域作业时</w:t>
      </w:r>
      <w:r>
        <w:rPr>
          <w:rFonts w:hint="default" w:ascii="Times New Roman" w:hAnsi="Times New Roman" w:cs="Times New Roman"/>
          <w:color w:val="auto"/>
          <w:sz w:val="24"/>
          <w:szCs w:val="24"/>
          <w:highlight w:val="none"/>
        </w:rPr>
        <w:t>设置</w:t>
      </w:r>
      <w:r>
        <w:rPr>
          <w:rFonts w:hint="eastAsia" w:ascii="Times New Roman" w:hAnsi="Times New Roman" w:cs="Times New Roman"/>
          <w:color w:val="auto"/>
          <w:sz w:val="24"/>
          <w:szCs w:val="24"/>
          <w:highlight w:val="none"/>
          <w:lang w:eastAsia="zh-CN"/>
        </w:rPr>
        <w:t>围挡并增加洒水频次；</w:t>
      </w:r>
      <w:r>
        <w:rPr>
          <w:rFonts w:hint="default" w:ascii="Times New Roman" w:hAnsi="Times New Roman" w:cs="Times New Roman"/>
          <w:color w:val="auto"/>
          <w:sz w:val="24"/>
          <w:szCs w:val="24"/>
          <w:highlight w:val="none"/>
        </w:rPr>
        <w:t>施工结束后渣土必须清运完毕；施工物料尽量放置在棚内，室外存放要用苫布遮挡</w:t>
      </w:r>
      <w:r>
        <w:rPr>
          <w:rFonts w:hint="eastAsia" w:cs="Times New Roman"/>
          <w:color w:val="auto"/>
          <w:sz w:val="24"/>
          <w:szCs w:val="24"/>
          <w:highlight w:val="none"/>
          <w:lang w:eastAsia="zh-CN"/>
        </w:rPr>
        <w:t>。</w:t>
      </w:r>
    </w:p>
    <w:p w14:paraId="596087BA">
      <w:pPr>
        <w:bidi w:val="0"/>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施工营地</w:t>
      </w:r>
    </w:p>
    <w:p w14:paraId="557A2247">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地面硬化：施工营地内除作业面场地外均应当进行硬化或绿化处理。应及时清理地面粉尘，作业场地应坚实平整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保证无浮土。</w:t>
      </w:r>
    </w:p>
    <w:p w14:paraId="6D971C17">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物料暂存易产生扬尘的土料堆积过程中</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堆积边坡的角度不宜过大</w:t>
      </w:r>
      <w:r>
        <w:rPr>
          <w:rFonts w:hint="eastAsia" w:cs="Times New Roman"/>
          <w:color w:val="auto"/>
          <w:sz w:val="24"/>
          <w:szCs w:val="24"/>
          <w:highlight w:val="none"/>
          <w:lang w:eastAsia="zh-CN"/>
        </w:rPr>
        <w:t>并</w:t>
      </w:r>
      <w:r>
        <w:rPr>
          <w:rFonts w:hint="default" w:ascii="Times New Roman" w:hAnsi="Times New Roman" w:cs="Times New Roman"/>
          <w:color w:val="auto"/>
          <w:sz w:val="24"/>
          <w:szCs w:val="24"/>
          <w:highlight w:val="none"/>
        </w:rPr>
        <w:t>及时苫盖并设置围挡。</w:t>
      </w:r>
    </w:p>
    <w:p w14:paraId="05AA8716">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洒水设施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每个施工区配备洒水车</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根据气候和施工场地、道路状况对施工场地和临时场地进行定期洒水降尘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每天至少两次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上午下午各一次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保证地面湿润</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不起尘。</w:t>
      </w:r>
    </w:p>
    <w:p w14:paraId="2143C603">
      <w:pPr>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施工区应设置洗车平台，完善排水设施，防止泥土粘带。施工期间，应在物料、渣土运输车辆的出口内侧设置洗车平台，车辆驶离工地前，应在洗车平台清洗轮胎及车身，不得带泥上路。工地出口处铺装道路上可见粘带泥土的范围不得超过10m，并应及时清扫冲洗。</w:t>
      </w:r>
    </w:p>
    <w:p w14:paraId="316A58C5">
      <w:pPr>
        <w:pStyle w:val="6"/>
        <w:bidi w:val="0"/>
        <w:rPr>
          <w:rFonts w:hint="default" w:ascii="Times New Roman" w:hAnsi="Times New Roman" w:cs="Times New Roman"/>
          <w:color w:val="auto"/>
          <w:sz w:val="28"/>
          <w:szCs w:val="28"/>
          <w:highlight w:val="none"/>
          <w:lang w:eastAsia="zh-CN"/>
        </w:rPr>
      </w:pPr>
      <w:bookmarkStart w:id="6131" w:name="_Toc12942"/>
      <w:bookmarkStart w:id="6132" w:name="_Toc8569"/>
      <w:bookmarkStart w:id="6133" w:name="_Toc27016"/>
      <w:r>
        <w:rPr>
          <w:rFonts w:hint="default" w:ascii="Times New Roman" w:hAnsi="Times New Roman" w:cs="Times New Roman"/>
          <w:color w:val="auto"/>
          <w:sz w:val="28"/>
          <w:szCs w:val="28"/>
          <w:highlight w:val="none"/>
        </w:rPr>
        <w:t>7.6.3机械及车辆燃油废气</w:t>
      </w:r>
      <w:bookmarkEnd w:id="6131"/>
      <w:bookmarkEnd w:id="6132"/>
      <w:bookmarkEnd w:id="6133"/>
    </w:p>
    <w:p w14:paraId="00517E2F">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施工机械及运输车辆需定期检修与保养</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及时清洗、维修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确保施工机械及运输车辆始终处于良好的工作状态</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应使用高标号的燃油，禁止使用含铅汽油，确保施工机械废气排放符合环保要求。加强大型施工机械和车辆的管理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执行定期检查维护制度。</w:t>
      </w:r>
    </w:p>
    <w:p w14:paraId="24E024E8">
      <w:pPr>
        <w:pStyle w:val="6"/>
        <w:bidi w:val="0"/>
        <w:rPr>
          <w:rFonts w:hint="default" w:ascii="Times New Roman" w:hAnsi="Times New Roman" w:cs="Times New Roman"/>
          <w:color w:val="auto"/>
          <w:sz w:val="28"/>
          <w:szCs w:val="28"/>
          <w:highlight w:val="none"/>
        </w:rPr>
      </w:pPr>
      <w:bookmarkStart w:id="6134" w:name="_Toc3267"/>
      <w:bookmarkStart w:id="6135" w:name="_Toc11016"/>
      <w:bookmarkStart w:id="6136" w:name="_Toc5735"/>
      <w:r>
        <w:rPr>
          <w:rFonts w:hint="default" w:ascii="Times New Roman" w:hAnsi="Times New Roman" w:cs="Times New Roman"/>
          <w:color w:val="auto"/>
          <w:sz w:val="28"/>
          <w:szCs w:val="28"/>
          <w:highlight w:val="none"/>
        </w:rPr>
        <w:t>7.6.4道路扬尘</w:t>
      </w:r>
      <w:bookmarkEnd w:id="6134"/>
      <w:bookmarkEnd w:id="6135"/>
      <w:bookmarkEnd w:id="6136"/>
    </w:p>
    <w:p w14:paraId="7CC9AF97">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加强运输道路的管理和维护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经常洒水降尘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保证道路的良好运行状态；易扬尘物料应采取密封运输或加盖篷布，并通过限制车速、及时维护车辆、加强管理等措施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降低道路扬尘对周围环境的影响。</w:t>
      </w:r>
    </w:p>
    <w:p w14:paraId="2B14FC07">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各施工区应设置洗车平台，车辆驶离工地前，应在洗车平台清洗轮胎及车身，不得带泥上路。工地出口处铺装道路上可见粘带泥土的范围不得超过10m，并应及时清扫冲洗。</w:t>
      </w:r>
    </w:p>
    <w:p w14:paraId="532ED262">
      <w:pPr>
        <w:pStyle w:val="6"/>
        <w:bidi w:val="0"/>
        <w:rPr>
          <w:rFonts w:hint="default" w:ascii="Times New Roman" w:hAnsi="Times New Roman" w:eastAsia="宋体" w:cs="Times New Roman"/>
          <w:color w:val="auto"/>
          <w:sz w:val="28"/>
          <w:szCs w:val="28"/>
          <w:highlight w:val="none"/>
        </w:rPr>
      </w:pPr>
      <w:bookmarkStart w:id="6137" w:name="_Toc19167"/>
      <w:r>
        <w:rPr>
          <w:rFonts w:hint="default" w:ascii="Times New Roman" w:hAnsi="Times New Roman" w:eastAsia="宋体" w:cs="Times New Roman"/>
          <w:color w:val="auto"/>
          <w:sz w:val="28"/>
          <w:szCs w:val="28"/>
          <w:highlight w:val="none"/>
        </w:rPr>
        <w:t>7.6.</w:t>
      </w:r>
      <w:r>
        <w:rPr>
          <w:rFonts w:hint="eastAsia"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rPr>
        <w:t>清淤恶臭</w:t>
      </w:r>
      <w:bookmarkEnd w:id="6137"/>
    </w:p>
    <w:p w14:paraId="7842513F">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由于项目治理河道段不存在工矿企业，沿线无畜禽养殖以及生活污水等污染源，</w:t>
      </w:r>
      <w:r>
        <w:rPr>
          <w:rFonts w:hint="eastAsia" w:ascii="Times New Roman" w:hAnsi="Times New Roman" w:eastAsia="宋体" w:cs="Times New Roman"/>
          <w:color w:val="auto"/>
          <w:sz w:val="24"/>
          <w:szCs w:val="24"/>
          <w:highlight w:val="none"/>
          <w:lang w:eastAsia="zh-CN"/>
        </w:rPr>
        <w:t>水库</w:t>
      </w:r>
      <w:r>
        <w:rPr>
          <w:rFonts w:hint="default" w:ascii="Times New Roman" w:hAnsi="Times New Roman" w:eastAsia="宋体" w:cs="Times New Roman"/>
          <w:color w:val="auto"/>
          <w:sz w:val="24"/>
          <w:szCs w:val="24"/>
          <w:highlight w:val="none"/>
        </w:rPr>
        <w:t>淤泥为雨季冲刷两岸泥沙所致，</w:t>
      </w:r>
      <w:r>
        <w:rPr>
          <w:rFonts w:hint="eastAsia" w:ascii="Times New Roman" w:hAnsi="Times New Roman" w:eastAsia="宋体" w:cs="Times New Roman"/>
          <w:color w:val="auto"/>
          <w:sz w:val="24"/>
          <w:szCs w:val="24"/>
          <w:highlight w:val="none"/>
          <w:lang w:eastAsia="zh-CN"/>
        </w:rPr>
        <w:t>无其他污染物</w:t>
      </w:r>
      <w:r>
        <w:rPr>
          <w:rFonts w:hint="default" w:ascii="Times New Roman" w:hAnsi="Times New Roman" w:eastAsia="宋体" w:cs="Times New Roman"/>
          <w:color w:val="auto"/>
          <w:sz w:val="24"/>
          <w:szCs w:val="24"/>
          <w:highlight w:val="none"/>
        </w:rPr>
        <w:t>，根据分析，恶臭臭味有限。为将施工期恶臭对环境的影响降至最低，工程施工期须采取以下措施：</w:t>
      </w:r>
    </w:p>
    <w:p w14:paraId="5CCB5C0A">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①项目清淤</w:t>
      </w:r>
      <w:r>
        <w:rPr>
          <w:rFonts w:hint="eastAsia" w:cs="Times New Roman"/>
          <w:color w:val="auto"/>
          <w:sz w:val="24"/>
          <w:szCs w:val="24"/>
          <w:highlight w:val="none"/>
          <w:lang w:eastAsia="zh-CN"/>
        </w:rPr>
        <w:t>疏浚</w:t>
      </w:r>
      <w:r>
        <w:rPr>
          <w:rFonts w:hint="default" w:ascii="Times New Roman" w:hAnsi="Times New Roman" w:eastAsia="宋体" w:cs="Times New Roman"/>
          <w:color w:val="auto"/>
          <w:sz w:val="24"/>
          <w:szCs w:val="24"/>
          <w:highlight w:val="none"/>
        </w:rPr>
        <w:t>工程采用环保型的干清作业方式。施工前，在河道全断面填筑上、下游临时施工围堰进行截流，排干河内明水。</w:t>
      </w:r>
    </w:p>
    <w:p w14:paraId="4C9D29AF">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②项目选择在枯水期进行清淤疏浚，淤泥恶臭不易挥发；</w:t>
      </w:r>
    </w:p>
    <w:p w14:paraId="74D95524">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③清淤前可在河底部淤泥层投加功能微生物抑制剂或微生物促进剂，利用微生物大量分解河道内淤泥中的污染物，减轻淤泥散发的恶臭；</w:t>
      </w:r>
    </w:p>
    <w:p w14:paraId="4BDB4DBA">
      <w:pP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④对清淤施工人员采取必要的保护措施，如佩戴口罩</w:t>
      </w:r>
      <w:r>
        <w:rPr>
          <w:rFonts w:hint="eastAsia" w:cs="Times New Roman"/>
          <w:color w:val="auto"/>
          <w:sz w:val="24"/>
          <w:szCs w:val="24"/>
          <w:highlight w:val="none"/>
          <w:lang w:eastAsia="zh-CN"/>
        </w:rPr>
        <w:t>；</w:t>
      </w:r>
    </w:p>
    <w:p w14:paraId="2580D6D1">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⑤疏浚过程产生的淤泥</w:t>
      </w:r>
      <w:r>
        <w:rPr>
          <w:rFonts w:hint="eastAsia" w:ascii="Times New Roman" w:hAnsi="Times New Roman" w:eastAsia="宋体" w:cs="Times New Roman"/>
          <w:color w:val="auto"/>
          <w:sz w:val="24"/>
          <w:szCs w:val="24"/>
          <w:highlight w:val="none"/>
          <w:lang w:eastAsia="zh-CN"/>
        </w:rPr>
        <w:t>在库底晾晒干后及时拉运填至堆场</w:t>
      </w:r>
      <w:r>
        <w:rPr>
          <w:rFonts w:hint="default" w:ascii="Times New Roman" w:hAnsi="Times New Roman" w:eastAsia="宋体" w:cs="Times New Roman"/>
          <w:color w:val="auto"/>
          <w:sz w:val="24"/>
          <w:szCs w:val="24"/>
          <w:highlight w:val="none"/>
        </w:rPr>
        <w:t>，堆放过程定期喷洒除臭剂</w:t>
      </w:r>
    </w:p>
    <w:p w14:paraId="60A6ED76">
      <w:pPr>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⑥库底淤泥晾晒产生的渗滤液通过集水沟收集至临时沉淀池，沉淀后上清液用于场地洒水抑尘，底泥用于堆场堆填，</w:t>
      </w:r>
      <w:r>
        <w:rPr>
          <w:rFonts w:ascii="宋体" w:hAnsi="宋体" w:eastAsia="宋体" w:cs="宋体"/>
          <w:color w:val="auto"/>
          <w:sz w:val="24"/>
          <w:szCs w:val="24"/>
          <w:highlight w:val="none"/>
        </w:rPr>
        <w:t>实现资源化利用，不外排。</w:t>
      </w:r>
    </w:p>
    <w:p w14:paraId="5298FF1B">
      <w:pPr>
        <w:pStyle w:val="6"/>
        <w:bidi w:val="0"/>
        <w:rPr>
          <w:rFonts w:hint="default" w:ascii="Times New Roman" w:hAnsi="Times New Roman" w:cs="Times New Roman"/>
          <w:color w:val="auto"/>
          <w:sz w:val="28"/>
          <w:szCs w:val="28"/>
          <w:highlight w:val="none"/>
        </w:rPr>
      </w:pPr>
      <w:bookmarkStart w:id="6138" w:name="_Toc10393"/>
      <w:bookmarkStart w:id="6139" w:name="_Toc2705"/>
      <w:bookmarkStart w:id="6140" w:name="_Toc30308"/>
      <w:r>
        <w:rPr>
          <w:rFonts w:hint="default" w:ascii="Times New Roman" w:hAnsi="Times New Roman" w:cs="Times New Roman"/>
          <w:color w:val="auto"/>
          <w:sz w:val="28"/>
          <w:szCs w:val="28"/>
          <w:highlight w:val="none"/>
        </w:rPr>
        <w:t>7.6.</w:t>
      </w:r>
      <w:r>
        <w:rPr>
          <w:rFonts w:hint="eastAsia"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敏感点保护</w:t>
      </w:r>
      <w:bookmarkEnd w:id="6138"/>
      <w:bookmarkEnd w:id="6139"/>
      <w:bookmarkEnd w:id="6140"/>
    </w:p>
    <w:p w14:paraId="0540BEFD">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临近敏感点作业应缩短施工时间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控制施工面积</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及时采取有效的围挡、遮盖措施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降低对居民生活的影响。运输车辆途经人口密集居民区时</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车速不得超过15km/h</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施工区应配备洒水车</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在干燥季节每日对施工运输车辆经过的环境敏感地段</w:t>
      </w:r>
      <w:r>
        <w:rPr>
          <w:rFonts w:hint="eastAsia" w:cs="Times New Roman"/>
          <w:color w:val="auto"/>
          <w:sz w:val="24"/>
          <w:szCs w:val="24"/>
          <w:highlight w:val="none"/>
          <w:lang w:eastAsia="zh-CN"/>
        </w:rPr>
        <w:t>增加洒水频次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同时道路应及时洒扫</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减少物料运输扬尘对道路两侧居民影响。</w:t>
      </w:r>
    </w:p>
    <w:p w14:paraId="20B92E1B">
      <w:pPr>
        <w:pStyle w:val="4"/>
        <w:bidi w:val="0"/>
        <w:rPr>
          <w:rFonts w:hint="default" w:ascii="Times New Roman" w:hAnsi="Times New Roman" w:cs="Times New Roman"/>
          <w:color w:val="auto"/>
          <w:sz w:val="28"/>
          <w:szCs w:val="28"/>
          <w:highlight w:val="none"/>
        </w:rPr>
      </w:pPr>
      <w:bookmarkStart w:id="6141" w:name="_Toc5186"/>
      <w:bookmarkStart w:id="6142" w:name="_Toc5520"/>
      <w:bookmarkStart w:id="6143" w:name="_Toc18711"/>
      <w:bookmarkStart w:id="6144" w:name="_Toc21206"/>
      <w:r>
        <w:rPr>
          <w:rFonts w:hint="default" w:ascii="Times New Roman" w:hAnsi="Times New Roman" w:cs="Times New Roman"/>
          <w:color w:val="auto"/>
          <w:sz w:val="28"/>
          <w:szCs w:val="28"/>
          <w:highlight w:val="none"/>
        </w:rPr>
        <w:t>7.7固体废物污染防治措施</w:t>
      </w:r>
      <w:bookmarkEnd w:id="6141"/>
      <w:bookmarkEnd w:id="6142"/>
      <w:bookmarkEnd w:id="6143"/>
      <w:bookmarkEnd w:id="6144"/>
    </w:p>
    <w:p w14:paraId="4DEC53B8">
      <w:pPr>
        <w:pStyle w:val="6"/>
        <w:bidi w:val="0"/>
        <w:rPr>
          <w:rFonts w:hint="default" w:ascii="Times New Roman" w:hAnsi="Times New Roman" w:cs="Times New Roman"/>
          <w:color w:val="auto"/>
          <w:sz w:val="28"/>
          <w:szCs w:val="28"/>
          <w:highlight w:val="none"/>
        </w:rPr>
      </w:pPr>
      <w:bookmarkStart w:id="6145" w:name="_Toc19198"/>
      <w:bookmarkStart w:id="6146" w:name="_Toc6425"/>
      <w:bookmarkStart w:id="6147" w:name="_Toc4516"/>
      <w:r>
        <w:rPr>
          <w:rFonts w:hint="default" w:ascii="Times New Roman" w:hAnsi="Times New Roman" w:cs="Times New Roman"/>
          <w:color w:val="auto"/>
          <w:sz w:val="28"/>
          <w:szCs w:val="28"/>
          <w:highlight w:val="none"/>
        </w:rPr>
        <w:t>7.7.1施工期固体废物防治措施</w:t>
      </w:r>
      <w:bookmarkEnd w:id="6145"/>
      <w:bookmarkEnd w:id="6146"/>
      <w:bookmarkEnd w:id="6147"/>
    </w:p>
    <w:p w14:paraId="4D1947F3">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施工期应加强施工组织管理，提高施工技术和施工工艺，减少建筑垃圾的产生，并规范和分类堆存建筑垃圾</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不得乱堆乱放。</w:t>
      </w:r>
    </w:p>
    <w:p w14:paraId="41232DB6">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开发利用建筑垃圾集中收集后交由当地建筑垃圾消纳场处置。</w:t>
      </w:r>
    </w:p>
    <w:p w14:paraId="77E2665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集中收集生活垃圾，安排专人负责生活垃圾的清扫</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并及时转运至城市环卫系统。</w:t>
      </w:r>
    </w:p>
    <w:p w14:paraId="6E35C50D">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工程结束后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拆除施工区的临建设施</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做好清理、消毒等工作</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落实水土保持措施。</w:t>
      </w:r>
    </w:p>
    <w:p w14:paraId="53C9F260">
      <w:pPr>
        <w:pStyle w:val="4"/>
        <w:bidi w:val="0"/>
        <w:rPr>
          <w:rFonts w:hint="default" w:ascii="Times New Roman" w:hAnsi="Times New Roman" w:cs="Times New Roman"/>
          <w:color w:val="auto"/>
          <w:sz w:val="28"/>
          <w:szCs w:val="28"/>
          <w:highlight w:val="none"/>
        </w:rPr>
      </w:pPr>
      <w:bookmarkStart w:id="6148" w:name="_Toc18952"/>
      <w:bookmarkStart w:id="6149" w:name="_Toc7553"/>
      <w:bookmarkStart w:id="6150" w:name="_Toc29900"/>
      <w:bookmarkStart w:id="6151" w:name="_Toc12650"/>
      <w:r>
        <w:rPr>
          <w:rFonts w:hint="default" w:ascii="Times New Roman" w:hAnsi="Times New Roman" w:cs="Times New Roman"/>
          <w:color w:val="auto"/>
          <w:sz w:val="28"/>
          <w:szCs w:val="28"/>
          <w:highlight w:val="none"/>
        </w:rPr>
        <w:t>7.</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环境敏感区保护措施</w:t>
      </w:r>
      <w:bookmarkEnd w:id="6148"/>
      <w:bookmarkEnd w:id="6149"/>
      <w:bookmarkEnd w:id="6150"/>
      <w:bookmarkEnd w:id="6151"/>
    </w:p>
    <w:p w14:paraId="68AF8D70">
      <w:pPr>
        <w:pStyle w:val="6"/>
        <w:bidi w:val="0"/>
        <w:rPr>
          <w:rFonts w:hint="default" w:ascii="Times New Roman" w:hAnsi="Times New Roman" w:cs="Times New Roman"/>
          <w:color w:val="auto"/>
          <w:sz w:val="28"/>
          <w:szCs w:val="28"/>
          <w:highlight w:val="none"/>
        </w:rPr>
      </w:pPr>
      <w:bookmarkStart w:id="6152" w:name="_Toc17594"/>
      <w:bookmarkStart w:id="6153" w:name="_Toc17243"/>
      <w:bookmarkStart w:id="6154" w:name="_Toc31065"/>
      <w:r>
        <w:rPr>
          <w:rFonts w:hint="default" w:ascii="Times New Roman" w:hAnsi="Times New Roman" w:cs="Times New Roman"/>
          <w:color w:val="auto"/>
          <w:sz w:val="28"/>
          <w:szCs w:val="28"/>
          <w:highlight w:val="none"/>
        </w:rPr>
        <w:t>7.</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.1</w:t>
      </w:r>
      <w:r>
        <w:rPr>
          <w:rFonts w:hint="eastAsia" w:cs="Times New Roman"/>
          <w:color w:val="auto"/>
          <w:sz w:val="28"/>
          <w:szCs w:val="28"/>
          <w:highlight w:val="none"/>
          <w:lang w:eastAsia="zh-CN"/>
        </w:rPr>
        <w:t>靠近红线范围</w:t>
      </w:r>
      <w:r>
        <w:rPr>
          <w:rFonts w:hint="default" w:ascii="Times New Roman" w:hAnsi="Times New Roman" w:cs="Times New Roman"/>
          <w:color w:val="auto"/>
          <w:sz w:val="28"/>
          <w:szCs w:val="28"/>
          <w:highlight w:val="none"/>
        </w:rPr>
        <w:t>的环境保护措施</w:t>
      </w:r>
      <w:bookmarkEnd w:id="6152"/>
      <w:bookmarkEnd w:id="6153"/>
      <w:bookmarkEnd w:id="6154"/>
    </w:p>
    <w:p w14:paraId="39A2E26A">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w:t>
      </w:r>
      <w:r>
        <w:rPr>
          <w:rFonts w:hint="eastAsia" w:cs="Times New Roman"/>
          <w:color w:val="auto"/>
          <w:sz w:val="24"/>
          <w:szCs w:val="24"/>
          <w:highlight w:val="none"/>
          <w:lang w:val="en-US" w:eastAsia="zh-CN"/>
        </w:rPr>
        <w:t>施工区域靠近生态保护红线，工程不占用红线范围用地</w:t>
      </w:r>
      <w:r>
        <w:rPr>
          <w:rFonts w:hint="default" w:ascii="Times New Roman" w:hAnsi="Times New Roman" w:cs="Times New Roman"/>
          <w:color w:val="auto"/>
          <w:sz w:val="24"/>
          <w:szCs w:val="24"/>
          <w:highlight w:val="none"/>
        </w:rPr>
        <w:t>，针对工程建设过程中可能发生的各种生态影响因素，优化工程建设方案，提高环保设计水平，减少工程建设对红线的生态影响。</w:t>
      </w:r>
    </w:p>
    <w:p w14:paraId="19F850D4">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根据红线的分布、保护要求、施工难度等，进一步优化工程设计，充分考虑保护对象的特殊性，尽可能减少红线范围内的施工活动和临时占地，禁止在红线范围内建立施工营地。</w:t>
      </w:r>
    </w:p>
    <w:p w14:paraId="5D4E288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施工时应注意减少施工扰动面积（包括施工作业带宽度、施工道路长度和宽度），严格控制施工范围。施工时，应划出施工界限，并按照该界限在施工场地周围和施工便道两侧设置临时界标和挡墙等，确保工作人员不会越界施工。</w:t>
      </w:r>
    </w:p>
    <w:p w14:paraId="56FF5D88">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优化施工组织设计，尽可能减少在红线内的施工时间。</w:t>
      </w:r>
    </w:p>
    <w:p w14:paraId="052FA04F">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（4）</w:t>
      </w:r>
      <w:r>
        <w:rPr>
          <w:rFonts w:hint="default" w:ascii="Times New Roman" w:hAnsi="Times New Roman" w:cs="Times New Roman"/>
          <w:color w:val="auto"/>
          <w:sz w:val="24"/>
          <w:szCs w:val="24"/>
          <w:highlight w:val="none"/>
        </w:rPr>
        <w:t>施工材料不得在红线范围内堆放，施工产生的废弃土方应及时调出并合理利用，不得随意弃土。</w:t>
      </w:r>
    </w:p>
    <w:p w14:paraId="1C2631DA">
      <w:pP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施工期管理措施</w:t>
      </w:r>
    </w:p>
    <w:p w14:paraId="2571D509">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①</w:t>
      </w:r>
      <w:r>
        <w:rPr>
          <w:rFonts w:hint="default" w:ascii="Times New Roman" w:hAnsi="Times New Roman" w:eastAsia="宋体" w:cs="Times New Roman"/>
          <w:color w:val="auto"/>
          <w:sz w:val="24"/>
          <w:szCs w:val="24"/>
          <w:highlight w:val="none"/>
        </w:rPr>
        <w:t>加强宣传教育，增强施工人员生态保护意识。施工人员进驻前应召开环保宣传教育集会，宣讲国家有关环境保护的法律法规等，加强宣教工作。</w:t>
      </w:r>
    </w:p>
    <w:p w14:paraId="1F5F62F0">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sz w:val="24"/>
          <w:szCs w:val="24"/>
          <w:highlight w:val="none"/>
        </w:rPr>
        <w:t>施工单位应该合理选择施工时间，避开鸟类等动物活动的高峰时段，比如早晨和黄昏是鸟类活动、繁殖和觅食的高峰时段，因此在早晨和黄昏尽可能减少施工作业。</w:t>
      </w:r>
    </w:p>
    <w:p w14:paraId="178CB23C">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③</w:t>
      </w:r>
      <w:r>
        <w:rPr>
          <w:rFonts w:hint="default" w:ascii="Times New Roman" w:hAnsi="Times New Roman" w:eastAsia="宋体" w:cs="Times New Roman"/>
          <w:color w:val="auto"/>
          <w:sz w:val="24"/>
          <w:szCs w:val="24"/>
          <w:highlight w:val="none"/>
        </w:rPr>
        <w:t>严格控制施工范围，严禁乱铲乱踏周围植被，所有施工车辆必须在限定临时道路上行驶，严禁开辟新路乱碾乱压，以免对原有地表自然状态的进一步破坏，最大限度地减少对土壤和植被的扰动。</w:t>
      </w:r>
    </w:p>
    <w:p w14:paraId="362FACE9">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④</w:t>
      </w:r>
      <w:r>
        <w:rPr>
          <w:rFonts w:hint="default" w:ascii="Times New Roman" w:hAnsi="Times New Roman" w:eastAsia="宋体" w:cs="Times New Roman"/>
          <w:color w:val="auto"/>
          <w:sz w:val="24"/>
          <w:szCs w:val="24"/>
          <w:highlight w:val="none"/>
        </w:rPr>
        <w:t>管道敷设施工在开挖时应对干燥断面应洒水喷湿，使作业面保持一定湿度；对施工场地范围内由于植被破坏而使表土松散干涸的场地，也应洒水喷湿防止粉尘；回填土方时，在表层土质干燥时应适当洒水，防止回填作业时扬起粉尘。</w:t>
      </w:r>
    </w:p>
    <w:p w14:paraId="74A5A7B6">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⑤</w:t>
      </w:r>
      <w:r>
        <w:rPr>
          <w:rFonts w:hint="default" w:ascii="Times New Roman" w:hAnsi="Times New Roman" w:eastAsia="宋体" w:cs="Times New Roman"/>
          <w:color w:val="auto"/>
          <w:sz w:val="24"/>
          <w:szCs w:val="24"/>
          <w:highlight w:val="none"/>
        </w:rPr>
        <w:t>施工期要加强回填土方堆放场的管理，要制定土方表面压实、定期喷湿的措施，防止扬尘对环境的影响；施工弃土应及时覆盖或清运；避免暴雨时进行挖方和填放施工，雨天必须在弃土表面放置覆盖物，以减少水土流失。</w:t>
      </w:r>
    </w:p>
    <w:p w14:paraId="732AF2B8">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⑥</w:t>
      </w:r>
      <w:r>
        <w:rPr>
          <w:rFonts w:hint="default" w:ascii="Times New Roman" w:hAnsi="Times New Roman" w:eastAsia="宋体" w:cs="Times New Roman"/>
          <w:color w:val="auto"/>
          <w:sz w:val="24"/>
          <w:szCs w:val="24"/>
          <w:highlight w:val="none"/>
        </w:rPr>
        <w:t>施工固体废物和生活垃圾应集中收集，能够回收的回收利用，现场应当设置废物收集桶及时清理。施工完毕后，及时清理各类施工废弃物，并按照水土保持方案恢复地貌。</w:t>
      </w:r>
    </w:p>
    <w:p w14:paraId="154395D7">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⑦</w:t>
      </w:r>
      <w:r>
        <w:rPr>
          <w:rFonts w:hint="default" w:ascii="Times New Roman" w:hAnsi="Times New Roman" w:eastAsia="宋体" w:cs="Times New Roman"/>
          <w:color w:val="auto"/>
          <w:sz w:val="24"/>
          <w:szCs w:val="24"/>
          <w:highlight w:val="none"/>
        </w:rPr>
        <w:t>施工过程中所破坏植被，需向有关部门报备，征得同意后方可进行前期及施工工作，对其破坏区域的植被，采取恢复为主，补偿为辅的方法，在原有占用位置施工期后尽可能进行恢复，若实在无法恢复，占用多少补偿多少，在其他所需位置进行补偿，尽可能减少工程对生态红线内的影响。</w:t>
      </w:r>
    </w:p>
    <w:p w14:paraId="36A038F5">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⑧</w:t>
      </w:r>
      <w:r>
        <w:rPr>
          <w:rFonts w:hint="default" w:ascii="Times New Roman" w:hAnsi="Times New Roman" w:eastAsia="宋体" w:cs="Times New Roman"/>
          <w:color w:val="auto"/>
          <w:sz w:val="24"/>
          <w:szCs w:val="24"/>
          <w:highlight w:val="none"/>
        </w:rPr>
        <w:t>山区临边坡施工时，应及时设置挡墙、排水沟、截水沟等，避免边坡崩塌、滑坡产生，防止水土流失。</w:t>
      </w:r>
    </w:p>
    <w:p w14:paraId="4E8A6351">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⑨</w:t>
      </w:r>
      <w:r>
        <w:rPr>
          <w:rFonts w:hint="default" w:ascii="Times New Roman" w:hAnsi="Times New Roman" w:eastAsia="宋体" w:cs="Times New Roman"/>
          <w:color w:val="auto"/>
          <w:sz w:val="24"/>
          <w:szCs w:val="24"/>
          <w:highlight w:val="none"/>
        </w:rPr>
        <w:t>优化施工方案，尽量缩短施工期，以便缩短土壤暴露时间，从而减缓环境影响。</w:t>
      </w:r>
    </w:p>
    <w:p w14:paraId="624301D2">
      <w:pPr>
        <w:keepNext w:val="0"/>
        <w:keepLines w:val="0"/>
        <w:pageBreakBefore w:val="0"/>
        <w:widowControl w:val="0"/>
        <w:numPr>
          <w:ilvl w:val="0"/>
          <w:numId w:val="0"/>
        </w:numPr>
        <w:kinsoku/>
        <w:wordWrap/>
        <w:overflowPunct/>
        <w:topLinePunct w:val="0"/>
        <w:autoSpaceDE/>
        <w:autoSpaceDN/>
        <w:bidi w:val="0"/>
        <w:adjustRightInd w:val="0"/>
        <w:snapToGrid/>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⑩</w:t>
      </w:r>
      <w:r>
        <w:rPr>
          <w:rFonts w:hint="default" w:ascii="Times New Roman" w:hAnsi="Times New Roman" w:eastAsia="宋体" w:cs="Times New Roman"/>
          <w:color w:val="auto"/>
          <w:sz w:val="24"/>
          <w:szCs w:val="24"/>
          <w:highlight w:val="none"/>
        </w:rPr>
        <w:t>加强环境监理职能作用。加强对红线附近施工地段的巡护频率，检查生态环境保护措施的落实情况和施工人员的保护行为，同时与施工单位的环保管理人员联合对保护对象实施保护。</w:t>
      </w:r>
    </w:p>
    <w:p w14:paraId="7EE2B87F">
      <w:pPr>
        <w:pStyle w:val="4"/>
        <w:bidi w:val="0"/>
        <w:rPr>
          <w:rFonts w:hint="default" w:ascii="Times New Roman" w:hAnsi="Times New Roman" w:cs="Times New Roman"/>
          <w:color w:val="auto"/>
          <w:sz w:val="28"/>
          <w:szCs w:val="28"/>
          <w:highlight w:val="none"/>
        </w:rPr>
      </w:pPr>
      <w:bookmarkStart w:id="6155" w:name="_Toc28128"/>
      <w:bookmarkStart w:id="6156" w:name="_Toc10974"/>
      <w:bookmarkStart w:id="6157" w:name="_Toc29780"/>
      <w:bookmarkStart w:id="6158" w:name="_Toc14266"/>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rPr>
        <w:t>10环境风险防范措施</w:t>
      </w:r>
      <w:bookmarkEnd w:id="6155"/>
      <w:bookmarkEnd w:id="6156"/>
      <w:bookmarkEnd w:id="6157"/>
      <w:bookmarkEnd w:id="6158"/>
    </w:p>
    <w:p w14:paraId="0CF5FA78">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工程沿途社会生活附属设施便捷，施工机械用油由专业公司加油车提供，各施工营地范围内不建设油库，场地范围内无危险化学品贮存。</w:t>
      </w:r>
    </w:p>
    <w:p w14:paraId="0DEBF1CA">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加强对施工机械设备操作人员和车辆驾驶人员的技术培训，提高施工人员的安全意识和环境保护意识，严格操作规程，避免人为操作失当引起溢油事故发生。</w:t>
      </w:r>
    </w:p>
    <w:p w14:paraId="12860CB5">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（3）</w:t>
      </w:r>
      <w:r>
        <w:rPr>
          <w:rFonts w:hint="default" w:ascii="Times New Roman" w:hAnsi="Times New Roman" w:cs="Times New Roman"/>
          <w:color w:val="auto"/>
          <w:sz w:val="24"/>
          <w:szCs w:val="24"/>
          <w:highlight w:val="none"/>
        </w:rPr>
        <w:t>建立防汛应急预案，预案应包括应急事故组织机构、应急救援队伍、应急设施及物质的配备、应急报警系统、应急处理措施、应急培训计划等内容；施工场所张贴应急报警电话。</w:t>
      </w:r>
    </w:p>
    <w:p w14:paraId="1EE57289">
      <w:pPr>
        <w:jc w:val="both"/>
        <w:rPr>
          <w:rFonts w:hint="default" w:ascii="Times New Roman" w:hAnsi="Times New Roman" w:cs="Times New Roman"/>
          <w:color w:val="auto"/>
          <w:sz w:val="28"/>
          <w:szCs w:val="28"/>
          <w:highlight w:val="none"/>
          <w:lang w:val="en-US" w:eastAsia="zh-CN"/>
        </w:rPr>
        <w:sectPr>
          <w:headerReference r:id="rId18" w:type="default"/>
          <w:pgSz w:w="11906" w:h="16838"/>
          <w:pgMar w:top="1440" w:right="1531" w:bottom="1440" w:left="1531"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E4B87F5">
      <w:pPr>
        <w:pStyle w:val="3"/>
        <w:tabs>
          <w:tab w:val="left" w:pos="432"/>
        </w:tabs>
        <w:spacing w:before="0" w:after="0"/>
        <w:ind w:left="0" w:firstLine="0"/>
        <w:outlineLvl w:val="0"/>
        <w:rPr>
          <w:rFonts w:hint="default" w:ascii="Times New Roman" w:hAnsi="Times New Roman" w:eastAsia="宋体" w:cs="Times New Roman"/>
          <w:color w:val="auto"/>
          <w:sz w:val="28"/>
          <w:szCs w:val="28"/>
          <w:highlight w:val="none"/>
          <w:lang w:eastAsia="zh-CN"/>
        </w:rPr>
      </w:pPr>
      <w:bookmarkStart w:id="6159" w:name="_Toc29040"/>
      <w:bookmarkStart w:id="6160" w:name="_Toc11947"/>
      <w:bookmarkStart w:id="6161" w:name="_Toc14728"/>
      <w:bookmarkStart w:id="6162" w:name="_Toc20095"/>
      <w:r>
        <w:rPr>
          <w:rFonts w:hint="default" w:ascii="Times New Roman" w:hAnsi="Times New Roman" w:eastAsia="宋体" w:cs="Times New Roman"/>
          <w:color w:val="auto"/>
          <w:sz w:val="28"/>
          <w:szCs w:val="28"/>
          <w:highlight w:val="none"/>
          <w:lang w:eastAsia="zh-CN"/>
        </w:rPr>
        <w:t>8</w:t>
      </w:r>
      <w:r>
        <w:rPr>
          <w:rFonts w:hint="default" w:ascii="Times New Roman" w:hAnsi="Times New Roman" w:eastAsia="宋体" w:cs="Times New Roman"/>
          <w:b/>
          <w:bCs w:val="0"/>
          <w:color w:val="auto"/>
          <w:sz w:val="28"/>
          <w:szCs w:val="28"/>
          <w:highlight w:val="none"/>
          <w:lang w:eastAsia="zh-CN"/>
        </w:rPr>
        <w:t>产业政策及规划的符合性分析</w:t>
      </w:r>
      <w:bookmarkEnd w:id="6159"/>
      <w:bookmarkEnd w:id="6160"/>
      <w:bookmarkEnd w:id="6161"/>
      <w:bookmarkEnd w:id="6162"/>
    </w:p>
    <w:p w14:paraId="34FD4BE8">
      <w:pPr>
        <w:pStyle w:val="4"/>
        <w:bidi w:val="0"/>
        <w:rPr>
          <w:rFonts w:hint="default" w:ascii="Times New Roman" w:hAnsi="Times New Roman" w:cs="Times New Roman"/>
          <w:color w:val="auto"/>
          <w:sz w:val="28"/>
          <w:szCs w:val="28"/>
          <w:highlight w:val="none"/>
        </w:rPr>
      </w:pPr>
      <w:bookmarkStart w:id="6163" w:name="_Toc15964"/>
      <w:bookmarkStart w:id="6164" w:name="_Toc1165_WPSOffice_Level2"/>
      <w:bookmarkStart w:id="6165" w:name="_Toc3117"/>
      <w:bookmarkStart w:id="6166" w:name="_Toc9550"/>
      <w:bookmarkStart w:id="6167" w:name="_Toc22566"/>
      <w:bookmarkStart w:id="6168" w:name="_Toc30757"/>
      <w:r>
        <w:rPr>
          <w:rFonts w:hint="default" w:ascii="Times New Roman" w:hAnsi="Times New Roman" w:cs="Times New Roman"/>
          <w:color w:val="auto"/>
          <w:sz w:val="28"/>
          <w:szCs w:val="28"/>
          <w:highlight w:val="none"/>
        </w:rPr>
        <w:t>8.1与相关政策、法律法规的符合性分析</w:t>
      </w:r>
      <w:bookmarkEnd w:id="6163"/>
      <w:bookmarkEnd w:id="6164"/>
      <w:bookmarkEnd w:id="6165"/>
      <w:bookmarkEnd w:id="6166"/>
      <w:bookmarkEnd w:id="6167"/>
      <w:bookmarkEnd w:id="6168"/>
    </w:p>
    <w:p w14:paraId="72A56125">
      <w:pPr>
        <w:pStyle w:val="6"/>
        <w:bidi w:val="0"/>
        <w:rPr>
          <w:rFonts w:hint="default" w:ascii="Times New Roman" w:hAnsi="Times New Roman" w:cs="Times New Roman"/>
          <w:color w:val="auto"/>
          <w:sz w:val="28"/>
          <w:szCs w:val="28"/>
          <w:highlight w:val="none"/>
        </w:rPr>
      </w:pPr>
      <w:bookmarkStart w:id="6169" w:name="_Toc31614_WPSOffice_Level2"/>
      <w:bookmarkStart w:id="6170" w:name="_Toc12762_WPSOffice_Level2"/>
      <w:bookmarkStart w:id="6171" w:name="_Toc26447_WPSOffice_Level2"/>
      <w:bookmarkStart w:id="6172" w:name="_Toc20047"/>
      <w:bookmarkStart w:id="6173" w:name="_Toc20819"/>
      <w:bookmarkStart w:id="6174" w:name="_Toc23705"/>
      <w:bookmarkStart w:id="6175" w:name="_Toc26012_WPSOffice_Level2"/>
      <w:bookmarkStart w:id="6176" w:name="_Toc9373"/>
      <w:r>
        <w:rPr>
          <w:rFonts w:hint="default" w:ascii="Times New Roman" w:hAnsi="Times New Roman" w:cs="Times New Roman"/>
          <w:color w:val="auto"/>
          <w:sz w:val="28"/>
          <w:szCs w:val="28"/>
          <w:highlight w:val="none"/>
        </w:rPr>
        <w:t>8.1.1产业政策符合性分析</w:t>
      </w:r>
      <w:bookmarkEnd w:id="6169"/>
      <w:bookmarkEnd w:id="6170"/>
      <w:bookmarkEnd w:id="6171"/>
      <w:bookmarkEnd w:id="6172"/>
      <w:bookmarkEnd w:id="6173"/>
      <w:bookmarkEnd w:id="6174"/>
      <w:bookmarkEnd w:id="6175"/>
      <w:bookmarkEnd w:id="6176"/>
    </w:p>
    <w:p w14:paraId="263DF489">
      <w:pPr>
        <w:jc w:val="both"/>
        <w:rPr>
          <w:rFonts w:hint="default" w:ascii="Times New Roman" w:hAnsi="Times New Roman" w:eastAsia="宋体" w:cs="Times New Roman"/>
          <w:color w:val="auto"/>
          <w:sz w:val="24"/>
          <w:szCs w:val="24"/>
          <w:highlight w:val="none"/>
        </w:rPr>
      </w:pPr>
      <w:bookmarkStart w:id="6177" w:name="_Toc23612"/>
      <w:bookmarkStart w:id="6178" w:name="_Toc14123"/>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属于河道治理，对照</w:t>
      </w:r>
      <w:r>
        <w:rPr>
          <w:rFonts w:hint="eastAsia" w:cs="Times New Roman"/>
          <w:color w:val="auto"/>
          <w:sz w:val="24"/>
          <w:szCs w:val="24"/>
          <w:highlight w:val="none"/>
          <w:lang w:eastAsia="zh-CN"/>
        </w:rPr>
        <w:t>《产业结构调整指导目录（2024年本）》</w:t>
      </w:r>
      <w:r>
        <w:rPr>
          <w:rFonts w:hint="default" w:ascii="Times New Roman" w:hAnsi="Times New Roman" w:eastAsia="宋体" w:cs="Times New Roman"/>
          <w:color w:val="auto"/>
          <w:sz w:val="24"/>
          <w:szCs w:val="24"/>
          <w:highlight w:val="none"/>
        </w:rPr>
        <w:t>，项目属于</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第一类鼓励类</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二、水利</w:t>
      </w:r>
      <w:r>
        <w:rPr>
          <w:rFonts w:hint="eastAsia" w:cs="Times New Roman"/>
          <w:color w:val="auto"/>
          <w:sz w:val="24"/>
          <w:szCs w:val="24"/>
          <w:highlight w:val="none"/>
          <w:lang w:eastAsia="zh-CN"/>
        </w:rPr>
        <w:t>”“第三条，</w:t>
      </w:r>
      <w:r>
        <w:rPr>
          <w:rFonts w:hint="default" w:ascii="Times New Roman" w:hAnsi="Times New Roman" w:eastAsia="宋体" w:cs="Times New Roman"/>
          <w:color w:val="auto"/>
          <w:sz w:val="24"/>
          <w:szCs w:val="24"/>
          <w:highlight w:val="none"/>
        </w:rPr>
        <w:t>防洪提升工程中江河湖海堤防建设及河道治理工程</w:t>
      </w:r>
      <w:r>
        <w:rPr>
          <w:rFonts w:hint="default" w:ascii="Times New Roman" w:hAnsi="Times New Roman" w:cs="Times New Roman" w:eastAsiaTheme="minorEastAsia"/>
          <w:color w:val="auto"/>
          <w:sz w:val="24"/>
          <w:szCs w:val="24"/>
          <w:highlight w:val="none"/>
          <w:lang w:val="en-US" w:eastAsia="zh-CN"/>
        </w:rPr>
        <w:t>和江河湖库清淤疏浚工程</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，属于鼓励类建设项目。</w:t>
      </w:r>
    </w:p>
    <w:p w14:paraId="3F7AA4C9">
      <w:pPr>
        <w:jc w:val="both"/>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w:t>
      </w:r>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建设符合国家产业政策。</w:t>
      </w:r>
    </w:p>
    <w:bookmarkEnd w:id="6177"/>
    <w:bookmarkEnd w:id="6178"/>
    <w:p w14:paraId="16F88353">
      <w:pPr>
        <w:pStyle w:val="6"/>
        <w:bidi w:val="0"/>
        <w:rPr>
          <w:rFonts w:hint="default" w:ascii="Times New Roman" w:hAnsi="Times New Roman" w:cs="Times New Roman"/>
          <w:color w:val="auto"/>
          <w:sz w:val="28"/>
          <w:szCs w:val="28"/>
          <w:highlight w:val="none"/>
        </w:rPr>
      </w:pPr>
      <w:bookmarkStart w:id="6179" w:name="_Toc23654"/>
      <w:bookmarkStart w:id="6180" w:name="_Toc18319"/>
      <w:bookmarkStart w:id="6181" w:name="_Toc10472"/>
      <w:r>
        <w:rPr>
          <w:rFonts w:hint="default" w:ascii="Times New Roman" w:hAnsi="Times New Roman" w:cs="Times New Roman"/>
          <w:color w:val="auto"/>
          <w:sz w:val="28"/>
          <w:szCs w:val="28"/>
          <w:highlight w:val="none"/>
          <w:lang w:val="en-US" w:eastAsia="zh-CN"/>
        </w:rPr>
        <w:t>8.1.</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与《宁夏回族自治区生态保护红线管理条例》的符合性</w:t>
      </w:r>
      <w:bookmarkEnd w:id="6179"/>
      <w:bookmarkEnd w:id="6180"/>
      <w:bookmarkEnd w:id="6181"/>
    </w:p>
    <w:p w14:paraId="24D905D7">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2018年6月30日，自治区人民政府以《自治区人民政府关于发布宁夏回族自治区生态保护红线的通知》（宁政发〔2018〕23号）《宁夏回族自治区生态保护红线管理条例》正式发布宁夏生态红线。在空间上呈现出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三屏一带五区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的分布格局：</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三屏</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是指贺兰山生态屏障、六盘山生态屏障、罗山生态屏障；</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一带</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是指黄河岸线生态廊道；</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五区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为东部毛乌素沙地防风固沙区、西部腾格里沙漠边缘防风固沙区、中部干旱带水土流失区、东南黄土高原丘陵水土保持区、西南黄土高原丘陵水土保持区。宁夏回族自治区生态保护红线包括生物多样性维护、水源涵养、防风固沙、水土流失、水土保持5种生态功能类型，呈现9个片区分布：</w:t>
      </w:r>
    </w:p>
    <w:p w14:paraId="52C661CF">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贺兰山生物多样性维护、防风固沙生态保护红线，位于宁夏回族自治区北部，属于生物多样性维护、防风固沙重要区，主要分布在大武口区、惠农区、平罗县、西夏区、贺兰县、永宁县、青铜峡市。生态系统类型为中温带半干旱—干旱地区山地生态系统。</w:t>
      </w:r>
    </w:p>
    <w:p w14:paraId="0C020BF1">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罗山—白芨滩生物多样性维护、防风固沙生态保护红线，位于宁夏回族自治区中部，属于生物多样性维护、防风固沙重要区，主要分布在灵武市、利通区、红寺堡区、同心县、盐池县。生态系统类型为荒漠草原、森林生态系统。</w:t>
      </w:r>
    </w:p>
    <w:p w14:paraId="1F086519">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③六盘山水源涵养、生物多样性维护生态保护红线，位于宁夏回族自治区南部，属于水源涵养、生物多样性维护重要区，主要分布在泾源县、隆德县、西吉县、原州区、海原县。生态系统类型为森林生态系统。</w:t>
      </w:r>
    </w:p>
    <w:p w14:paraId="384C4313">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北部引黄灌区湿地保护、生物多样性维护生态保护红线，位于宁夏回族自治区北部、中部及西南部，属于湿地保护、生物多样性维护重要区，主要分布在大武口区、惠农区、平罗县、兴庆区、金凤区、西夏区、贺兰县、永宁县、灵武市、利通区、青铜峡市、沙坡头区、中宁县。生态系统类型为湿地生态系统。</w:t>
      </w:r>
    </w:p>
    <w:p w14:paraId="7842FB46">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⑤东南黄土高原丘陵水土保持生态保护红线，位于宁夏回族自治区东南部，属于水土保持重要区，主要分布在彭阳县、原州区。生态系统类型为黄土丘陵沟壑区林农复合生态系统。</w:t>
      </w:r>
    </w:p>
    <w:p w14:paraId="6493DCAF">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⑥西南黄土高原丘陵水土保持生态保护红线，位于宁夏回族自治区西南部，属于水土保持重要区，主要分布在西吉县。生态系统类型为黄土丘陵沟壑区林农复合生态系统。</w:t>
      </w:r>
    </w:p>
    <w:p w14:paraId="60A7BDC7">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⑦东部毛乌素沙地防风固沙生态保护红线，位于宁夏回族自治区东部，属于防风固沙重要区，主要分布在盐池县。生态系统类型为典型的荒漠—湿地自然生态系统。</w:t>
      </w:r>
    </w:p>
    <w:p w14:paraId="651CF9F9">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⑧西部腾格里沙漠边缘防风固沙生态保护红线，位于宁夏回族自治区西部，属于防风固沙重要区，主要分布在同心县、红寺堡区、沙坡头区、中宁县。生态系统类型为沙漠自然生态系统。</w:t>
      </w:r>
    </w:p>
    <w:p w14:paraId="463C61DA">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⑨中部干旱带水土流失生态保护红线，位于宁夏回族自治区中部，属于水土流失极敏感区，主要分布在同心县、海原县、沙坡头区、中宁县、原州区。生态系统类型为黄土丘陵—荒漠草原生态系统。</w:t>
      </w:r>
    </w:p>
    <w:p w14:paraId="6E959434">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本工程不涉及自然保护区、风景名胜区、饮用水水源保护区等国家级和自治区级禁止开发区域。</w:t>
      </w:r>
      <w:r>
        <w:rPr>
          <w:rFonts w:hint="eastAsia" w:cs="Times New Roman"/>
          <w:color w:val="auto"/>
          <w:sz w:val="24"/>
          <w:szCs w:val="24"/>
          <w:highlight w:val="none"/>
          <w:lang w:eastAsia="zh-CN"/>
        </w:rPr>
        <w:t>项目不占用生态保护红线（</w:t>
      </w:r>
      <w:r>
        <w:rPr>
          <w:rFonts w:hint="default" w:ascii="Times New Roman" w:hAnsi="Times New Roman" w:cs="Times New Roman"/>
          <w:color w:val="auto"/>
          <w:sz w:val="24"/>
          <w:szCs w:val="24"/>
          <w:highlight w:val="none"/>
        </w:rPr>
        <w:t>东南黄土高原丘陵水土保持生态保护红线</w:t>
      </w:r>
      <w:r>
        <w:rPr>
          <w:rFonts w:hint="eastAsia" w:cs="Times New Roman"/>
          <w:color w:val="auto"/>
          <w:sz w:val="24"/>
          <w:szCs w:val="24"/>
          <w:highlight w:val="none"/>
          <w:lang w:eastAsia="zh-CN"/>
        </w:rPr>
        <w:t>），仅评价范围进入红线范围。项目施工期严格划定施工红线且严格管理施工人员，对红线范围生态环境无影响。</w:t>
      </w:r>
      <w:r>
        <w:rPr>
          <w:rFonts w:hint="default" w:ascii="Times New Roman" w:hAnsi="Times New Roman" w:cs="Times New Roman"/>
          <w:color w:val="auto"/>
          <w:sz w:val="24"/>
          <w:szCs w:val="24"/>
          <w:highlight w:val="none"/>
        </w:rPr>
        <w:t>因此项目建设符合《宁夏回族自治区生态保护红线管理条例》。</w:t>
      </w:r>
    </w:p>
    <w:p w14:paraId="03D4B8F7">
      <w:pPr>
        <w:pStyle w:val="4"/>
        <w:bidi w:val="0"/>
        <w:rPr>
          <w:rFonts w:hint="default" w:ascii="Times New Roman" w:hAnsi="Times New Roman" w:cs="Times New Roman"/>
          <w:color w:val="auto"/>
          <w:sz w:val="28"/>
          <w:szCs w:val="28"/>
          <w:highlight w:val="none"/>
        </w:rPr>
      </w:pPr>
      <w:bookmarkStart w:id="6182" w:name="_Toc17023"/>
      <w:bookmarkStart w:id="6183" w:name="_Toc8078"/>
      <w:bookmarkStart w:id="6184" w:name="_Toc28618_WPSOffice_Level2"/>
      <w:bookmarkStart w:id="6185" w:name="_Toc2496"/>
      <w:bookmarkStart w:id="6186" w:name="_Toc7985"/>
      <w:bookmarkStart w:id="6187" w:name="_Toc241"/>
      <w:r>
        <w:rPr>
          <w:rFonts w:hint="default" w:ascii="Times New Roman" w:hAnsi="Times New Roman" w:cs="Times New Roman"/>
          <w:color w:val="auto"/>
          <w:sz w:val="28"/>
          <w:szCs w:val="28"/>
          <w:highlight w:val="none"/>
        </w:rPr>
        <w:t>8.2与相关功能区划符合性分析</w:t>
      </w:r>
      <w:bookmarkEnd w:id="6182"/>
      <w:bookmarkEnd w:id="6183"/>
      <w:bookmarkEnd w:id="6184"/>
      <w:bookmarkEnd w:id="6185"/>
      <w:bookmarkEnd w:id="6186"/>
      <w:bookmarkEnd w:id="6187"/>
    </w:p>
    <w:p w14:paraId="4A477DBD">
      <w:pPr>
        <w:pStyle w:val="6"/>
        <w:bidi w:val="0"/>
        <w:rPr>
          <w:rFonts w:hint="default" w:ascii="Times New Roman" w:hAnsi="Times New Roman" w:cs="Times New Roman"/>
          <w:color w:val="auto"/>
          <w:sz w:val="28"/>
          <w:szCs w:val="28"/>
          <w:highlight w:val="none"/>
        </w:rPr>
      </w:pPr>
      <w:bookmarkStart w:id="6188" w:name="_Toc28660"/>
      <w:bookmarkStart w:id="6189" w:name="_Toc25781"/>
      <w:bookmarkStart w:id="6190" w:name="_Toc19321"/>
      <w:r>
        <w:rPr>
          <w:rFonts w:hint="default" w:ascii="Times New Roman" w:hAnsi="Times New Roman" w:cs="Times New Roman"/>
          <w:color w:val="auto"/>
          <w:sz w:val="28"/>
          <w:szCs w:val="28"/>
          <w:highlight w:val="none"/>
          <w:lang w:val="en-US" w:eastAsia="zh-CN"/>
        </w:rPr>
        <w:t>8.2.1</w:t>
      </w:r>
      <w:r>
        <w:rPr>
          <w:rFonts w:hint="default" w:ascii="Times New Roman" w:hAnsi="Times New Roman" w:cs="Times New Roman"/>
          <w:color w:val="auto"/>
          <w:sz w:val="28"/>
          <w:szCs w:val="28"/>
          <w:highlight w:val="none"/>
        </w:rPr>
        <w:t>与《宁夏回族自治区主体功能区规划》的符合性</w:t>
      </w:r>
      <w:bookmarkEnd w:id="6188"/>
      <w:bookmarkEnd w:id="6189"/>
      <w:bookmarkEnd w:id="6190"/>
    </w:p>
    <w:p w14:paraId="563439D7">
      <w:pPr>
        <w:adjustRightInd w:val="0"/>
        <w:snapToGrid w:val="0"/>
        <w:spacing w:line="360" w:lineRule="auto"/>
        <w:ind w:firstLine="480" w:firstLineChars="200"/>
        <w:rPr>
          <w:color w:val="auto"/>
          <w:sz w:val="24"/>
          <w:highlight w:val="none"/>
        </w:rPr>
      </w:pPr>
      <w:bookmarkStart w:id="6191" w:name="_Toc14904"/>
      <w:bookmarkStart w:id="6192" w:name="_Toc10149"/>
      <w:r>
        <w:rPr>
          <w:color w:val="auto"/>
          <w:sz w:val="24"/>
          <w:highlight w:val="none"/>
        </w:rPr>
        <w:t>根据《自治区人民政府关于印发宁夏回族自治区主体功能区规划的通知》（宁政发〔2014〕53号，2014年6月18日），对照《宁夏回族自治区主体功能区划》，重点生态功能区包括国家级重点生态功能区和自治区级重点生态功能区。国家级重点生态功能区的县区包括彭阳县、盐池县、同心县、西吉县、隆德县、泾源县、海原县、红寺堡区等七县一区；自治区级重点生态功能区包括灵武市、沙坡头区、中宁县、原州区部分乡镇。</w:t>
      </w:r>
      <w:r>
        <w:rPr>
          <w:rFonts w:hint="eastAsia"/>
          <w:color w:val="auto"/>
          <w:sz w:val="24"/>
          <w:highlight w:val="none"/>
          <w:lang w:eastAsia="zh-CN"/>
        </w:rPr>
        <w:t>本工程</w:t>
      </w:r>
      <w:r>
        <w:rPr>
          <w:color w:val="auto"/>
          <w:sz w:val="24"/>
          <w:highlight w:val="none"/>
        </w:rPr>
        <w:t>位于宁夏回族自治区</w:t>
      </w:r>
      <w:r>
        <w:rPr>
          <w:rFonts w:hint="eastAsia"/>
          <w:color w:val="auto"/>
          <w:sz w:val="24"/>
          <w:highlight w:val="none"/>
        </w:rPr>
        <w:t>固原市彭阳县</w:t>
      </w:r>
      <w:r>
        <w:rPr>
          <w:color w:val="auto"/>
          <w:sz w:val="24"/>
          <w:highlight w:val="none"/>
        </w:rPr>
        <w:t>，为国家级重点生态功能区。</w:t>
      </w:r>
    </w:p>
    <w:p w14:paraId="379705E1">
      <w:pPr>
        <w:adjustRightInd w:val="0"/>
        <w:snapToGrid w:val="0"/>
        <w:spacing w:line="360" w:lineRule="auto"/>
        <w:ind w:firstLine="480" w:firstLineChars="200"/>
        <w:rPr>
          <w:color w:val="auto"/>
          <w:sz w:val="24"/>
          <w:highlight w:val="none"/>
        </w:rPr>
      </w:pPr>
      <w:r>
        <w:rPr>
          <w:color w:val="auto"/>
          <w:sz w:val="24"/>
          <w:highlight w:val="none"/>
        </w:rPr>
        <w:t>限制开发的生态功能区是指生态系统十分重要，关系全国或较大范围区域的生态安全，生态系统脆弱，需要在国土空间开发中限制进行大规模高强度工业化、城镇化开发，以保持并提高生态产品供给能力的区域。</w:t>
      </w:r>
    </w:p>
    <w:p w14:paraId="6C6E3DDE">
      <w:pPr>
        <w:adjustRightInd w:val="0"/>
        <w:snapToGrid w:val="0"/>
        <w:spacing w:line="360" w:lineRule="auto"/>
        <w:ind w:firstLine="480" w:firstLineChars="200"/>
        <w:rPr>
          <w:color w:val="auto"/>
          <w:sz w:val="24"/>
          <w:highlight w:val="none"/>
        </w:rPr>
      </w:pPr>
      <w:r>
        <w:rPr>
          <w:color w:val="auto"/>
          <w:sz w:val="24"/>
          <w:highlight w:val="none"/>
        </w:rPr>
        <w:t>功能定位是：保障国家生态安全的重要区域，西北重要的生态功能区，人与自然和谐相处的示范区。</w:t>
      </w:r>
    </w:p>
    <w:p w14:paraId="3CC30D66">
      <w:pPr>
        <w:adjustRightInd w:val="0"/>
        <w:snapToGrid w:val="0"/>
        <w:spacing w:line="360" w:lineRule="auto"/>
        <w:ind w:firstLine="480" w:firstLineChars="200"/>
        <w:rPr>
          <w:color w:val="auto"/>
          <w:sz w:val="24"/>
          <w:highlight w:val="none"/>
        </w:rPr>
      </w:pPr>
      <w:r>
        <w:rPr>
          <w:color w:val="auto"/>
          <w:sz w:val="24"/>
          <w:highlight w:val="none"/>
        </w:rPr>
        <w:t>发展方向是：限制开发生态区域以修复生态、保护环境、提供生态产品为首要任务，增强水源涵养、水土保持、防风固沙、维护湿地生态等功能，提高生态产品供给的能力，因地制宜地发展资源环境可承载的适宜产业，引导超载人口逐步有序转移。</w:t>
      </w:r>
    </w:p>
    <w:p w14:paraId="6BFBB3F3">
      <w:pPr>
        <w:shd w:val="clear"/>
        <w:adjustRightInd w:val="0"/>
        <w:snapToGrid w:val="0"/>
        <w:spacing w:line="360" w:lineRule="auto"/>
        <w:ind w:firstLine="480" w:firstLineChars="200"/>
        <w:rPr>
          <w:color w:val="auto"/>
          <w:sz w:val="24"/>
          <w:highlight w:val="none"/>
        </w:rPr>
      </w:pPr>
      <w:r>
        <w:rPr>
          <w:color w:val="auto"/>
          <w:sz w:val="24"/>
          <w:highlight w:val="none"/>
        </w:rPr>
        <w:t>本工程</w:t>
      </w:r>
      <w:r>
        <w:rPr>
          <w:rFonts w:hint="eastAsia"/>
          <w:color w:val="auto"/>
          <w:sz w:val="24"/>
          <w:highlight w:val="none"/>
          <w:lang w:eastAsia="zh-CN"/>
        </w:rPr>
        <w:t>对茹河川口河、小河段进行河道治理，岸坡砌护，对茹河石头崾岘水库进行库底清淤</w:t>
      </w:r>
      <w:r>
        <w:rPr>
          <w:rFonts w:hint="eastAsia"/>
          <w:color w:val="auto"/>
          <w:sz w:val="24"/>
          <w:highlight w:val="none"/>
        </w:rPr>
        <w:t>，</w:t>
      </w:r>
      <w:r>
        <w:rPr>
          <w:color w:val="auto"/>
          <w:sz w:val="24"/>
          <w:highlight w:val="none"/>
        </w:rPr>
        <w:t>提高</w:t>
      </w:r>
      <w:r>
        <w:rPr>
          <w:rFonts w:hint="eastAsia"/>
          <w:color w:val="auto"/>
          <w:kern w:val="0"/>
          <w:sz w:val="24"/>
          <w:highlight w:val="none"/>
        </w:rPr>
        <w:t>区域</w:t>
      </w:r>
      <w:r>
        <w:rPr>
          <w:color w:val="auto"/>
          <w:kern w:val="0"/>
          <w:sz w:val="24"/>
          <w:highlight w:val="none"/>
        </w:rPr>
        <w:t>防洪能力</w:t>
      </w:r>
      <w:r>
        <w:rPr>
          <w:color w:val="auto"/>
          <w:sz w:val="24"/>
          <w:highlight w:val="none"/>
        </w:rPr>
        <w:t>，保护</w:t>
      </w:r>
      <w:r>
        <w:rPr>
          <w:rFonts w:hint="eastAsia"/>
          <w:color w:val="auto"/>
          <w:sz w:val="24"/>
          <w:highlight w:val="none"/>
        </w:rPr>
        <w:t>两侧及下游</w:t>
      </w:r>
      <w:r>
        <w:rPr>
          <w:color w:val="auto"/>
          <w:sz w:val="24"/>
          <w:highlight w:val="none"/>
        </w:rPr>
        <w:t>居民生命财产安全及基础设施安全。符合《宁夏回族自治区主体功能区规划》要求。</w:t>
      </w:r>
    </w:p>
    <w:p w14:paraId="2E955D56">
      <w:pPr>
        <w:shd w:val="clear"/>
        <w:adjustRightInd w:val="0"/>
        <w:snapToGrid w:val="0"/>
        <w:spacing w:line="360" w:lineRule="auto"/>
        <w:ind w:firstLine="480" w:firstLineChars="200"/>
        <w:rPr>
          <w:color w:val="auto"/>
          <w:sz w:val="24"/>
          <w:highlight w:val="none"/>
        </w:rPr>
      </w:pPr>
      <w:r>
        <w:rPr>
          <w:rFonts w:hint="eastAsia"/>
          <w:color w:val="auto"/>
          <w:sz w:val="24"/>
          <w:highlight w:val="none"/>
          <w:lang w:eastAsia="zh-CN"/>
        </w:rPr>
        <w:t>本工程</w:t>
      </w:r>
      <w:r>
        <w:rPr>
          <w:color w:val="auto"/>
          <w:sz w:val="24"/>
          <w:highlight w:val="none"/>
        </w:rPr>
        <w:t>与宁夏主体功能区划图见附图</w:t>
      </w:r>
      <w:r>
        <w:rPr>
          <w:rFonts w:hint="eastAsia"/>
          <w:color w:val="auto"/>
          <w:sz w:val="24"/>
          <w:highlight w:val="none"/>
          <w:lang w:val="en-US" w:eastAsia="zh-CN"/>
        </w:rPr>
        <w:t>4</w:t>
      </w:r>
      <w:r>
        <w:rPr>
          <w:color w:val="auto"/>
          <w:sz w:val="24"/>
          <w:highlight w:val="none"/>
        </w:rPr>
        <w:t>。</w:t>
      </w:r>
    </w:p>
    <w:p w14:paraId="0C904882">
      <w:pPr>
        <w:pStyle w:val="6"/>
        <w:bidi w:val="0"/>
        <w:rPr>
          <w:rFonts w:hint="default" w:ascii="Times New Roman" w:hAnsi="Times New Roman" w:cs="Times New Roman"/>
          <w:color w:val="auto"/>
          <w:sz w:val="28"/>
          <w:szCs w:val="28"/>
          <w:highlight w:val="none"/>
        </w:rPr>
      </w:pPr>
      <w:bookmarkStart w:id="6193" w:name="_Toc10042"/>
      <w:r>
        <w:rPr>
          <w:rFonts w:hint="default" w:ascii="Times New Roman" w:hAnsi="Times New Roman" w:cs="Times New Roman"/>
          <w:color w:val="auto"/>
          <w:sz w:val="28"/>
          <w:szCs w:val="28"/>
          <w:highlight w:val="none"/>
          <w:lang w:val="en-US" w:eastAsia="zh-CN"/>
        </w:rPr>
        <w:t>8.2.2</w:t>
      </w:r>
      <w:r>
        <w:rPr>
          <w:rFonts w:hint="default" w:ascii="Times New Roman" w:hAnsi="Times New Roman" w:cs="Times New Roman"/>
          <w:color w:val="auto"/>
          <w:sz w:val="28"/>
          <w:szCs w:val="28"/>
          <w:highlight w:val="none"/>
        </w:rPr>
        <w:t>与《宁夏生态功能区划》的符合性</w:t>
      </w:r>
      <w:bookmarkEnd w:id="6191"/>
      <w:bookmarkEnd w:id="6192"/>
      <w:bookmarkEnd w:id="6193"/>
    </w:p>
    <w:p w14:paraId="5D369FAE">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本工程与《宁夏生态功能区划》关系见</w:t>
      </w:r>
      <w:r>
        <w:rPr>
          <w:rFonts w:hint="default" w:ascii="Times New Roman" w:hAnsi="Times New Roman" w:cs="Times New Roman"/>
          <w:color w:val="auto"/>
          <w:sz w:val="24"/>
          <w:szCs w:val="24"/>
          <w:highlight w:val="none"/>
          <w:lang w:val="en-US" w:eastAsia="zh-CN"/>
        </w:rPr>
        <w:t>附图</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w:t>
      </w:r>
    </w:p>
    <w:p w14:paraId="60644186">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宁夏生态功能区划》共划分3个一级区，10个二级区，37个三级区。一级区中南部黄土丘陵水土流失生态区位于宁夏南部黄土丘陵及六盘山山地，含4个生态亚区、12个生态功能区，主要为水源涵养和水土流失治理；中部台地、山间平原干旱风沙生态区位于宁夏平原以南，南部黄土丘陵区以北，含3个生态亚区、14个生态功能区，主要为防沙治沙、荒漠化植被恢复和扬黄节灌；北部宁夏平原灌溉农业生态区位于宁夏北部，主体由黄河冲积平原及贺兰山东麓洪积平原组成，含3个生态亚区、11个生态功能区，主要为节水灌溉、城市及湿地保护、山洪防治、保护生物多样性。</w:t>
      </w:r>
    </w:p>
    <w:p w14:paraId="3C140879">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本工程主要涉及</w:t>
      </w:r>
      <w:r>
        <w:rPr>
          <w:rFonts w:hint="default" w:ascii="Times New Roman" w:hAnsi="Times New Roman" w:cs="Times New Roman"/>
          <w:color w:val="auto"/>
          <w:sz w:val="24"/>
          <w:szCs w:val="24"/>
          <w:highlight w:val="none"/>
          <w:lang w:val="en-US" w:eastAsia="zh-CN"/>
        </w:rPr>
        <w:t>南部黄土丘陵水土流失区</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原东彭北梁峁丘陵强度水土流失治理生态功能区</w:t>
      </w:r>
      <w:r>
        <w:rPr>
          <w:rFonts w:hint="default" w:ascii="Times New Roman" w:hAnsi="Times New Roman" w:cs="Times New Roman"/>
          <w:color w:val="auto"/>
          <w:sz w:val="24"/>
          <w:szCs w:val="24"/>
          <w:highlight w:val="none"/>
        </w:rPr>
        <w:t>。</w:t>
      </w:r>
    </w:p>
    <w:p w14:paraId="2708F0A9">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严格控制施工作业带范围，尽最大可能减少临时占地带来的植被破坏，并采取严格的水土保持措施，运营期采取生态监测和恢复措施，最大限度降低区域水土流失。因此，本工程符合《宁夏生态功能区划》。</w:t>
      </w:r>
    </w:p>
    <w:p w14:paraId="31EEDF1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项目所涉及的</w:t>
      </w:r>
      <w:r>
        <w:rPr>
          <w:rFonts w:hint="default" w:ascii="Times New Roman" w:hAnsi="Times New Roman" w:cs="Times New Roman"/>
          <w:b w:val="0"/>
          <w:bCs w:val="0"/>
          <w:color w:val="auto"/>
          <w:sz w:val="24"/>
          <w:szCs w:val="24"/>
          <w:highlight w:val="none"/>
          <w:lang w:val="en-US" w:eastAsia="zh-CN"/>
        </w:rPr>
        <w:t>宁夏回族自治区</w:t>
      </w:r>
      <w:r>
        <w:rPr>
          <w:rFonts w:hint="default" w:ascii="Times New Roman" w:hAnsi="Times New Roman" w:eastAsia="宋体" w:cs="Times New Roman"/>
          <w:b w:val="0"/>
          <w:bCs w:val="0"/>
          <w:color w:val="auto"/>
          <w:sz w:val="24"/>
          <w:szCs w:val="24"/>
          <w:highlight w:val="none"/>
          <w:lang w:val="en-US" w:eastAsia="zh-CN"/>
        </w:rPr>
        <w:t>生态功能区</w:t>
      </w:r>
      <w:r>
        <w:rPr>
          <w:rFonts w:hint="default" w:ascii="Times New Roman" w:hAnsi="Times New Roman" w:cs="Times New Roman"/>
          <w:color w:val="auto"/>
          <w:sz w:val="24"/>
          <w:szCs w:val="24"/>
          <w:highlight w:val="none"/>
          <w:lang w:val="en-US" w:eastAsia="zh-CN"/>
        </w:rPr>
        <w:t>见表8.2-1。</w:t>
      </w:r>
    </w:p>
    <w:p w14:paraId="30C5DF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表8.2-1 工程涉及宁夏生态功能区划一览表</w:t>
      </w:r>
    </w:p>
    <w:tbl>
      <w:tblPr>
        <w:tblStyle w:val="31"/>
        <w:tblW w:w="883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7"/>
        <w:gridCol w:w="945"/>
        <w:gridCol w:w="1814"/>
        <w:gridCol w:w="5319"/>
      </w:tblGrid>
      <w:tr w14:paraId="2AB17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5" w:hRule="atLeast"/>
          <w:tblHeader/>
        </w:trPr>
        <w:tc>
          <w:tcPr>
            <w:tcW w:w="757" w:type="dxa"/>
            <w:tcBorders>
              <w:tl2br w:val="nil"/>
              <w:tr2bl w:val="nil"/>
            </w:tcBorders>
            <w:noWrap/>
            <w:tcMar>
              <w:top w:w="15" w:type="dxa"/>
              <w:left w:w="15" w:type="dxa"/>
              <w:bottom w:w="0" w:type="dxa"/>
              <w:right w:w="15" w:type="dxa"/>
            </w:tcMar>
            <w:vAlign w:val="center"/>
          </w:tcPr>
          <w:p w14:paraId="3ED77C88">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6194" w:name="_Toc13653"/>
            <w:bookmarkStart w:id="6195" w:name="_Toc13099"/>
            <w:bookmarkStart w:id="6196" w:name="_Toc20541"/>
            <w:bookmarkStart w:id="6197" w:name="_Toc32126"/>
            <w:bookmarkStart w:id="6198" w:name="_Toc22607"/>
            <w:r>
              <w:rPr>
                <w:rFonts w:hint="default" w:ascii="Times New Roman" w:hAnsi="Times New Roman" w:cs="Times New Roman"/>
                <w:b/>
                <w:bCs/>
                <w:color w:val="auto"/>
                <w:sz w:val="21"/>
                <w:szCs w:val="21"/>
                <w:highlight w:val="none"/>
                <w:lang w:val="en-US" w:eastAsia="zh-CN"/>
              </w:rPr>
              <w:t>一级区</w:t>
            </w:r>
            <w:bookmarkEnd w:id="6194"/>
            <w:bookmarkEnd w:id="6195"/>
            <w:bookmarkEnd w:id="6196"/>
            <w:bookmarkEnd w:id="6197"/>
            <w:bookmarkEnd w:id="6198"/>
          </w:p>
        </w:tc>
        <w:tc>
          <w:tcPr>
            <w:tcW w:w="945" w:type="dxa"/>
            <w:tcBorders>
              <w:tl2br w:val="nil"/>
              <w:tr2bl w:val="nil"/>
            </w:tcBorders>
            <w:noWrap w:val="0"/>
            <w:vAlign w:val="center"/>
          </w:tcPr>
          <w:p w14:paraId="58DCEC13">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6199" w:name="_Toc21815"/>
            <w:bookmarkStart w:id="6200" w:name="_Toc32273"/>
            <w:bookmarkStart w:id="6201" w:name="_Toc31928"/>
            <w:bookmarkStart w:id="6202" w:name="_Toc12778"/>
            <w:bookmarkStart w:id="6203" w:name="_Toc26622"/>
            <w:r>
              <w:rPr>
                <w:rFonts w:hint="default" w:ascii="Times New Roman" w:hAnsi="Times New Roman" w:cs="Times New Roman"/>
                <w:b/>
                <w:bCs/>
                <w:color w:val="auto"/>
                <w:sz w:val="21"/>
                <w:szCs w:val="21"/>
                <w:highlight w:val="none"/>
                <w:lang w:val="en-US" w:eastAsia="zh-CN"/>
              </w:rPr>
              <w:t>二级区</w:t>
            </w:r>
            <w:bookmarkEnd w:id="6199"/>
            <w:bookmarkEnd w:id="6200"/>
            <w:bookmarkEnd w:id="6201"/>
            <w:bookmarkEnd w:id="6202"/>
            <w:bookmarkEnd w:id="6203"/>
          </w:p>
        </w:tc>
        <w:tc>
          <w:tcPr>
            <w:tcW w:w="1814" w:type="dxa"/>
            <w:tcBorders>
              <w:tl2br w:val="nil"/>
              <w:tr2bl w:val="nil"/>
            </w:tcBorders>
            <w:noWrap/>
            <w:tcMar>
              <w:top w:w="15" w:type="dxa"/>
              <w:left w:w="15" w:type="dxa"/>
              <w:bottom w:w="0" w:type="dxa"/>
              <w:right w:w="15" w:type="dxa"/>
            </w:tcMar>
            <w:vAlign w:val="center"/>
          </w:tcPr>
          <w:p w14:paraId="26FC0019">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6204" w:name="_Toc20836"/>
            <w:bookmarkStart w:id="6205" w:name="_Toc14591"/>
            <w:bookmarkStart w:id="6206" w:name="_Toc13758"/>
            <w:bookmarkStart w:id="6207" w:name="_Toc27040"/>
            <w:bookmarkStart w:id="6208" w:name="_Toc1245"/>
            <w:r>
              <w:rPr>
                <w:rFonts w:hint="default" w:ascii="Times New Roman" w:hAnsi="Times New Roman" w:cs="Times New Roman"/>
                <w:b/>
                <w:bCs/>
                <w:color w:val="auto"/>
                <w:sz w:val="21"/>
                <w:szCs w:val="21"/>
                <w:highlight w:val="none"/>
                <w:lang w:val="en-US" w:eastAsia="zh-CN"/>
              </w:rPr>
              <w:t>功能区代号</w:t>
            </w:r>
            <w:bookmarkEnd w:id="6204"/>
            <w:bookmarkEnd w:id="6205"/>
            <w:bookmarkEnd w:id="6206"/>
            <w:bookmarkEnd w:id="6207"/>
            <w:bookmarkEnd w:id="6208"/>
          </w:p>
          <w:p w14:paraId="36DAF70B">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6209" w:name="_Toc18755"/>
            <w:bookmarkStart w:id="6210" w:name="_Toc21252"/>
            <w:bookmarkStart w:id="6211" w:name="_Toc15714"/>
            <w:bookmarkStart w:id="6212" w:name="_Toc25926"/>
            <w:bookmarkStart w:id="6213" w:name="_Toc14993"/>
            <w:r>
              <w:rPr>
                <w:rFonts w:hint="default" w:ascii="Times New Roman" w:hAnsi="Times New Roman" w:cs="Times New Roman"/>
                <w:b/>
                <w:bCs/>
                <w:color w:val="auto"/>
                <w:sz w:val="21"/>
                <w:szCs w:val="21"/>
                <w:highlight w:val="none"/>
                <w:lang w:val="en-US" w:eastAsia="zh-CN"/>
              </w:rPr>
              <w:t>及名称</w:t>
            </w:r>
            <w:bookmarkEnd w:id="6209"/>
            <w:bookmarkEnd w:id="6210"/>
            <w:bookmarkEnd w:id="6211"/>
            <w:bookmarkEnd w:id="6212"/>
            <w:bookmarkEnd w:id="6213"/>
          </w:p>
        </w:tc>
        <w:tc>
          <w:tcPr>
            <w:tcW w:w="5319" w:type="dxa"/>
            <w:tcBorders>
              <w:tl2br w:val="nil"/>
              <w:tr2bl w:val="nil"/>
            </w:tcBorders>
            <w:noWrap/>
            <w:tcMar>
              <w:top w:w="15" w:type="dxa"/>
              <w:left w:w="15" w:type="dxa"/>
              <w:bottom w:w="0" w:type="dxa"/>
              <w:right w:w="15" w:type="dxa"/>
            </w:tcMar>
            <w:vAlign w:val="center"/>
          </w:tcPr>
          <w:p w14:paraId="6DC34C83">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lang w:val="en-US" w:eastAsia="zh-CN"/>
              </w:rPr>
            </w:pPr>
            <w:bookmarkStart w:id="6214" w:name="_Toc17237"/>
            <w:bookmarkStart w:id="6215" w:name="_Toc14197"/>
            <w:bookmarkStart w:id="6216" w:name="_Toc25499"/>
            <w:bookmarkStart w:id="6217" w:name="_Toc13322"/>
            <w:bookmarkStart w:id="6218" w:name="_Toc17206"/>
            <w:r>
              <w:rPr>
                <w:rFonts w:hint="default" w:ascii="Times New Roman" w:hAnsi="Times New Roman" w:cs="Times New Roman"/>
                <w:b/>
                <w:bCs/>
                <w:color w:val="auto"/>
                <w:sz w:val="21"/>
                <w:szCs w:val="21"/>
                <w:highlight w:val="none"/>
                <w:lang w:val="en-US" w:eastAsia="zh-CN"/>
              </w:rPr>
              <w:t>主要生态特点、问题及措施</w:t>
            </w:r>
            <w:bookmarkEnd w:id="6214"/>
            <w:bookmarkEnd w:id="6215"/>
            <w:bookmarkEnd w:id="6216"/>
            <w:bookmarkEnd w:id="6217"/>
            <w:bookmarkEnd w:id="6218"/>
          </w:p>
        </w:tc>
      </w:tr>
      <w:tr w14:paraId="66E42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57" w:type="dxa"/>
            <w:tcBorders>
              <w:tl2br w:val="nil"/>
              <w:tr2bl w:val="nil"/>
            </w:tcBorders>
            <w:noWrap/>
            <w:tcMar>
              <w:top w:w="15" w:type="dxa"/>
              <w:left w:w="15" w:type="dxa"/>
              <w:bottom w:w="0" w:type="dxa"/>
              <w:right w:w="15" w:type="dxa"/>
            </w:tcMar>
            <w:vAlign w:val="center"/>
          </w:tcPr>
          <w:p w14:paraId="3FB6FDE2">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6219" w:name="_Toc597"/>
            <w:bookmarkStart w:id="6220" w:name="_Toc31076"/>
            <w:bookmarkStart w:id="6221" w:name="_Toc30869"/>
            <w:bookmarkStart w:id="6222" w:name="_Toc3577"/>
            <w:bookmarkStart w:id="6223" w:name="_Toc23812"/>
            <w:r>
              <w:rPr>
                <w:rFonts w:hint="default" w:ascii="Times New Roman" w:hAnsi="Times New Roman" w:cs="Times New Roman"/>
                <w:color w:val="auto"/>
                <w:sz w:val="21"/>
                <w:szCs w:val="21"/>
                <w:highlight w:val="none"/>
                <w:lang w:val="en-US" w:eastAsia="zh-CN"/>
              </w:rPr>
              <w:t>南部黄土丘陵水土流失区</w:t>
            </w:r>
            <w:bookmarkEnd w:id="6219"/>
            <w:bookmarkEnd w:id="6220"/>
            <w:bookmarkEnd w:id="6221"/>
            <w:bookmarkEnd w:id="6222"/>
            <w:bookmarkEnd w:id="6223"/>
          </w:p>
        </w:tc>
        <w:tc>
          <w:tcPr>
            <w:tcW w:w="945" w:type="dxa"/>
            <w:tcBorders>
              <w:tl2br w:val="nil"/>
              <w:tr2bl w:val="nil"/>
            </w:tcBorders>
            <w:noWrap w:val="0"/>
            <w:vAlign w:val="center"/>
          </w:tcPr>
          <w:p w14:paraId="31C475C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6224" w:name="_Toc5936"/>
            <w:bookmarkStart w:id="6225" w:name="_Toc22551"/>
            <w:bookmarkStart w:id="6226" w:name="_Toc32159"/>
            <w:bookmarkStart w:id="6227" w:name="_Toc15859"/>
            <w:bookmarkStart w:id="6228" w:name="_Toc20081"/>
            <w:r>
              <w:rPr>
                <w:rFonts w:hint="default" w:ascii="Times New Roman" w:hAnsi="Times New Roman" w:cs="Times New Roman"/>
                <w:color w:val="auto"/>
                <w:sz w:val="21"/>
                <w:szCs w:val="21"/>
                <w:highlight w:val="none"/>
                <w:lang w:val="en-US" w:eastAsia="zh-CN"/>
              </w:rPr>
              <w:t>原彭黄土丘陵牧林农生态亚区</w:t>
            </w:r>
            <w:bookmarkEnd w:id="6224"/>
            <w:bookmarkEnd w:id="6225"/>
            <w:bookmarkEnd w:id="6226"/>
            <w:bookmarkEnd w:id="6227"/>
            <w:bookmarkEnd w:id="6228"/>
          </w:p>
        </w:tc>
        <w:tc>
          <w:tcPr>
            <w:tcW w:w="1814" w:type="dxa"/>
            <w:tcBorders>
              <w:tl2br w:val="nil"/>
              <w:tr2bl w:val="nil"/>
            </w:tcBorders>
            <w:noWrap/>
            <w:tcMar>
              <w:top w:w="15" w:type="dxa"/>
              <w:left w:w="15" w:type="dxa"/>
              <w:bottom w:w="0" w:type="dxa"/>
              <w:right w:w="15" w:type="dxa"/>
            </w:tcMar>
            <w:vAlign w:val="center"/>
          </w:tcPr>
          <w:p w14:paraId="40CF41E4">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6229" w:name="_Toc1781"/>
            <w:bookmarkStart w:id="6230" w:name="_Toc397"/>
            <w:bookmarkStart w:id="6231" w:name="_Toc15563"/>
            <w:bookmarkStart w:id="6232" w:name="_Toc10069"/>
            <w:bookmarkStart w:id="6233" w:name="_Toc26309"/>
            <w:r>
              <w:rPr>
                <w:rFonts w:hint="default" w:ascii="Times New Roman" w:hAnsi="Times New Roman" w:cs="Times New Roman"/>
                <w:color w:val="auto"/>
                <w:sz w:val="21"/>
                <w:szCs w:val="21"/>
                <w:highlight w:val="none"/>
                <w:lang w:val="en-US" w:eastAsia="zh-CN"/>
              </w:rPr>
              <w:t>Ⅰ3①原东彭北梁峁丘陵强度水土流失治理生态功能区</w:t>
            </w:r>
            <w:bookmarkEnd w:id="6229"/>
            <w:bookmarkEnd w:id="6230"/>
            <w:bookmarkEnd w:id="6231"/>
            <w:bookmarkEnd w:id="6232"/>
            <w:bookmarkEnd w:id="6233"/>
          </w:p>
        </w:tc>
        <w:tc>
          <w:tcPr>
            <w:tcW w:w="5319" w:type="dxa"/>
            <w:tcBorders>
              <w:tl2br w:val="nil"/>
              <w:tr2bl w:val="nil"/>
            </w:tcBorders>
            <w:noWrap/>
            <w:tcMar>
              <w:top w:w="15" w:type="dxa"/>
              <w:left w:w="15" w:type="dxa"/>
              <w:bottom w:w="0" w:type="dxa"/>
              <w:right w:w="15" w:type="dxa"/>
            </w:tcMar>
            <w:vAlign w:val="center"/>
          </w:tcPr>
          <w:p w14:paraId="745B825A">
            <w:pPr>
              <w:pStyle w:val="29"/>
              <w:suppressLineNumbers w:val="0"/>
              <w:bidi w:val="0"/>
              <w:spacing w:beforeAutospacing="0" w:afterAutospacing="0"/>
              <w:ind w:left="0" w:right="0"/>
              <w:jc w:val="both"/>
              <w:rPr>
                <w:rFonts w:hint="default" w:ascii="Times New Roman" w:hAnsi="Times New Roman" w:cs="Times New Roman"/>
                <w:color w:val="auto"/>
                <w:sz w:val="21"/>
                <w:szCs w:val="21"/>
                <w:highlight w:val="none"/>
                <w:lang w:val="en-US" w:eastAsia="zh-CN"/>
              </w:rPr>
            </w:pPr>
            <w:bookmarkStart w:id="6234" w:name="_Toc12358"/>
            <w:bookmarkStart w:id="6235" w:name="_Toc28592"/>
            <w:bookmarkStart w:id="6236" w:name="_Toc5993"/>
            <w:bookmarkStart w:id="6237" w:name="_Toc25034"/>
            <w:bookmarkStart w:id="6238" w:name="_Toc27241"/>
            <w:r>
              <w:rPr>
                <w:rFonts w:hint="default" w:ascii="Times New Roman" w:hAnsi="Times New Roman" w:cs="Times New Roman"/>
                <w:color w:val="auto"/>
                <w:sz w:val="21"/>
                <w:szCs w:val="21"/>
                <w:highlight w:val="none"/>
                <w:lang w:val="en-US" w:eastAsia="zh-CN"/>
              </w:rPr>
              <w:t>本生态功能区属典型的黄土梁峁丘陵地貌，间有小型川、涧地和残塬，还有炭山等中低山地。地形切割较深，水土流失严重，侵蚀模数7000</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10000t/km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.a，水土流失是该区最敏感的生态问题之一，超载放牧，草场退化严重是问题之二。治理措施主要有：加强小流域综合治理，退耕还林还草。</w:t>
            </w:r>
            <w:bookmarkEnd w:id="6234"/>
            <w:bookmarkEnd w:id="6235"/>
            <w:bookmarkEnd w:id="6236"/>
            <w:bookmarkEnd w:id="6237"/>
            <w:bookmarkEnd w:id="6238"/>
          </w:p>
        </w:tc>
      </w:tr>
    </w:tbl>
    <w:p w14:paraId="3D254B00">
      <w:pPr>
        <w:pStyle w:val="6"/>
        <w:bidi w:val="0"/>
        <w:rPr>
          <w:rFonts w:hint="default" w:ascii="Times New Roman" w:hAnsi="Times New Roman" w:cs="Times New Roman"/>
          <w:color w:val="auto"/>
          <w:sz w:val="28"/>
          <w:szCs w:val="28"/>
          <w:highlight w:val="none"/>
        </w:rPr>
      </w:pPr>
      <w:bookmarkStart w:id="6239" w:name="_Toc30790"/>
      <w:bookmarkStart w:id="6240" w:name="_Toc12830"/>
      <w:bookmarkStart w:id="6241" w:name="_Toc26185"/>
      <w:r>
        <w:rPr>
          <w:rFonts w:hint="default" w:ascii="Times New Roman" w:hAnsi="Times New Roman" w:cs="Times New Roman"/>
          <w:color w:val="auto"/>
          <w:sz w:val="28"/>
          <w:szCs w:val="28"/>
          <w:highlight w:val="none"/>
          <w:lang w:val="en-US" w:eastAsia="zh-CN"/>
        </w:rPr>
        <w:t>8.2.3</w:t>
      </w:r>
      <w:r>
        <w:rPr>
          <w:rFonts w:hint="default" w:ascii="Times New Roman" w:hAnsi="Times New Roman" w:cs="Times New Roman"/>
          <w:color w:val="auto"/>
          <w:sz w:val="28"/>
          <w:szCs w:val="28"/>
          <w:highlight w:val="none"/>
        </w:rPr>
        <w:t>与《宁夏水安全保障</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十四五</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规划》及其规划环评符合性</w:t>
      </w:r>
      <w:bookmarkEnd w:id="6239"/>
    </w:p>
    <w:p w14:paraId="3E75460D">
      <w:pPr>
        <w:pStyle w:val="7"/>
        <w:bidi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8.2.3.1</w:t>
      </w:r>
      <w:r>
        <w:rPr>
          <w:rFonts w:hint="default" w:ascii="Times New Roman" w:hAnsi="Times New Roman" w:cs="Times New Roman"/>
          <w:color w:val="auto"/>
          <w:sz w:val="28"/>
          <w:szCs w:val="28"/>
          <w:highlight w:val="none"/>
        </w:rPr>
        <w:t>与《宁夏水安全保障</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十四五</w:t>
      </w:r>
      <w:r>
        <w:rPr>
          <w:rFonts w:hint="eastAsia" w:cs="Times New Roman"/>
          <w:color w:val="auto"/>
          <w:sz w:val="28"/>
          <w:szCs w:val="28"/>
          <w:highlight w:val="none"/>
          <w:lang w:eastAsia="zh-CN"/>
        </w:rPr>
        <w:t>”</w:t>
      </w:r>
      <w:r>
        <w:rPr>
          <w:rFonts w:hint="default" w:ascii="Times New Roman" w:hAnsi="Times New Roman" w:cs="Times New Roman"/>
          <w:color w:val="auto"/>
          <w:sz w:val="28"/>
          <w:szCs w:val="28"/>
          <w:highlight w:val="none"/>
        </w:rPr>
        <w:t>规划》的符合性</w:t>
      </w:r>
    </w:p>
    <w:p w14:paraId="5E862DF5">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《宁夏回族自治区水安全保障</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十四五</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规划》中提出践行</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节水优先、空间均衡、系统治理、两手发力</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治水思路，落实</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四水四定</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，实施</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四水同治</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，加快推进水治理体系和治理能力现代化，为努力建设黄河流域生态保护和高质量发展先行区。规划中</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第六章、强化水生态环境治理保护</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明确指出实施重点河湖水生态保护与修复，通过连通水系、整治河湖岸线、修复滨岸带、建设绿色生态廊道，构建覆盖江河水系的信息化基础平台。</w:t>
      </w:r>
    </w:p>
    <w:p w14:paraId="06BE9AF6">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本工程</w:t>
      </w:r>
      <w:r>
        <w:rPr>
          <w:rFonts w:hint="default" w:ascii="Times New Roman" w:hAnsi="Times New Roman" w:eastAsia="宋体" w:cs="Times New Roman"/>
          <w:color w:val="auto"/>
          <w:sz w:val="24"/>
          <w:highlight w:val="none"/>
        </w:rPr>
        <w:t>对</w:t>
      </w:r>
      <w:r>
        <w:rPr>
          <w:rFonts w:hint="eastAsia" w:ascii="Times New Roman" w:hAnsi="Times New Roman" w:eastAsia="宋体" w:cs="Times New Roman"/>
          <w:color w:val="auto"/>
          <w:sz w:val="24"/>
          <w:highlight w:val="none"/>
          <w:lang w:eastAsia="zh-CN"/>
        </w:rPr>
        <w:t>茹河小河段及川口河段</w:t>
      </w:r>
      <w:r>
        <w:rPr>
          <w:rFonts w:hint="default" w:ascii="Times New Roman" w:hAnsi="Times New Roman" w:eastAsia="宋体" w:cs="Times New Roman"/>
          <w:color w:val="auto"/>
          <w:sz w:val="24"/>
          <w:highlight w:val="none"/>
        </w:rPr>
        <w:t>进行治理，保障河道行洪通畅，提高河道防洪减灾能力，保护河道岸线，属于本规划中</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水生态保护与修复，整治河湖岸线</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。因此，项目的建设符合《宁夏回族自治区水安全保障</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十四五</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规划》相关要求。</w:t>
      </w:r>
    </w:p>
    <w:p w14:paraId="59CAE090">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8.2.3.2与《宁夏水安全保障</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十四五</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规划环境影响报告书》的符合性</w:t>
      </w:r>
    </w:p>
    <w:p w14:paraId="121C6974">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本工程符合《宁夏水安全保障</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规划环境影响报告书》的要求，具体分析见表</w:t>
      </w:r>
      <w:r>
        <w:rPr>
          <w:rFonts w:hint="default" w:ascii="Times New Roman" w:hAnsi="Times New Roman" w:cs="Times New Roman"/>
          <w:color w:val="auto"/>
          <w:sz w:val="24"/>
          <w:szCs w:val="24"/>
          <w:highlight w:val="none"/>
          <w:lang w:val="en-US" w:eastAsia="zh-CN"/>
        </w:rPr>
        <w:t>8.2-1</w:t>
      </w:r>
      <w:r>
        <w:rPr>
          <w:rFonts w:hint="default" w:ascii="Times New Roman" w:hAnsi="Times New Roman" w:cs="Times New Roman"/>
          <w:color w:val="auto"/>
          <w:sz w:val="24"/>
          <w:szCs w:val="24"/>
          <w:highlight w:val="none"/>
        </w:rPr>
        <w:t>。</w:t>
      </w:r>
    </w:p>
    <w:p w14:paraId="35337D97">
      <w:pPr>
        <w:pStyle w:val="7"/>
        <w:bidi w:val="0"/>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8.2.3.3与自治区生态环境厅关于《宁夏水安全保障</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十四五</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规划环境影响报告书》审查意见的符合性</w:t>
      </w:r>
    </w:p>
    <w:p w14:paraId="4FB5936E">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本工程符合《宁夏水安全保障</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规划环境影响报告书》审查意见的要求，具体分析见表</w:t>
      </w:r>
      <w:r>
        <w:rPr>
          <w:rFonts w:hint="default" w:ascii="Times New Roman" w:hAnsi="Times New Roman" w:cs="Times New Roman"/>
          <w:color w:val="auto"/>
          <w:sz w:val="24"/>
          <w:szCs w:val="24"/>
          <w:highlight w:val="none"/>
          <w:lang w:val="en-US" w:eastAsia="zh-CN"/>
        </w:rPr>
        <w:t>8.2-</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p>
    <w:p w14:paraId="3C1C5C8F">
      <w:pPr>
        <w:pStyle w:val="2"/>
        <w:rPr>
          <w:rFonts w:hint="default" w:ascii="Times New Roman" w:hAnsi="Times New Roman" w:cs="Times New Roman"/>
          <w:color w:val="auto"/>
          <w:sz w:val="24"/>
          <w:szCs w:val="24"/>
          <w:highlight w:val="none"/>
        </w:rPr>
        <w:sectPr>
          <w:headerReference r:id="rId1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8B87A56">
      <w:pPr>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
        </w:rPr>
        <w:t>表</w:t>
      </w:r>
      <w:r>
        <w:rPr>
          <w:rFonts w:hint="default" w:ascii="Times New Roman" w:hAnsi="Times New Roman" w:cs="Times New Roman"/>
          <w:b/>
          <w:bCs/>
          <w:color w:val="auto"/>
          <w:sz w:val="24"/>
          <w:szCs w:val="24"/>
          <w:highlight w:val="none"/>
          <w:lang w:val="en-US" w:eastAsia="zh-CN" w:bidi="ar"/>
        </w:rPr>
        <w:t>8.2-1</w:t>
      </w:r>
      <w:r>
        <w:rPr>
          <w:rFonts w:hint="eastAsia" w:cs="Times New Roman"/>
          <w:b/>
          <w:bCs/>
          <w:color w:val="auto"/>
          <w:sz w:val="24"/>
          <w:szCs w:val="24"/>
          <w:highlight w:val="none"/>
          <w:lang w:val="en-US" w:eastAsia="zh-CN" w:bidi="ar"/>
        </w:rPr>
        <w:t>本工程</w:t>
      </w:r>
      <w:r>
        <w:rPr>
          <w:rFonts w:hint="default" w:ascii="Times New Roman" w:hAnsi="Times New Roman" w:eastAsia="宋体" w:cs="Times New Roman"/>
          <w:b/>
          <w:bCs/>
          <w:color w:val="auto"/>
          <w:sz w:val="24"/>
          <w:szCs w:val="24"/>
          <w:highlight w:val="none"/>
          <w:lang w:val="en-US" w:eastAsia="zh-CN" w:bidi="ar"/>
        </w:rPr>
        <w:t>与《宁夏水安全保障</w:t>
      </w:r>
      <w:r>
        <w:rPr>
          <w:rFonts w:hint="eastAsia"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zh-CN" w:bidi="ar"/>
        </w:rPr>
        <w:t>十四五</w:t>
      </w:r>
      <w:r>
        <w:rPr>
          <w:rFonts w:hint="eastAsia"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zh-CN" w:bidi="ar"/>
        </w:rPr>
        <w:t>规划环境影响报告书》的符合性</w:t>
      </w:r>
    </w:p>
    <w:tbl>
      <w:tblPr>
        <w:tblStyle w:val="31"/>
        <w:tblW w:w="1417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6"/>
        <w:gridCol w:w="6705"/>
        <w:gridCol w:w="5906"/>
        <w:gridCol w:w="777"/>
      </w:tblGrid>
      <w:tr w14:paraId="0A2D11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39" w:hRule="exact"/>
          <w:tblHeader/>
        </w:trPr>
        <w:tc>
          <w:tcPr>
            <w:tcW w:w="786" w:type="dxa"/>
            <w:tcBorders>
              <w:tl2br w:val="nil"/>
              <w:tr2bl w:val="nil"/>
            </w:tcBorders>
            <w:shd w:val="clear" w:color="auto" w:fill="auto"/>
            <w:vAlign w:val="center"/>
          </w:tcPr>
          <w:p w14:paraId="652DF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snapToGrid/>
                <w:color w:val="auto"/>
                <w:kern w:val="2"/>
                <w:sz w:val="21"/>
                <w:szCs w:val="21"/>
                <w:highlight w:val="none"/>
                <w:lang w:val="en-US" w:eastAsia="zh-CN" w:bidi="ar"/>
              </w:rPr>
              <w:t>序号</w:t>
            </w:r>
          </w:p>
        </w:tc>
        <w:tc>
          <w:tcPr>
            <w:tcW w:w="6705" w:type="dxa"/>
            <w:tcBorders>
              <w:tl2br w:val="nil"/>
              <w:tr2bl w:val="nil"/>
            </w:tcBorders>
            <w:shd w:val="clear" w:color="auto" w:fill="auto"/>
            <w:vAlign w:val="center"/>
          </w:tcPr>
          <w:p w14:paraId="1403A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snapToGrid/>
                <w:color w:val="auto"/>
                <w:kern w:val="2"/>
                <w:sz w:val="21"/>
                <w:szCs w:val="21"/>
                <w:highlight w:val="none"/>
                <w:lang w:val="en-US" w:eastAsia="zh-CN" w:bidi="ar"/>
              </w:rPr>
              <w:t>规划环评要求</w:t>
            </w:r>
          </w:p>
        </w:tc>
        <w:tc>
          <w:tcPr>
            <w:tcW w:w="5906" w:type="dxa"/>
            <w:tcBorders>
              <w:tl2br w:val="nil"/>
              <w:tr2bl w:val="nil"/>
            </w:tcBorders>
            <w:shd w:val="clear" w:color="auto" w:fill="auto"/>
            <w:vAlign w:val="center"/>
          </w:tcPr>
          <w:p w14:paraId="26CA74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snapToGrid/>
                <w:color w:val="auto"/>
                <w:kern w:val="2"/>
                <w:sz w:val="21"/>
                <w:szCs w:val="21"/>
                <w:highlight w:val="none"/>
                <w:lang w:val="en-US" w:eastAsia="zh-CN" w:bidi="ar"/>
              </w:rPr>
              <w:t>本工程具体情况</w:t>
            </w:r>
          </w:p>
        </w:tc>
        <w:tc>
          <w:tcPr>
            <w:tcW w:w="777" w:type="dxa"/>
            <w:tcBorders>
              <w:tl2br w:val="nil"/>
              <w:tr2bl w:val="nil"/>
            </w:tcBorders>
            <w:shd w:val="clear" w:color="auto" w:fill="auto"/>
            <w:vAlign w:val="center"/>
          </w:tcPr>
          <w:p w14:paraId="6D0518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snapToGrid/>
                <w:color w:val="auto"/>
                <w:kern w:val="2"/>
                <w:sz w:val="21"/>
                <w:szCs w:val="21"/>
                <w:highlight w:val="none"/>
                <w:lang w:val="en-US" w:eastAsia="zh-CN" w:bidi="ar"/>
              </w:rPr>
              <w:t>是否</w:t>
            </w:r>
          </w:p>
          <w:p w14:paraId="758A5E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snapToGrid/>
                <w:color w:val="auto"/>
                <w:kern w:val="2"/>
                <w:sz w:val="21"/>
                <w:szCs w:val="21"/>
                <w:highlight w:val="none"/>
                <w:lang w:val="en-US" w:eastAsia="zh-CN" w:bidi="ar"/>
              </w:rPr>
              <w:t>符合</w:t>
            </w:r>
          </w:p>
        </w:tc>
      </w:tr>
      <w:tr w14:paraId="7DBF22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0" w:hRule="atLeast"/>
        </w:trPr>
        <w:tc>
          <w:tcPr>
            <w:tcW w:w="786" w:type="dxa"/>
            <w:tcBorders>
              <w:tl2br w:val="nil"/>
              <w:tr2bl w:val="nil"/>
            </w:tcBorders>
            <w:shd w:val="clear" w:color="auto" w:fill="auto"/>
            <w:vAlign w:val="center"/>
          </w:tcPr>
          <w:p w14:paraId="25512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1</w:t>
            </w:r>
          </w:p>
        </w:tc>
        <w:tc>
          <w:tcPr>
            <w:tcW w:w="6705" w:type="dxa"/>
            <w:tcBorders>
              <w:tl2br w:val="nil"/>
              <w:tr2bl w:val="nil"/>
            </w:tcBorders>
            <w:shd w:val="clear" w:color="auto" w:fill="auto"/>
            <w:vAlign w:val="center"/>
          </w:tcPr>
          <w:p w14:paraId="30257B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优化涉环境敏感区项目的选址选线</w:t>
            </w: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中提出：</w:t>
            </w: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等重点项目的初步建设方案存在占用各类环境敏感区的情况……本次评价要求严格遵守《中华人民共和国水污染防治法》……及《饮用水水源保护区污染防治管理规定》中的有关要求，在后续的设计和建设过程中，依法依规采取必要的避让措施……确实无法避让的，应符合相关法律法规的要求，取得相关行政主管部门的许可，在项目环评中充分论证对环境敏感区的影响范围和程度，并采取有效的保护和恢复措施……确保规划项目的建设符合有关法律法规及政策要求，不会对环境敏感区的生态系统功能、生态环境质量和区域生态安全造成重大影响，生态保护红线范围内</w:t>
            </w: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生态功能不降低、面积不减少、性质不改变</w:t>
            </w: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w:t>
            </w:r>
          </w:p>
        </w:tc>
        <w:tc>
          <w:tcPr>
            <w:tcW w:w="5906" w:type="dxa"/>
            <w:tcBorders>
              <w:tl2br w:val="nil"/>
              <w:tr2bl w:val="nil"/>
            </w:tcBorders>
            <w:shd w:val="clear" w:color="auto" w:fill="auto"/>
            <w:vAlign w:val="center"/>
          </w:tcPr>
          <w:p w14:paraId="33D17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本工程属于</w:t>
            </w:r>
            <w:r>
              <w:rPr>
                <w:rFonts w:hint="eastAsia" w:ascii="Times New Roman" w:hAnsi="Times New Roman" w:eastAsia="宋体" w:cs="Times New Roman"/>
                <w:snapToGrid/>
                <w:color w:val="auto"/>
                <w:kern w:val="2"/>
                <w:sz w:val="21"/>
                <w:szCs w:val="21"/>
                <w:highlight w:val="none"/>
                <w:lang w:val="en-US" w:eastAsia="zh-CN" w:bidi="ar"/>
              </w:rPr>
              <w:t>河道综合治理项目</w:t>
            </w:r>
            <w:r>
              <w:rPr>
                <w:rFonts w:hint="default" w:ascii="Times New Roman" w:hAnsi="Times New Roman" w:eastAsia="宋体" w:cs="Times New Roman"/>
                <w:snapToGrid/>
                <w:color w:val="auto"/>
                <w:kern w:val="2"/>
                <w:sz w:val="21"/>
                <w:szCs w:val="21"/>
                <w:highlight w:val="none"/>
                <w:lang w:val="en-US" w:eastAsia="zh-CN" w:bidi="ar"/>
              </w:rPr>
              <w:t>，项目建设符合当地国土空间规划的线性基础设施建设、堤防防洪和供水设施建设要求。施工临时道路充分利用现有道路，施工生产生活区、预制场均避开生态保护红线，最大限度减少对地表植被的破坏，维护生物多样性；在工程设计和施工方案设计时提出了水土保持、生态保护及恢复措施，保持区域生态系统的完整性和稳定性；严格控制施工作业范围，施工车辆必须在限定临时道路行驶；优化施工时序，对表层土进行剥离，用于生态恢复。</w:t>
            </w:r>
          </w:p>
        </w:tc>
        <w:tc>
          <w:tcPr>
            <w:tcW w:w="777" w:type="dxa"/>
            <w:tcBorders>
              <w:tl2br w:val="nil"/>
              <w:tr2bl w:val="nil"/>
            </w:tcBorders>
            <w:shd w:val="clear" w:color="auto" w:fill="auto"/>
            <w:vAlign w:val="center"/>
          </w:tcPr>
          <w:p w14:paraId="2993DD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6E3311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4" w:hRule="atLeast"/>
        </w:trPr>
        <w:tc>
          <w:tcPr>
            <w:tcW w:w="786" w:type="dxa"/>
            <w:tcBorders>
              <w:tl2br w:val="nil"/>
              <w:tr2bl w:val="nil"/>
            </w:tcBorders>
            <w:shd w:val="clear" w:color="auto" w:fill="auto"/>
            <w:vAlign w:val="center"/>
          </w:tcPr>
          <w:p w14:paraId="76C5E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3</w:t>
            </w:r>
          </w:p>
        </w:tc>
        <w:tc>
          <w:tcPr>
            <w:tcW w:w="6705" w:type="dxa"/>
            <w:tcBorders>
              <w:tl2br w:val="nil"/>
              <w:tr2bl w:val="nil"/>
            </w:tcBorders>
            <w:shd w:val="clear" w:color="auto" w:fill="auto"/>
            <w:vAlign w:val="center"/>
          </w:tcPr>
          <w:p w14:paraId="488E67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植被恢复：规划各类工程的建设……施工临时占地也将对植被产生影响，在施工过程中将不可避免地扰动地表植被，甚至使土壤松散和裸露，容易产生水土流失。因此，在施工过程中应以工程措施为主、植物措施为辅，永久和临时措施相结合的防治体系。施工中应尽量保存当地的熟化土，对于建设中永久占用地、临时占用耕地部分的表层土予以收集保存，施工结束后及时清理、松土、覆盖耕作土，复耕或选择当地适宜植物及时恢复绿化。……对施工区周围的植被，采用建围栏、人工造林种草等措施进行特殊管护以促进其尽快恢复。</w:t>
            </w:r>
          </w:p>
        </w:tc>
        <w:tc>
          <w:tcPr>
            <w:tcW w:w="5906" w:type="dxa"/>
            <w:tcBorders>
              <w:tl2br w:val="nil"/>
              <w:tr2bl w:val="nil"/>
            </w:tcBorders>
            <w:shd w:val="clear" w:color="auto" w:fill="auto"/>
            <w:vAlign w:val="center"/>
          </w:tcPr>
          <w:p w14:paraId="0F3B7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环评阶段通过资料查阅、实地踏勘、走访调查当地居民及样方调查等，未发现现有工程及拟建工程选址涉及国家级和省级保护物种、珍稀濒危物种、地方特有物种和古树名木。对施工期提出优化施工方案，采用先进施工工艺，尽量减小开挖对地表的扰动，合理布置和规划施工工区和临时用地；采取工程措施、植物措施、临时措施等相结合的水土保持综合措施，减少施工扰动产生的新增水土流失，对施工迹地进行绿化恢复；土石弃渣的堆放遵循</w:t>
            </w: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先挡后弃</w:t>
            </w: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的原则，同时以植物措施与工程措施配套，提高水保效果，减少工程施工带来的新增水土流失量，恢复原有植被。</w:t>
            </w:r>
          </w:p>
        </w:tc>
        <w:tc>
          <w:tcPr>
            <w:tcW w:w="777" w:type="dxa"/>
            <w:tcBorders>
              <w:tl2br w:val="nil"/>
              <w:tr2bl w:val="nil"/>
            </w:tcBorders>
            <w:shd w:val="clear" w:color="auto" w:fill="auto"/>
            <w:vAlign w:val="center"/>
          </w:tcPr>
          <w:p w14:paraId="7DE0E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2DE6E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21" w:hRule="atLeast"/>
        </w:trPr>
        <w:tc>
          <w:tcPr>
            <w:tcW w:w="786" w:type="dxa"/>
            <w:tcBorders>
              <w:tl2br w:val="nil"/>
              <w:tr2bl w:val="nil"/>
            </w:tcBorders>
            <w:shd w:val="clear" w:color="auto" w:fill="auto"/>
            <w:vAlign w:val="center"/>
          </w:tcPr>
          <w:p w14:paraId="0572F4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4</w:t>
            </w:r>
          </w:p>
        </w:tc>
        <w:tc>
          <w:tcPr>
            <w:tcW w:w="6705" w:type="dxa"/>
            <w:tcBorders>
              <w:tl2br w:val="nil"/>
              <w:tr2bl w:val="nil"/>
            </w:tcBorders>
            <w:shd w:val="clear" w:color="auto" w:fill="auto"/>
            <w:vAlign w:val="center"/>
          </w:tcPr>
          <w:p w14:paraId="400CE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野生动物保护措施：……加强对各施工单位和施工人员的环保宣传教育工作，制定规章制度，设立有关标志，严控施工范围，禁止捕杀野生动物。</w:t>
            </w:r>
          </w:p>
        </w:tc>
        <w:tc>
          <w:tcPr>
            <w:tcW w:w="5906" w:type="dxa"/>
            <w:tcBorders>
              <w:tl2br w:val="nil"/>
              <w:tr2bl w:val="nil"/>
            </w:tcBorders>
            <w:shd w:val="clear" w:color="auto" w:fill="auto"/>
            <w:vAlign w:val="center"/>
          </w:tcPr>
          <w:p w14:paraId="7F0D51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施工期加强对各施工单位和施工人员的环保宣传教育工作，制定规章制度，设立有关标志，严控施工范围，禁止捕杀野生动物。</w:t>
            </w:r>
          </w:p>
        </w:tc>
        <w:tc>
          <w:tcPr>
            <w:tcW w:w="777" w:type="dxa"/>
            <w:tcBorders>
              <w:tl2br w:val="nil"/>
              <w:tr2bl w:val="nil"/>
            </w:tcBorders>
            <w:shd w:val="clear" w:color="auto" w:fill="auto"/>
            <w:vAlign w:val="center"/>
          </w:tcPr>
          <w:p w14:paraId="765869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4D18DA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0" w:hRule="atLeast"/>
        </w:trPr>
        <w:tc>
          <w:tcPr>
            <w:tcW w:w="786" w:type="dxa"/>
            <w:vMerge w:val="restart"/>
            <w:tcBorders>
              <w:tl2br w:val="nil"/>
              <w:tr2bl w:val="nil"/>
            </w:tcBorders>
            <w:shd w:val="clear" w:color="auto" w:fill="auto"/>
            <w:vAlign w:val="center"/>
          </w:tcPr>
          <w:p w14:paraId="2F63F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5</w:t>
            </w:r>
          </w:p>
        </w:tc>
        <w:tc>
          <w:tcPr>
            <w:tcW w:w="6705" w:type="dxa"/>
            <w:vMerge w:val="restart"/>
            <w:tcBorders>
              <w:tl2br w:val="nil"/>
              <w:tr2bl w:val="nil"/>
            </w:tcBorders>
            <w:shd w:val="clear" w:color="auto" w:fill="auto"/>
            <w:vAlign w:val="center"/>
          </w:tcPr>
          <w:p w14:paraId="16BD2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水土保持措施：优化施工组织设计，临时工程的设置应优先考虑永临结合，尽量减少占地；小型施工场地、营地的设置应尽量利用沿线既有场地、站区永久征地和城市用地；临时工程用地周边应设置醒目的标示牌、边界线，严格限制作业范围，施工车辆、人员必须在作业带内活动，严禁随意扩大扰动范围。临时占地恢复，保留30～50cm的表土层，施工结束后，及时采取土地平整+表层土填埋+植被恢复。严格按设计要求取弃土不得乱挖乱取，破坏地表植被。施工道路，尽可能利用现有道路。</w:t>
            </w:r>
          </w:p>
        </w:tc>
        <w:tc>
          <w:tcPr>
            <w:tcW w:w="5906" w:type="dxa"/>
            <w:vMerge w:val="restart"/>
            <w:tcBorders>
              <w:tl2br w:val="nil"/>
              <w:tr2bl w:val="nil"/>
            </w:tcBorders>
            <w:shd w:val="clear" w:color="auto" w:fill="auto"/>
            <w:vAlign w:val="center"/>
          </w:tcPr>
          <w:p w14:paraId="44C4D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本工程采取优化施工组织设计、合理布置施工场地、严控施工作业范围、选用当地适生物种进行迹地恢复等水土流失防治措施，有效治理工程防治责任范围内的水土流失。</w:t>
            </w:r>
          </w:p>
        </w:tc>
        <w:tc>
          <w:tcPr>
            <w:tcW w:w="777" w:type="dxa"/>
            <w:vMerge w:val="restart"/>
            <w:tcBorders>
              <w:tl2br w:val="nil"/>
              <w:tr2bl w:val="nil"/>
            </w:tcBorders>
            <w:shd w:val="clear" w:color="auto" w:fill="auto"/>
            <w:vAlign w:val="center"/>
          </w:tcPr>
          <w:p w14:paraId="6AD08D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69C755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786" w:type="dxa"/>
            <w:vMerge w:val="continue"/>
            <w:tcBorders>
              <w:tl2br w:val="nil"/>
              <w:tr2bl w:val="nil"/>
            </w:tcBorders>
            <w:shd w:val="clear" w:color="auto" w:fill="auto"/>
            <w:vAlign w:val="center"/>
          </w:tcPr>
          <w:p w14:paraId="739C2B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kern w:val="2"/>
                <w:sz w:val="21"/>
                <w:szCs w:val="21"/>
                <w:highlight w:val="none"/>
              </w:rPr>
            </w:pPr>
          </w:p>
        </w:tc>
        <w:tc>
          <w:tcPr>
            <w:tcW w:w="6705" w:type="dxa"/>
            <w:vMerge w:val="continue"/>
            <w:tcBorders>
              <w:tl2br w:val="nil"/>
              <w:tr2bl w:val="nil"/>
            </w:tcBorders>
            <w:shd w:val="clear" w:color="auto" w:fill="auto"/>
            <w:vAlign w:val="center"/>
          </w:tcPr>
          <w:p w14:paraId="24B2C8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kern w:val="2"/>
                <w:sz w:val="21"/>
                <w:szCs w:val="21"/>
                <w:highlight w:val="none"/>
              </w:rPr>
            </w:pPr>
          </w:p>
        </w:tc>
        <w:tc>
          <w:tcPr>
            <w:tcW w:w="5906" w:type="dxa"/>
            <w:vMerge w:val="continue"/>
            <w:tcBorders>
              <w:tl2br w:val="nil"/>
              <w:tr2bl w:val="nil"/>
            </w:tcBorders>
            <w:shd w:val="clear" w:color="auto" w:fill="auto"/>
            <w:vAlign w:val="center"/>
          </w:tcPr>
          <w:p w14:paraId="6BA640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kern w:val="2"/>
                <w:sz w:val="21"/>
                <w:szCs w:val="21"/>
                <w:highlight w:val="none"/>
              </w:rPr>
            </w:pPr>
          </w:p>
        </w:tc>
        <w:tc>
          <w:tcPr>
            <w:tcW w:w="777" w:type="dxa"/>
            <w:vMerge w:val="continue"/>
            <w:tcBorders>
              <w:tl2br w:val="nil"/>
              <w:tr2bl w:val="nil"/>
            </w:tcBorders>
            <w:shd w:val="clear" w:color="auto" w:fill="auto"/>
            <w:vAlign w:val="center"/>
          </w:tcPr>
          <w:p w14:paraId="41F70B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kern w:val="2"/>
                <w:sz w:val="21"/>
                <w:szCs w:val="21"/>
                <w:highlight w:val="none"/>
              </w:rPr>
            </w:pPr>
          </w:p>
        </w:tc>
      </w:tr>
      <w:tr w14:paraId="615367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0" w:hRule="atLeast"/>
        </w:trPr>
        <w:tc>
          <w:tcPr>
            <w:tcW w:w="786" w:type="dxa"/>
            <w:tcBorders>
              <w:tl2br w:val="nil"/>
              <w:tr2bl w:val="nil"/>
            </w:tcBorders>
            <w:shd w:val="clear" w:color="auto" w:fill="auto"/>
            <w:vAlign w:val="center"/>
          </w:tcPr>
          <w:p w14:paraId="4BDEBA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6</w:t>
            </w:r>
          </w:p>
        </w:tc>
        <w:tc>
          <w:tcPr>
            <w:tcW w:w="6705" w:type="dxa"/>
            <w:tcBorders>
              <w:tl2br w:val="nil"/>
              <w:tr2bl w:val="nil"/>
            </w:tcBorders>
            <w:shd w:val="clear" w:color="auto" w:fill="auto"/>
            <w:vAlign w:val="center"/>
          </w:tcPr>
          <w:p w14:paraId="2B2F1E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kern w:val="2"/>
                <w:sz w:val="21"/>
                <w:szCs w:val="21"/>
                <w:highlight w:val="none"/>
              </w:rPr>
            </w:pPr>
            <w:r>
              <w:rPr>
                <w:rFonts w:hint="default" w:ascii="Times New Roman" w:hAnsi="Times New Roman" w:eastAsia="宋体" w:cs="Times New Roman"/>
                <w:snapToGrid/>
                <w:color w:val="auto"/>
                <w:kern w:val="2"/>
                <w:sz w:val="21"/>
                <w:szCs w:val="21"/>
                <w:highlight w:val="none"/>
                <w:lang w:val="en-US" w:eastAsia="zh-CN" w:bidi="ar"/>
              </w:rPr>
              <w:t>生态保护红线：生态保护红线内已有的下列开发活动，按照尊重历史、严格依法、稳步进、逐步解决的原则处置：（一）符合生态保护红线准入清单的开发活动可以依法进行；（二）不符合生态保护红线准入清单的开发活动应当退出；（三）耕地可以正常耕作，但依法退耕还林（草、湿）的除外；（四）居民生活点、农（林）场场部等生产生活设施可以正常使用，但不得扩大现有用地规模；（五）具备条件的地区逐步推进生态移民或者集中安置；（六）交通、通信、能源管道、输电线路、防洪水利等设施应当依法管理、运行和维护。</w:t>
            </w:r>
          </w:p>
        </w:tc>
        <w:tc>
          <w:tcPr>
            <w:tcW w:w="5906" w:type="dxa"/>
            <w:tcBorders>
              <w:tl2br w:val="nil"/>
              <w:tr2bl w:val="nil"/>
            </w:tcBorders>
            <w:shd w:val="clear" w:color="auto" w:fill="auto"/>
            <w:vAlign w:val="center"/>
          </w:tcPr>
          <w:p w14:paraId="179DD1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kern w:val="2"/>
                <w:sz w:val="21"/>
                <w:szCs w:val="21"/>
                <w:highlight w:val="none"/>
              </w:rPr>
            </w:pPr>
            <w:r>
              <w:rPr>
                <w:rFonts w:hint="default" w:ascii="Times New Roman" w:hAnsi="Times New Roman" w:eastAsia="宋体" w:cs="Times New Roman"/>
                <w:snapToGrid/>
                <w:color w:val="auto"/>
                <w:kern w:val="2"/>
                <w:sz w:val="21"/>
                <w:szCs w:val="21"/>
                <w:highlight w:val="none"/>
                <w:lang w:val="en-US" w:eastAsia="zh-CN" w:bidi="ar"/>
              </w:rPr>
              <w:t>本工程</w:t>
            </w:r>
            <w:r>
              <w:rPr>
                <w:rFonts w:hint="eastAsia" w:ascii="Times New Roman" w:hAnsi="Times New Roman" w:eastAsia="宋体" w:cs="Times New Roman"/>
                <w:snapToGrid/>
                <w:color w:val="auto"/>
                <w:kern w:val="2"/>
                <w:sz w:val="21"/>
                <w:szCs w:val="21"/>
                <w:highlight w:val="none"/>
                <w:lang w:val="en-US" w:eastAsia="zh-CN" w:bidi="ar"/>
              </w:rPr>
              <w:t>不占用生态红线，仅评价范围进入</w:t>
            </w:r>
            <w:r>
              <w:rPr>
                <w:rFonts w:hint="default" w:ascii="Times New Roman" w:hAnsi="Times New Roman" w:eastAsia="宋体" w:cs="Times New Roman"/>
                <w:snapToGrid/>
                <w:color w:val="auto"/>
                <w:kern w:val="2"/>
                <w:sz w:val="21"/>
                <w:szCs w:val="21"/>
                <w:highlight w:val="none"/>
                <w:lang w:val="en-US" w:eastAsia="zh-CN" w:bidi="ar"/>
              </w:rPr>
              <w:t>生态保护红线</w:t>
            </w:r>
            <w:r>
              <w:rPr>
                <w:rFonts w:hint="eastAsia" w:ascii="Times New Roman" w:hAnsi="Times New Roman" w:eastAsia="宋体" w:cs="Times New Roman"/>
                <w:snapToGrid/>
                <w:color w:val="auto"/>
                <w:kern w:val="2"/>
                <w:sz w:val="21"/>
                <w:szCs w:val="21"/>
                <w:highlight w:val="none"/>
                <w:lang w:val="en-US" w:eastAsia="zh-CN" w:bidi="ar"/>
              </w:rPr>
              <w:t>区域内</w:t>
            </w:r>
            <w:r>
              <w:rPr>
                <w:rFonts w:hint="default" w:ascii="Times New Roman" w:hAnsi="Times New Roman" w:eastAsia="宋体" w:cs="Times New Roman"/>
                <w:snapToGrid/>
                <w:color w:val="auto"/>
                <w:kern w:val="2"/>
                <w:sz w:val="21"/>
                <w:szCs w:val="21"/>
                <w:highlight w:val="none"/>
                <w:lang w:val="en-US" w:eastAsia="zh-CN" w:bidi="ar"/>
              </w:rPr>
              <w:t>。工程为水利工程</w:t>
            </w:r>
            <w:r>
              <w:rPr>
                <w:rFonts w:hint="eastAsia" w:cs="Times New Roman"/>
                <w:snapToGrid/>
                <w:color w:val="auto"/>
                <w:kern w:val="2"/>
                <w:sz w:val="21"/>
                <w:szCs w:val="21"/>
                <w:highlight w:val="none"/>
                <w:lang w:val="en-US" w:eastAsia="zh-CN" w:bidi="ar"/>
              </w:rPr>
              <w:t>，</w:t>
            </w:r>
            <w:r>
              <w:rPr>
                <w:rFonts w:hint="default" w:ascii="Times New Roman" w:hAnsi="Times New Roman" w:eastAsia="宋体" w:cs="Times New Roman"/>
                <w:snapToGrid/>
                <w:color w:val="auto"/>
                <w:kern w:val="2"/>
                <w:sz w:val="21"/>
                <w:szCs w:val="21"/>
                <w:highlight w:val="none"/>
                <w:lang w:val="en-US" w:eastAsia="zh-CN" w:bidi="ar"/>
              </w:rPr>
              <w:t>不属于大规模、高强度的开发建设活动；工程建成后</w:t>
            </w:r>
            <w:r>
              <w:rPr>
                <w:rFonts w:hint="eastAsia" w:ascii="Times New Roman" w:hAnsi="Times New Roman" w:eastAsia="宋体" w:cs="Times New Roman"/>
                <w:snapToGrid/>
                <w:color w:val="auto"/>
                <w:kern w:val="2"/>
                <w:sz w:val="21"/>
                <w:szCs w:val="21"/>
                <w:highlight w:val="none"/>
                <w:lang w:val="en-US" w:eastAsia="zh-CN" w:bidi="ar"/>
              </w:rPr>
              <w:t>河道</w:t>
            </w:r>
            <w:r>
              <w:rPr>
                <w:rFonts w:hint="default" w:ascii="Times New Roman" w:hAnsi="Times New Roman" w:eastAsia="宋体" w:cs="Times New Roman"/>
                <w:snapToGrid/>
                <w:color w:val="auto"/>
                <w:kern w:val="2"/>
                <w:sz w:val="21"/>
                <w:szCs w:val="21"/>
                <w:highlight w:val="none"/>
                <w:lang w:val="en-US" w:eastAsia="zh-CN" w:bidi="ar"/>
              </w:rPr>
              <w:t>沿线不产生废气、废水、废渣等污染物，不会增加区域环境空气、地表水环境、地下水环境污染负荷；通过水土保持、生态保护及恢复措施，区域生态环境功能不会减低。</w:t>
            </w:r>
          </w:p>
        </w:tc>
        <w:tc>
          <w:tcPr>
            <w:tcW w:w="777" w:type="dxa"/>
            <w:tcBorders>
              <w:tl2br w:val="nil"/>
              <w:tr2bl w:val="nil"/>
            </w:tcBorders>
            <w:shd w:val="clear" w:color="auto" w:fill="auto"/>
            <w:vAlign w:val="center"/>
          </w:tcPr>
          <w:p w14:paraId="66C8A7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kern w:val="2"/>
                <w:sz w:val="21"/>
                <w:szCs w:val="21"/>
                <w:highlight w:val="none"/>
              </w:rPr>
            </w:pPr>
            <w:r>
              <w:rPr>
                <w:rFonts w:hint="default" w:ascii="Times New Roman" w:hAnsi="Times New Roman" w:eastAsia="宋体" w:cs="Times New Roman"/>
                <w:snapToGrid/>
                <w:color w:val="auto"/>
                <w:kern w:val="2"/>
                <w:sz w:val="21"/>
                <w:szCs w:val="21"/>
                <w:highlight w:val="none"/>
                <w:lang w:val="en-US" w:eastAsia="zh-CN" w:bidi="ar"/>
              </w:rPr>
              <w:t>符合</w:t>
            </w:r>
          </w:p>
        </w:tc>
      </w:tr>
    </w:tbl>
    <w:p w14:paraId="51769F6B">
      <w:pPr>
        <w:rPr>
          <w:rFonts w:hint="default" w:ascii="Times New Roman" w:hAnsi="Times New Roman" w:eastAsia="宋体" w:cs="Times New Roman"/>
          <w:color w:val="auto"/>
          <w:sz w:val="28"/>
          <w:szCs w:val="28"/>
          <w:highlight w:val="none"/>
          <w:lang w:val="en-US" w:eastAsia="zh-CN" w:bidi="ar"/>
        </w:rPr>
      </w:pPr>
      <w:r>
        <w:rPr>
          <w:rFonts w:hint="default" w:ascii="Times New Roman" w:hAnsi="Times New Roman" w:eastAsia="宋体" w:cs="Times New Roman"/>
          <w:color w:val="auto"/>
          <w:sz w:val="28"/>
          <w:szCs w:val="28"/>
          <w:highlight w:val="none"/>
          <w:lang w:val="en-US" w:eastAsia="zh-CN" w:bidi="ar"/>
        </w:rPr>
        <w:br w:type="page"/>
      </w:r>
    </w:p>
    <w:p w14:paraId="3457D8AA">
      <w:pPr>
        <w:jc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bidi="ar"/>
        </w:rPr>
        <w:t>表</w:t>
      </w:r>
      <w:r>
        <w:rPr>
          <w:rFonts w:hint="default" w:ascii="Times New Roman" w:hAnsi="Times New Roman" w:cs="Times New Roman"/>
          <w:b/>
          <w:bCs/>
          <w:color w:val="auto"/>
          <w:sz w:val="24"/>
          <w:szCs w:val="24"/>
          <w:highlight w:val="none"/>
          <w:lang w:val="en-US" w:eastAsia="zh-CN" w:bidi="ar"/>
        </w:rPr>
        <w:t>8.2</w:t>
      </w:r>
      <w:r>
        <w:rPr>
          <w:rFonts w:hint="eastAsia" w:ascii="Times New Roman" w:hAnsi="Times New Roman" w:cs="Times New Roman"/>
          <w:b/>
          <w:bCs/>
          <w:color w:val="auto"/>
          <w:sz w:val="24"/>
          <w:szCs w:val="24"/>
          <w:highlight w:val="none"/>
          <w:lang w:val="en-US" w:eastAsia="zh-CN" w:bidi="ar"/>
        </w:rPr>
        <w:t>-</w:t>
      </w:r>
      <w:r>
        <w:rPr>
          <w:rFonts w:hint="default" w:ascii="Times New Roman" w:hAnsi="Times New Roman" w:cs="Times New Roman"/>
          <w:b/>
          <w:bCs/>
          <w:color w:val="auto"/>
          <w:sz w:val="24"/>
          <w:szCs w:val="24"/>
          <w:highlight w:val="none"/>
          <w:lang w:val="en-US" w:eastAsia="zh-CN" w:bidi="ar"/>
        </w:rPr>
        <w:t>2</w:t>
      </w:r>
      <w:r>
        <w:rPr>
          <w:rFonts w:hint="eastAsia" w:cs="Times New Roman"/>
          <w:b/>
          <w:bCs/>
          <w:color w:val="auto"/>
          <w:sz w:val="24"/>
          <w:szCs w:val="24"/>
          <w:highlight w:val="none"/>
          <w:lang w:val="en-US" w:eastAsia="zh-CN" w:bidi="ar"/>
        </w:rPr>
        <w:t>本工程</w:t>
      </w:r>
      <w:r>
        <w:rPr>
          <w:rFonts w:hint="default" w:ascii="Times New Roman" w:hAnsi="Times New Roman" w:eastAsia="宋体" w:cs="Times New Roman"/>
          <w:b/>
          <w:bCs/>
          <w:color w:val="auto"/>
          <w:sz w:val="24"/>
          <w:szCs w:val="24"/>
          <w:highlight w:val="none"/>
          <w:lang w:val="en-US" w:eastAsia="zh-CN" w:bidi="ar"/>
        </w:rPr>
        <w:t>与《宁夏水安全保障</w:t>
      </w:r>
      <w:r>
        <w:rPr>
          <w:rFonts w:hint="eastAsia"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zh-CN" w:bidi="ar"/>
        </w:rPr>
        <w:t>十四五</w:t>
      </w:r>
      <w:r>
        <w:rPr>
          <w:rFonts w:hint="eastAsia" w:cs="Times New Roman"/>
          <w:b/>
          <w:bCs/>
          <w:color w:val="auto"/>
          <w:sz w:val="24"/>
          <w:szCs w:val="24"/>
          <w:highlight w:val="none"/>
          <w:lang w:val="en-US" w:eastAsia="zh-CN" w:bidi="ar"/>
        </w:rPr>
        <w:t>”</w:t>
      </w:r>
      <w:r>
        <w:rPr>
          <w:rFonts w:hint="default" w:ascii="Times New Roman" w:hAnsi="Times New Roman" w:eastAsia="宋体" w:cs="Times New Roman"/>
          <w:b/>
          <w:bCs/>
          <w:color w:val="auto"/>
          <w:sz w:val="24"/>
          <w:szCs w:val="24"/>
          <w:highlight w:val="none"/>
          <w:lang w:val="en-US" w:eastAsia="zh-CN" w:bidi="ar"/>
        </w:rPr>
        <w:t>规划环境影响报告书审查意见》的相符性</w:t>
      </w:r>
    </w:p>
    <w:tbl>
      <w:tblPr>
        <w:tblStyle w:val="31"/>
        <w:tblW w:w="14175"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5"/>
        <w:gridCol w:w="6697"/>
        <w:gridCol w:w="5265"/>
        <w:gridCol w:w="1418"/>
      </w:tblGrid>
      <w:tr w14:paraId="1B8D2FF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5" w:hRule="atLeast"/>
          <w:tblHeader/>
          <w:jc w:val="center"/>
        </w:trPr>
        <w:tc>
          <w:tcPr>
            <w:tcW w:w="795" w:type="dxa"/>
            <w:tcBorders>
              <w:top w:val="single" w:color="auto" w:sz="12" w:space="0"/>
              <w:left w:val="nil"/>
              <w:bottom w:val="single" w:color="auto" w:sz="4" w:space="0"/>
              <w:right w:val="single" w:color="auto" w:sz="4" w:space="0"/>
            </w:tcBorders>
            <w:shd w:val="clear" w:color="auto" w:fill="auto"/>
            <w:vAlign w:val="center"/>
          </w:tcPr>
          <w:p w14:paraId="5B970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color w:val="auto"/>
                <w:kern w:val="2"/>
                <w:sz w:val="21"/>
                <w:szCs w:val="21"/>
                <w:highlight w:val="none"/>
                <w:lang w:val="en-US" w:eastAsia="zh-CN" w:bidi="ar"/>
              </w:rPr>
            </w:pPr>
            <w:r>
              <w:rPr>
                <w:rFonts w:hint="default" w:ascii="Times New Roman" w:hAnsi="Times New Roman" w:eastAsia="宋体" w:cs="Times New Roman"/>
                <w:b/>
                <w:bCs/>
                <w:snapToGrid/>
                <w:color w:val="auto"/>
                <w:kern w:val="2"/>
                <w:sz w:val="21"/>
                <w:szCs w:val="21"/>
                <w:highlight w:val="none"/>
                <w:lang w:val="en-US" w:eastAsia="zh-CN" w:bidi="ar"/>
              </w:rPr>
              <w:t>序号</w:t>
            </w:r>
          </w:p>
        </w:tc>
        <w:tc>
          <w:tcPr>
            <w:tcW w:w="6697" w:type="dxa"/>
            <w:tcBorders>
              <w:top w:val="single" w:color="auto" w:sz="12" w:space="0"/>
              <w:left w:val="single" w:color="auto" w:sz="4" w:space="0"/>
              <w:bottom w:val="single" w:color="auto" w:sz="4" w:space="0"/>
              <w:right w:val="single" w:color="auto" w:sz="4" w:space="0"/>
            </w:tcBorders>
            <w:shd w:val="clear" w:color="auto" w:fill="auto"/>
            <w:vAlign w:val="center"/>
          </w:tcPr>
          <w:p w14:paraId="79C36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color w:val="auto"/>
                <w:kern w:val="2"/>
                <w:sz w:val="21"/>
                <w:szCs w:val="21"/>
                <w:highlight w:val="none"/>
                <w:lang w:val="en-US" w:eastAsia="zh-CN" w:bidi="ar"/>
              </w:rPr>
            </w:pPr>
            <w:r>
              <w:rPr>
                <w:rFonts w:hint="default" w:ascii="Times New Roman" w:hAnsi="Times New Roman" w:eastAsia="宋体" w:cs="Times New Roman"/>
                <w:b/>
                <w:bCs/>
                <w:snapToGrid/>
                <w:color w:val="auto"/>
                <w:kern w:val="2"/>
                <w:sz w:val="21"/>
                <w:szCs w:val="21"/>
                <w:highlight w:val="none"/>
                <w:lang w:val="en-US" w:eastAsia="zh-CN" w:bidi="ar"/>
              </w:rPr>
              <w:t>审查意见</w:t>
            </w:r>
          </w:p>
        </w:tc>
        <w:tc>
          <w:tcPr>
            <w:tcW w:w="5265" w:type="dxa"/>
            <w:tcBorders>
              <w:top w:val="single" w:color="auto" w:sz="12" w:space="0"/>
              <w:left w:val="single" w:color="auto" w:sz="4" w:space="0"/>
              <w:bottom w:val="single" w:color="auto" w:sz="4" w:space="0"/>
              <w:right w:val="single" w:color="auto" w:sz="4" w:space="0"/>
            </w:tcBorders>
            <w:shd w:val="clear" w:color="auto" w:fill="auto"/>
            <w:vAlign w:val="center"/>
          </w:tcPr>
          <w:p w14:paraId="2E2FC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color w:val="auto"/>
                <w:kern w:val="2"/>
                <w:sz w:val="21"/>
                <w:szCs w:val="21"/>
                <w:highlight w:val="none"/>
                <w:lang w:val="en-US" w:eastAsia="zh-CN" w:bidi="ar"/>
              </w:rPr>
            </w:pPr>
            <w:r>
              <w:rPr>
                <w:rFonts w:hint="eastAsia" w:cs="Times New Roman"/>
                <w:b/>
                <w:bCs/>
                <w:snapToGrid/>
                <w:color w:val="auto"/>
                <w:kern w:val="2"/>
                <w:sz w:val="21"/>
                <w:szCs w:val="21"/>
                <w:highlight w:val="none"/>
                <w:lang w:val="en-US" w:eastAsia="zh-CN" w:bidi="ar"/>
              </w:rPr>
              <w:t>本工程</w:t>
            </w:r>
          </w:p>
        </w:tc>
        <w:tc>
          <w:tcPr>
            <w:tcW w:w="1418" w:type="dxa"/>
            <w:tcBorders>
              <w:top w:val="single" w:color="auto" w:sz="12" w:space="0"/>
              <w:left w:val="single" w:color="auto" w:sz="4" w:space="0"/>
              <w:bottom w:val="single" w:color="auto" w:sz="4" w:space="0"/>
              <w:right w:val="nil"/>
            </w:tcBorders>
            <w:shd w:val="clear" w:color="auto" w:fill="auto"/>
            <w:vAlign w:val="center"/>
          </w:tcPr>
          <w:p w14:paraId="35BC8F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color w:val="auto"/>
                <w:kern w:val="2"/>
                <w:sz w:val="21"/>
                <w:szCs w:val="21"/>
                <w:highlight w:val="none"/>
                <w:lang w:val="en-US" w:eastAsia="zh-CN" w:bidi="ar"/>
              </w:rPr>
            </w:pPr>
            <w:r>
              <w:rPr>
                <w:rFonts w:hint="default" w:ascii="Times New Roman" w:hAnsi="Times New Roman" w:eastAsia="宋体" w:cs="Times New Roman"/>
                <w:b/>
                <w:bCs/>
                <w:snapToGrid/>
                <w:color w:val="auto"/>
                <w:kern w:val="2"/>
                <w:sz w:val="21"/>
                <w:szCs w:val="21"/>
                <w:highlight w:val="none"/>
                <w:lang w:val="en-US" w:eastAsia="zh-CN" w:bidi="ar"/>
              </w:rPr>
              <w:t>是否符合</w:t>
            </w:r>
          </w:p>
        </w:tc>
      </w:tr>
      <w:tr w14:paraId="58775D7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tcBorders>
              <w:top w:val="single" w:color="auto" w:sz="4" w:space="0"/>
              <w:left w:val="nil"/>
              <w:bottom w:val="single" w:color="auto" w:sz="4" w:space="0"/>
              <w:right w:val="single" w:color="auto" w:sz="4" w:space="0"/>
            </w:tcBorders>
            <w:shd w:val="clear" w:color="auto" w:fill="auto"/>
            <w:vAlign w:val="center"/>
          </w:tcPr>
          <w:p w14:paraId="2D3A7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1</w:t>
            </w:r>
          </w:p>
        </w:tc>
        <w:tc>
          <w:tcPr>
            <w:tcW w:w="6697" w:type="dxa"/>
            <w:tcBorders>
              <w:top w:val="single" w:color="auto" w:sz="4" w:space="0"/>
              <w:left w:val="single" w:color="auto" w:sz="4" w:space="0"/>
              <w:bottom w:val="single" w:color="auto" w:sz="4" w:space="0"/>
              <w:right w:val="single" w:color="auto" w:sz="4" w:space="0"/>
            </w:tcBorders>
            <w:shd w:val="clear" w:color="auto" w:fill="auto"/>
            <w:vAlign w:val="center"/>
          </w:tcPr>
          <w:p w14:paraId="3031B0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严守生态保护红线，加强空间管控。将生态保护红线作为保障和维护区域生态安全的底线，依法实施严格保护，对所涉及的水利工程设施，严格执行各项生态环境保护要求。</w:t>
            </w:r>
          </w:p>
        </w:tc>
        <w:tc>
          <w:tcPr>
            <w:tcW w:w="5265" w:type="dxa"/>
            <w:tcBorders>
              <w:top w:val="single" w:color="auto" w:sz="4" w:space="0"/>
              <w:left w:val="single" w:color="auto" w:sz="4" w:space="0"/>
              <w:bottom w:val="single" w:color="auto" w:sz="4" w:space="0"/>
              <w:right w:val="single" w:color="auto" w:sz="4" w:space="0"/>
            </w:tcBorders>
            <w:shd w:val="clear" w:color="auto" w:fill="auto"/>
            <w:vAlign w:val="center"/>
          </w:tcPr>
          <w:p w14:paraId="109F1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本工程不涉及自然保护地等区域，</w:t>
            </w:r>
            <w:r>
              <w:rPr>
                <w:rFonts w:hint="eastAsia" w:ascii="Times New Roman" w:hAnsi="Times New Roman" w:eastAsia="宋体" w:cs="Times New Roman"/>
                <w:snapToGrid/>
                <w:color w:val="auto"/>
                <w:kern w:val="2"/>
                <w:sz w:val="21"/>
                <w:szCs w:val="21"/>
                <w:highlight w:val="none"/>
                <w:lang w:val="en-US" w:eastAsia="zh-CN" w:bidi="ar"/>
              </w:rPr>
              <w:t>工程不占用生态保护红线</w:t>
            </w:r>
            <w:r>
              <w:rPr>
                <w:rFonts w:hint="default" w:ascii="Times New Roman" w:hAnsi="Times New Roman" w:eastAsia="宋体" w:cs="Times New Roman"/>
                <w:snapToGrid/>
                <w:color w:val="auto"/>
                <w:kern w:val="2"/>
                <w:sz w:val="21"/>
                <w:szCs w:val="21"/>
                <w:highlight w:val="none"/>
                <w:lang w:val="en-US" w:eastAsia="zh-CN" w:bidi="ar"/>
              </w:rPr>
              <w:t>，</w:t>
            </w:r>
            <w:r>
              <w:rPr>
                <w:rFonts w:hint="eastAsia" w:ascii="Times New Roman" w:hAnsi="Times New Roman" w:eastAsia="宋体" w:cs="Times New Roman"/>
                <w:snapToGrid/>
                <w:color w:val="auto"/>
                <w:kern w:val="2"/>
                <w:sz w:val="21"/>
                <w:szCs w:val="21"/>
                <w:highlight w:val="none"/>
                <w:lang w:val="en-US" w:eastAsia="zh-CN" w:bidi="ar"/>
              </w:rPr>
              <w:t>仅评价范围进入红线区域，</w:t>
            </w:r>
            <w:r>
              <w:rPr>
                <w:rFonts w:hint="default" w:ascii="Times New Roman" w:hAnsi="Times New Roman" w:eastAsia="宋体" w:cs="Times New Roman"/>
                <w:snapToGrid/>
                <w:color w:val="auto"/>
                <w:kern w:val="2"/>
                <w:sz w:val="21"/>
                <w:szCs w:val="21"/>
                <w:highlight w:val="none"/>
                <w:lang w:val="en-US" w:eastAsia="zh-CN" w:bidi="ar"/>
              </w:rPr>
              <w:t>不属于依法禁止或限制大规模、高强度的开发建设活动，通过严格落实临时占地的生态恢复措施及水土流失控制措施的实施，确保临时占地生态环境的恢复。</w:t>
            </w:r>
          </w:p>
        </w:tc>
        <w:tc>
          <w:tcPr>
            <w:tcW w:w="1418" w:type="dxa"/>
            <w:tcBorders>
              <w:top w:val="single" w:color="auto" w:sz="4" w:space="0"/>
              <w:left w:val="single" w:color="auto" w:sz="4" w:space="0"/>
              <w:bottom w:val="single" w:color="auto" w:sz="4" w:space="0"/>
              <w:right w:val="nil"/>
            </w:tcBorders>
            <w:shd w:val="clear" w:color="auto" w:fill="auto"/>
            <w:vAlign w:val="center"/>
          </w:tcPr>
          <w:p w14:paraId="7C3FA6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6300E00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tcBorders>
              <w:top w:val="single" w:color="auto" w:sz="4" w:space="0"/>
              <w:left w:val="nil"/>
              <w:bottom w:val="single" w:color="auto" w:sz="4" w:space="0"/>
              <w:right w:val="single" w:color="auto" w:sz="4" w:space="0"/>
            </w:tcBorders>
            <w:shd w:val="clear" w:color="auto" w:fill="auto"/>
            <w:vAlign w:val="center"/>
          </w:tcPr>
          <w:p w14:paraId="42D7DF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2</w:t>
            </w:r>
          </w:p>
        </w:tc>
        <w:tc>
          <w:tcPr>
            <w:tcW w:w="6697" w:type="dxa"/>
            <w:tcBorders>
              <w:top w:val="single" w:color="auto" w:sz="4" w:space="0"/>
              <w:left w:val="single" w:color="auto" w:sz="4" w:space="0"/>
              <w:bottom w:val="single" w:color="auto" w:sz="4" w:space="0"/>
              <w:right w:val="single" w:color="auto" w:sz="4" w:space="0"/>
            </w:tcBorders>
            <w:shd w:val="clear" w:color="auto" w:fill="auto"/>
            <w:vAlign w:val="center"/>
          </w:tcPr>
          <w:p w14:paraId="6DE1F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同步实现环境质量改善目标与水资源开发目标。</w:t>
            </w:r>
          </w:p>
        </w:tc>
        <w:tc>
          <w:tcPr>
            <w:tcW w:w="5265" w:type="dxa"/>
            <w:tcBorders>
              <w:top w:val="single" w:color="auto" w:sz="4" w:space="0"/>
              <w:left w:val="single" w:color="auto" w:sz="4" w:space="0"/>
              <w:bottom w:val="single" w:color="auto" w:sz="4" w:space="0"/>
              <w:right w:val="single" w:color="auto" w:sz="4" w:space="0"/>
            </w:tcBorders>
            <w:shd w:val="clear" w:color="auto" w:fill="auto"/>
            <w:vAlign w:val="center"/>
          </w:tcPr>
          <w:p w14:paraId="0A660B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本工程</w:t>
            </w:r>
            <w:r>
              <w:rPr>
                <w:rFonts w:hint="eastAsia" w:ascii="Times New Roman" w:hAnsi="Times New Roman" w:eastAsia="宋体" w:cs="Times New Roman"/>
                <w:snapToGrid/>
                <w:color w:val="auto"/>
                <w:kern w:val="2"/>
                <w:sz w:val="21"/>
                <w:szCs w:val="21"/>
                <w:highlight w:val="none"/>
                <w:lang w:val="en-US" w:eastAsia="zh-CN" w:bidi="ar"/>
              </w:rPr>
              <w:t>实施</w:t>
            </w:r>
            <w:r>
              <w:rPr>
                <w:rFonts w:hint="default" w:ascii="Times New Roman" w:hAnsi="Times New Roman" w:eastAsia="宋体" w:cs="Times New Roman"/>
                <w:snapToGrid/>
                <w:color w:val="auto"/>
                <w:kern w:val="2"/>
                <w:sz w:val="21"/>
                <w:szCs w:val="21"/>
                <w:highlight w:val="none"/>
                <w:lang w:val="en-US" w:eastAsia="zh-CN" w:bidi="ar"/>
              </w:rPr>
              <w:t>不触及环境质量底线和资源利用</w:t>
            </w:r>
            <w:r>
              <w:rPr>
                <w:rFonts w:hint="eastAsia" w:cs="Times New Roman"/>
                <w:snapToGrid/>
                <w:color w:val="auto"/>
                <w:kern w:val="2"/>
                <w:sz w:val="21"/>
                <w:szCs w:val="21"/>
                <w:highlight w:val="none"/>
                <w:lang w:val="en-US" w:eastAsia="zh-CN" w:bidi="ar"/>
              </w:rPr>
              <w:t>上限</w:t>
            </w:r>
            <w:r>
              <w:rPr>
                <w:rFonts w:hint="default" w:ascii="Times New Roman" w:hAnsi="Times New Roman" w:eastAsia="宋体" w:cs="Times New Roman"/>
                <w:snapToGrid/>
                <w:color w:val="auto"/>
                <w:kern w:val="2"/>
                <w:sz w:val="21"/>
                <w:szCs w:val="21"/>
                <w:highlight w:val="none"/>
                <w:lang w:val="en-US" w:eastAsia="zh-CN" w:bidi="ar"/>
              </w:rPr>
              <w:t>。</w:t>
            </w:r>
            <w:r>
              <w:rPr>
                <w:rFonts w:hint="eastAsia" w:ascii="Times New Roman" w:hAnsi="Times New Roman" w:eastAsia="宋体" w:cs="Times New Roman"/>
                <w:snapToGrid/>
                <w:color w:val="auto"/>
                <w:kern w:val="2"/>
                <w:sz w:val="21"/>
                <w:szCs w:val="21"/>
                <w:highlight w:val="none"/>
                <w:lang w:val="en-US" w:eastAsia="zh-CN" w:bidi="ar"/>
              </w:rPr>
              <w:t>且运营期无污染物产生，施工期严格管理，</w:t>
            </w:r>
            <w:r>
              <w:rPr>
                <w:rFonts w:hint="default" w:ascii="Times New Roman" w:hAnsi="Times New Roman" w:eastAsia="宋体" w:cs="Times New Roman"/>
                <w:snapToGrid/>
                <w:color w:val="auto"/>
                <w:kern w:val="2"/>
                <w:sz w:val="21"/>
                <w:szCs w:val="21"/>
                <w:highlight w:val="none"/>
                <w:lang w:val="en-US" w:eastAsia="zh-CN" w:bidi="ar"/>
              </w:rPr>
              <w:t>项目各监测指标符合环境质量底线的要求。</w:t>
            </w:r>
          </w:p>
        </w:tc>
        <w:tc>
          <w:tcPr>
            <w:tcW w:w="1418" w:type="dxa"/>
            <w:tcBorders>
              <w:top w:val="single" w:color="auto" w:sz="4" w:space="0"/>
              <w:left w:val="single" w:color="auto" w:sz="4" w:space="0"/>
              <w:bottom w:val="single" w:color="auto" w:sz="4" w:space="0"/>
              <w:right w:val="nil"/>
            </w:tcBorders>
            <w:shd w:val="clear" w:color="auto" w:fill="auto"/>
            <w:vAlign w:val="center"/>
          </w:tcPr>
          <w:p w14:paraId="160412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094094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tcBorders>
              <w:top w:val="single" w:color="auto" w:sz="4" w:space="0"/>
              <w:left w:val="nil"/>
              <w:bottom w:val="single" w:color="auto" w:sz="4" w:space="0"/>
              <w:right w:val="single" w:color="auto" w:sz="4" w:space="0"/>
            </w:tcBorders>
            <w:shd w:val="clear" w:color="auto" w:fill="auto"/>
            <w:vAlign w:val="center"/>
          </w:tcPr>
          <w:p w14:paraId="6269E5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3</w:t>
            </w:r>
          </w:p>
        </w:tc>
        <w:tc>
          <w:tcPr>
            <w:tcW w:w="6697" w:type="dxa"/>
            <w:tcBorders>
              <w:top w:val="single" w:color="auto" w:sz="4" w:space="0"/>
              <w:left w:val="single" w:color="auto" w:sz="4" w:space="0"/>
              <w:bottom w:val="single" w:color="auto" w:sz="4" w:space="0"/>
              <w:right w:val="single" w:color="auto" w:sz="4" w:space="0"/>
            </w:tcBorders>
            <w:shd w:val="clear" w:color="auto" w:fill="auto"/>
            <w:vAlign w:val="center"/>
          </w:tcPr>
          <w:p w14:paraId="080D82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严格水利工程建设的环境准入条件。严格水利工程准入要求，从源头上避免对区域水环境质量及水生态造成影响。加强水资源综合利用，提高资源节约集约利用水平。</w:t>
            </w:r>
          </w:p>
        </w:tc>
        <w:tc>
          <w:tcPr>
            <w:tcW w:w="5265" w:type="dxa"/>
            <w:tcBorders>
              <w:top w:val="single" w:color="auto" w:sz="4" w:space="0"/>
              <w:left w:val="single" w:color="auto" w:sz="4" w:space="0"/>
              <w:bottom w:val="single" w:color="auto" w:sz="4" w:space="0"/>
              <w:right w:val="single" w:color="auto" w:sz="4" w:space="0"/>
            </w:tcBorders>
            <w:shd w:val="clear" w:color="auto" w:fill="auto"/>
            <w:vAlign w:val="center"/>
          </w:tcPr>
          <w:p w14:paraId="314899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项目治理后，可以进一步消除河道塌岸险情，增强治理河道洪水调度和排水排洪能力，</w:t>
            </w:r>
            <w:r>
              <w:rPr>
                <w:rFonts w:hint="eastAsia" w:ascii="Times New Roman" w:hAnsi="Times New Roman" w:eastAsia="宋体" w:cs="Times New Roman"/>
                <w:snapToGrid/>
                <w:color w:val="auto"/>
                <w:kern w:val="2"/>
                <w:sz w:val="21"/>
                <w:szCs w:val="21"/>
                <w:highlight w:val="none"/>
                <w:lang w:val="en-US" w:eastAsia="zh-CN" w:bidi="ar"/>
              </w:rPr>
              <w:t>同时</w:t>
            </w:r>
            <w:r>
              <w:rPr>
                <w:rFonts w:hint="default" w:ascii="Times New Roman" w:hAnsi="Times New Roman" w:eastAsia="宋体" w:cs="Times New Roman"/>
                <w:snapToGrid/>
                <w:color w:val="auto"/>
                <w:kern w:val="2"/>
                <w:sz w:val="21"/>
                <w:szCs w:val="21"/>
                <w:highlight w:val="none"/>
                <w:lang w:val="en-US" w:eastAsia="zh-CN" w:bidi="ar"/>
              </w:rPr>
              <w:t>可以明显改善河道水质状况</w:t>
            </w:r>
            <w:r>
              <w:rPr>
                <w:rFonts w:hint="eastAsia" w:ascii="Times New Roman" w:hAnsi="Times New Roman" w:eastAsia="宋体" w:cs="Times New Roman"/>
                <w:snapToGrid/>
                <w:color w:val="auto"/>
                <w:kern w:val="2"/>
                <w:sz w:val="21"/>
                <w:szCs w:val="21"/>
                <w:highlight w:val="none"/>
                <w:lang w:val="en-US" w:eastAsia="zh-CN" w:bidi="ar"/>
              </w:rPr>
              <w:t>，对水生态环境成正向影响。</w:t>
            </w:r>
          </w:p>
        </w:tc>
        <w:tc>
          <w:tcPr>
            <w:tcW w:w="1418" w:type="dxa"/>
            <w:tcBorders>
              <w:top w:val="single" w:color="auto" w:sz="4" w:space="0"/>
              <w:left w:val="single" w:color="auto" w:sz="4" w:space="0"/>
              <w:bottom w:val="single" w:color="auto" w:sz="4" w:space="0"/>
              <w:right w:val="nil"/>
            </w:tcBorders>
            <w:shd w:val="clear" w:color="auto" w:fill="auto"/>
            <w:vAlign w:val="center"/>
          </w:tcPr>
          <w:p w14:paraId="2E8BFC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4CA25B4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tcBorders>
              <w:top w:val="single" w:color="auto" w:sz="4" w:space="0"/>
              <w:left w:val="nil"/>
              <w:bottom w:val="single" w:color="auto" w:sz="4" w:space="0"/>
              <w:right w:val="single" w:color="auto" w:sz="4" w:space="0"/>
            </w:tcBorders>
            <w:shd w:val="clear" w:color="auto" w:fill="auto"/>
            <w:vAlign w:val="center"/>
          </w:tcPr>
          <w:p w14:paraId="1D2ACF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4</w:t>
            </w:r>
          </w:p>
        </w:tc>
        <w:tc>
          <w:tcPr>
            <w:tcW w:w="6697" w:type="dxa"/>
            <w:tcBorders>
              <w:top w:val="single" w:color="auto" w:sz="4" w:space="0"/>
              <w:left w:val="single" w:color="auto" w:sz="4" w:space="0"/>
              <w:bottom w:val="single" w:color="auto" w:sz="4" w:space="0"/>
              <w:right w:val="single" w:color="auto" w:sz="4" w:space="0"/>
            </w:tcBorders>
            <w:shd w:val="clear" w:color="auto" w:fill="auto"/>
            <w:vAlign w:val="center"/>
          </w:tcPr>
          <w:p w14:paraId="0C9EA9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tc>
        <w:tc>
          <w:tcPr>
            <w:tcW w:w="5265" w:type="dxa"/>
            <w:tcBorders>
              <w:top w:val="single" w:color="auto" w:sz="4" w:space="0"/>
              <w:left w:val="single" w:color="auto" w:sz="4" w:space="0"/>
              <w:bottom w:val="single" w:color="auto" w:sz="4" w:space="0"/>
              <w:right w:val="single" w:color="auto" w:sz="4" w:space="0"/>
            </w:tcBorders>
            <w:shd w:val="clear" w:color="auto" w:fill="auto"/>
            <w:vAlign w:val="center"/>
          </w:tcPr>
          <w:p w14:paraId="351069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cs="Times New Roman"/>
                <w:snapToGrid/>
                <w:color w:val="auto"/>
                <w:kern w:val="2"/>
                <w:sz w:val="21"/>
                <w:szCs w:val="21"/>
                <w:highlight w:val="none"/>
                <w:lang w:val="en-US" w:eastAsia="zh-CN" w:bidi="ar"/>
              </w:rPr>
              <w:t>本工程</w:t>
            </w:r>
            <w:r>
              <w:rPr>
                <w:rFonts w:hint="eastAsia" w:ascii="Times New Roman" w:hAnsi="Times New Roman" w:eastAsia="宋体" w:cs="Times New Roman"/>
                <w:snapToGrid/>
                <w:color w:val="auto"/>
                <w:kern w:val="2"/>
                <w:sz w:val="21"/>
                <w:szCs w:val="21"/>
                <w:highlight w:val="none"/>
                <w:lang w:val="en-US" w:eastAsia="zh-CN" w:bidi="ar"/>
              </w:rPr>
              <w:t>河道疏浚及库底清淤将提高茹河过流能力，提高水体自净能力，对水生态环境成正向影响。</w:t>
            </w:r>
          </w:p>
        </w:tc>
        <w:tc>
          <w:tcPr>
            <w:tcW w:w="1418" w:type="dxa"/>
            <w:tcBorders>
              <w:top w:val="single" w:color="auto" w:sz="4" w:space="0"/>
              <w:left w:val="single" w:color="auto" w:sz="4" w:space="0"/>
              <w:bottom w:val="single" w:color="auto" w:sz="4" w:space="0"/>
              <w:right w:val="nil"/>
            </w:tcBorders>
            <w:shd w:val="clear" w:color="auto" w:fill="auto"/>
            <w:vAlign w:val="center"/>
          </w:tcPr>
          <w:p w14:paraId="19F6B8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3D221C8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795" w:type="dxa"/>
            <w:tcBorders>
              <w:top w:val="single" w:color="auto" w:sz="4" w:space="0"/>
              <w:left w:val="nil"/>
              <w:bottom w:val="single" w:color="auto" w:sz="4" w:space="0"/>
              <w:right w:val="single" w:color="auto" w:sz="4" w:space="0"/>
            </w:tcBorders>
            <w:shd w:val="clear" w:color="auto" w:fill="auto"/>
            <w:vAlign w:val="center"/>
          </w:tcPr>
          <w:p w14:paraId="0E6C24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5</w:t>
            </w:r>
          </w:p>
        </w:tc>
        <w:tc>
          <w:tcPr>
            <w:tcW w:w="6697" w:type="dxa"/>
            <w:tcBorders>
              <w:top w:val="single" w:color="auto" w:sz="4" w:space="0"/>
              <w:left w:val="single" w:color="auto" w:sz="4" w:space="0"/>
              <w:bottom w:val="single" w:color="auto" w:sz="4" w:space="0"/>
              <w:right w:val="single" w:color="auto" w:sz="4" w:space="0"/>
            </w:tcBorders>
            <w:shd w:val="clear" w:color="auto" w:fill="auto"/>
            <w:vAlign w:val="center"/>
          </w:tcPr>
          <w:p w14:paraId="7402CF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在《规划》实施过程中，加强环境监督管理，落实各项生态环境保护措施，适时开展环境影响跟踪评价，在《规划》修编时应重新编制环境影响报告书。</w:t>
            </w:r>
          </w:p>
        </w:tc>
        <w:tc>
          <w:tcPr>
            <w:tcW w:w="5265" w:type="dxa"/>
            <w:tcBorders>
              <w:top w:val="single" w:color="auto" w:sz="4" w:space="0"/>
              <w:left w:val="single" w:color="auto" w:sz="4" w:space="0"/>
              <w:bottom w:val="single" w:color="auto" w:sz="4" w:space="0"/>
              <w:right w:val="single" w:color="auto" w:sz="4" w:space="0"/>
            </w:tcBorders>
            <w:shd w:val="clear" w:color="auto" w:fill="auto"/>
            <w:vAlign w:val="center"/>
          </w:tcPr>
          <w:p w14:paraId="3E671C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eastAsia" w:cs="Times New Roman"/>
                <w:snapToGrid/>
                <w:color w:val="auto"/>
                <w:kern w:val="2"/>
                <w:sz w:val="21"/>
                <w:szCs w:val="21"/>
                <w:highlight w:val="none"/>
                <w:lang w:val="en-US" w:eastAsia="zh-CN" w:bidi="ar"/>
              </w:rPr>
              <w:t>本工程</w:t>
            </w:r>
            <w:r>
              <w:rPr>
                <w:rFonts w:hint="default" w:ascii="Times New Roman" w:hAnsi="Times New Roman" w:eastAsia="宋体" w:cs="Times New Roman"/>
                <w:snapToGrid/>
                <w:color w:val="auto"/>
                <w:kern w:val="2"/>
                <w:sz w:val="21"/>
                <w:szCs w:val="21"/>
                <w:highlight w:val="none"/>
                <w:lang w:val="en-US" w:eastAsia="zh-CN" w:bidi="ar"/>
              </w:rPr>
              <w:t>在建设过程中，落实各项生态环境保护措施，建设完成后，建设单位组织对配套建设的环境保护设施进行验收，确保建设项目配套建设的环境保护设施与主体工程同时投产或者使用，并对验收内容、结论和所公开信息的真实性、准确性和完整性负责。</w:t>
            </w:r>
          </w:p>
        </w:tc>
        <w:tc>
          <w:tcPr>
            <w:tcW w:w="1418" w:type="dxa"/>
            <w:tcBorders>
              <w:top w:val="single" w:color="auto" w:sz="4" w:space="0"/>
              <w:left w:val="single" w:color="auto" w:sz="4" w:space="0"/>
              <w:bottom w:val="single" w:color="auto" w:sz="4" w:space="0"/>
              <w:right w:val="nil"/>
            </w:tcBorders>
            <w:shd w:val="clear" w:color="auto" w:fill="auto"/>
            <w:vAlign w:val="center"/>
          </w:tcPr>
          <w:p w14:paraId="3BF8C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符合</w:t>
            </w:r>
          </w:p>
        </w:tc>
      </w:tr>
      <w:tr w14:paraId="1473C36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tcBorders>
              <w:top w:val="single" w:color="auto" w:sz="4" w:space="0"/>
              <w:left w:val="nil"/>
              <w:bottom w:val="single" w:color="auto" w:sz="12" w:space="0"/>
              <w:right w:val="single" w:color="auto" w:sz="4" w:space="0"/>
            </w:tcBorders>
            <w:shd w:val="clear" w:color="auto" w:fill="auto"/>
            <w:vAlign w:val="center"/>
          </w:tcPr>
          <w:p w14:paraId="55122C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6</w:t>
            </w:r>
          </w:p>
        </w:tc>
        <w:tc>
          <w:tcPr>
            <w:tcW w:w="6697" w:type="dxa"/>
            <w:tcBorders>
              <w:top w:val="single" w:color="auto" w:sz="4" w:space="0"/>
              <w:left w:val="single" w:color="auto" w:sz="4" w:space="0"/>
              <w:bottom w:val="single" w:color="auto" w:sz="12" w:space="0"/>
              <w:right w:val="single" w:color="auto" w:sz="4" w:space="0"/>
            </w:tcBorders>
            <w:shd w:val="clear" w:color="auto" w:fill="auto"/>
            <w:vAlign w:val="center"/>
          </w:tcPr>
          <w:p w14:paraId="719539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规划》包含的重点建设项目在依法开展环境影响评价时，应符合规划环评结论和审查意见，落实规划环评提出的要求，加强与规划环评的联动，重点开展址选线方案比选、工程分析，着重评价项目建设对区域生态系统、水环境等影响的途径、范围和程度，深入论证生态修复工程、环境保护措施的可行性。</w:t>
            </w:r>
          </w:p>
        </w:tc>
        <w:tc>
          <w:tcPr>
            <w:tcW w:w="5265" w:type="dxa"/>
            <w:tcBorders>
              <w:top w:val="single" w:color="auto" w:sz="4" w:space="0"/>
              <w:left w:val="single" w:color="auto" w:sz="4" w:space="0"/>
              <w:bottom w:val="single" w:color="auto" w:sz="12" w:space="0"/>
              <w:right w:val="single" w:color="auto" w:sz="4" w:space="0"/>
            </w:tcBorders>
            <w:shd w:val="clear" w:color="auto" w:fill="auto"/>
            <w:vAlign w:val="center"/>
          </w:tcPr>
          <w:p w14:paraId="13197E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本工程建设符合规划环评结论和审查意见，严格按照</w:t>
            </w:r>
            <w:r>
              <w:rPr>
                <w:rFonts w:hint="eastAsia" w:ascii="Times New Roman" w:hAnsi="Times New Roman" w:eastAsia="宋体" w:cs="Times New Roman"/>
                <w:snapToGrid/>
                <w:color w:val="auto"/>
                <w:kern w:val="2"/>
                <w:sz w:val="21"/>
                <w:szCs w:val="21"/>
                <w:highlight w:val="none"/>
                <w:lang w:val="en-US" w:eastAsia="zh-CN" w:bidi="ar"/>
              </w:rPr>
              <w:t>相关导则</w:t>
            </w:r>
            <w:r>
              <w:rPr>
                <w:rFonts w:hint="default" w:ascii="Times New Roman" w:hAnsi="Times New Roman" w:eastAsia="宋体" w:cs="Times New Roman"/>
                <w:snapToGrid/>
                <w:color w:val="auto"/>
                <w:kern w:val="2"/>
                <w:sz w:val="21"/>
                <w:szCs w:val="21"/>
                <w:highlight w:val="none"/>
                <w:lang w:val="en-US" w:eastAsia="zh-CN" w:bidi="ar"/>
              </w:rPr>
              <w:t>要求，评价项目建设对区域生态系统和水环境的影响，并提出切实可行的环境保护措施和生态保护与恢复措施。</w:t>
            </w:r>
          </w:p>
        </w:tc>
        <w:tc>
          <w:tcPr>
            <w:tcW w:w="1418" w:type="dxa"/>
            <w:tcBorders>
              <w:top w:val="single" w:color="auto" w:sz="4" w:space="0"/>
              <w:left w:val="single" w:color="auto" w:sz="4" w:space="0"/>
              <w:bottom w:val="single" w:color="auto" w:sz="12" w:space="0"/>
              <w:right w:val="nil"/>
            </w:tcBorders>
            <w:shd w:val="clear" w:color="auto" w:fill="auto"/>
            <w:vAlign w:val="center"/>
          </w:tcPr>
          <w:p w14:paraId="004BEB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
              </w:rPr>
            </w:pPr>
            <w:r>
              <w:rPr>
                <w:rFonts w:hint="default" w:ascii="Times New Roman" w:hAnsi="Times New Roman" w:eastAsia="宋体" w:cs="Times New Roman"/>
                <w:snapToGrid/>
                <w:color w:val="auto"/>
                <w:kern w:val="2"/>
                <w:sz w:val="21"/>
                <w:szCs w:val="21"/>
                <w:highlight w:val="none"/>
                <w:lang w:val="en-US" w:eastAsia="zh-CN" w:bidi="ar"/>
              </w:rPr>
              <w:t>符合</w:t>
            </w:r>
          </w:p>
        </w:tc>
      </w:tr>
    </w:tbl>
    <w:p w14:paraId="0BDEBD68">
      <w:pPr>
        <w:rPr>
          <w:rFonts w:hint="default" w:ascii="Times New Roman" w:hAnsi="Times New Roman" w:cs="Times New Roman"/>
          <w:color w:val="auto"/>
          <w:sz w:val="28"/>
          <w:szCs w:val="28"/>
          <w:highlight w:val="none"/>
        </w:rPr>
      </w:pPr>
    </w:p>
    <w:p w14:paraId="66445E91">
      <w:pPr>
        <w:pStyle w:val="2"/>
        <w:rPr>
          <w:rFonts w:hint="default" w:ascii="Times New Roman" w:hAnsi="Times New Roman" w:cs="Times New Roman"/>
          <w:color w:val="auto"/>
          <w:sz w:val="28"/>
          <w:szCs w:val="28"/>
          <w:highlight w:val="none"/>
        </w:rPr>
      </w:pPr>
    </w:p>
    <w:p w14:paraId="22DF6D81">
      <w:pPr>
        <w:rPr>
          <w:rFonts w:hint="default" w:ascii="Times New Roman" w:hAnsi="Times New Roman" w:cs="Times New Roman"/>
          <w:color w:val="auto"/>
          <w:sz w:val="28"/>
          <w:szCs w:val="28"/>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14:paraId="384EA463">
      <w:pPr>
        <w:pStyle w:val="6"/>
        <w:bidi w:val="0"/>
        <w:rPr>
          <w:rFonts w:hint="default" w:ascii="Times New Roman" w:hAnsi="Times New Roman" w:cs="Times New Roman"/>
          <w:color w:val="auto"/>
          <w:sz w:val="28"/>
          <w:szCs w:val="28"/>
          <w:highlight w:val="none"/>
          <w:lang w:val="en-US" w:eastAsia="zh-CN"/>
        </w:rPr>
      </w:pPr>
      <w:bookmarkStart w:id="6242" w:name="_Toc16907"/>
      <w:r>
        <w:rPr>
          <w:rFonts w:hint="default" w:ascii="Times New Roman" w:hAnsi="Times New Roman" w:cs="Times New Roman"/>
          <w:color w:val="auto"/>
          <w:sz w:val="28"/>
          <w:szCs w:val="28"/>
          <w:highlight w:val="none"/>
          <w:lang w:val="en-US" w:eastAsia="zh-CN"/>
        </w:rPr>
        <w:t>8.2.</w:t>
      </w:r>
      <w:bookmarkEnd w:id="6240"/>
      <w:bookmarkEnd w:id="6241"/>
      <w:bookmarkStart w:id="6243" w:name="_Toc8993"/>
      <w:bookmarkStart w:id="6244" w:name="_Toc960"/>
      <w:r>
        <w:rPr>
          <w:rFonts w:hint="eastAsia" w:cs="Times New Roman"/>
          <w:color w:val="auto"/>
          <w:sz w:val="28"/>
          <w:szCs w:val="28"/>
          <w:highlight w:val="none"/>
          <w:lang w:val="en-US" w:eastAsia="zh-CN"/>
        </w:rPr>
        <w:t>4</w:t>
      </w:r>
      <w:r>
        <w:rPr>
          <w:rFonts w:hint="default" w:ascii="Times New Roman" w:hAnsi="Times New Roman" w:cs="Times New Roman"/>
          <w:color w:val="auto"/>
          <w:sz w:val="28"/>
          <w:szCs w:val="28"/>
          <w:highlight w:val="none"/>
          <w:lang w:val="en-US" w:eastAsia="zh-CN"/>
        </w:rPr>
        <w:t>与《宁夏回族自治区水生态环境保护</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十四五</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规划》的符合性</w:t>
      </w:r>
      <w:bookmarkEnd w:id="6242"/>
      <w:bookmarkEnd w:id="6243"/>
      <w:bookmarkEnd w:id="6244"/>
    </w:p>
    <w:p w14:paraId="55084682">
      <w:pPr>
        <w:jc w:val="both"/>
        <w:rPr>
          <w:rFonts w:hint="eastAsia" w:ascii="Times New Roman" w:hAnsi="Times New Roman" w:eastAsia="宋体" w:cs="Times New Roman"/>
          <w:color w:val="auto"/>
          <w:sz w:val="24"/>
          <w:szCs w:val="24"/>
          <w:highlight w:val="none"/>
          <w:lang w:eastAsia="zh-CN"/>
        </w:rPr>
      </w:pPr>
      <w:bookmarkStart w:id="6245" w:name="_Toc25570"/>
      <w:bookmarkStart w:id="6246" w:name="_Toc1019"/>
      <w:r>
        <w:rPr>
          <w:rFonts w:hint="default" w:ascii="Times New Roman" w:hAnsi="Times New Roman" w:eastAsia="宋体" w:cs="Times New Roman"/>
          <w:color w:val="auto"/>
          <w:sz w:val="24"/>
          <w:szCs w:val="24"/>
          <w:highlight w:val="none"/>
        </w:rPr>
        <w:t>根据《宁夏回族自治区水生态环境保护</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规划》提出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重点河湖生态系统建设。管控生态水量底线，保障生态基流，确保重点河湖生态功能不退化。加强清水河、葫芦河、茹河、渝河、泾河等重点河流治理，联动推进水土治理、污染防治、水源涵养、生物平衡、生态经济，改善流域生态环境。实施沙湖、典农河等河湖生态修复与综合治理工程，增强河湖生态调节能力，促进河湖生态系统健康。</w:t>
      </w:r>
      <w:r>
        <w:rPr>
          <w:rFonts w:hint="eastAsia" w:cs="Times New Roman"/>
          <w:color w:val="auto"/>
          <w:sz w:val="24"/>
          <w:szCs w:val="24"/>
          <w:highlight w:val="none"/>
          <w:lang w:eastAsia="zh-CN"/>
        </w:rPr>
        <w:t>”</w:t>
      </w:r>
    </w:p>
    <w:p w14:paraId="4507142E">
      <w:pPr>
        <w:jc w:val="both"/>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为茹河支流河道生态综合治理项目，</w:t>
      </w:r>
      <w:r>
        <w:rPr>
          <w:rFonts w:hint="default" w:ascii="Times New Roman" w:hAnsi="Times New Roman" w:cs="Times New Roman"/>
          <w:color w:val="auto"/>
          <w:sz w:val="24"/>
          <w:highlight w:val="none"/>
        </w:rPr>
        <w:t>本次茹河（小河段）治理河道总长25.5km，</w:t>
      </w:r>
      <w:r>
        <w:rPr>
          <w:rFonts w:hint="eastAsia" w:ascii="Times New Roman" w:hAnsi="Times New Roman" w:cs="Times New Roman"/>
          <w:color w:val="auto"/>
          <w:sz w:val="24"/>
          <w:highlight w:val="none"/>
          <w:lang w:eastAsia="zh-CN"/>
        </w:rPr>
        <w:t>包含河道护坡、河道疏浚及水库清淤等工程</w:t>
      </w:r>
      <w:r>
        <w:rPr>
          <w:rFonts w:hint="default" w:ascii="Times New Roman" w:hAnsi="Times New Roman" w:cs="Times New Roman"/>
          <w:color w:val="auto"/>
          <w:sz w:val="24"/>
          <w:highlight w:val="none"/>
        </w:rPr>
        <w:t>。</w:t>
      </w:r>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的实施可提高</w:t>
      </w:r>
      <w:r>
        <w:rPr>
          <w:rFonts w:hint="eastAsia" w:ascii="Times New Roman" w:hAnsi="Times New Roman" w:eastAsia="宋体" w:cs="Times New Roman"/>
          <w:color w:val="auto"/>
          <w:sz w:val="24"/>
          <w:szCs w:val="24"/>
          <w:highlight w:val="none"/>
        </w:rPr>
        <w:t>王</w:t>
      </w:r>
      <w:r>
        <w:rPr>
          <w:rFonts w:hint="eastAsia" w:ascii="Times New Roman" w:hAnsi="Times New Roman" w:eastAsia="宋体" w:cs="Times New Roman"/>
          <w:color w:val="auto"/>
          <w:sz w:val="24"/>
          <w:szCs w:val="24"/>
          <w:highlight w:val="none"/>
          <w:lang w:eastAsia="zh-CN"/>
        </w:rPr>
        <w:t>茹河小河及川口河的</w:t>
      </w:r>
      <w:r>
        <w:rPr>
          <w:rFonts w:hint="default" w:ascii="Times New Roman" w:hAnsi="Times New Roman" w:eastAsia="宋体" w:cs="Times New Roman"/>
          <w:color w:val="auto"/>
          <w:sz w:val="24"/>
          <w:szCs w:val="24"/>
          <w:highlight w:val="none"/>
        </w:rPr>
        <w:t>防洪能力，提升</w:t>
      </w:r>
      <w:r>
        <w:rPr>
          <w:rFonts w:hint="eastAsia" w:ascii="Times New Roman" w:hAnsi="Times New Roman" w:eastAsia="宋体" w:cs="Times New Roman"/>
          <w:color w:val="auto"/>
          <w:sz w:val="24"/>
          <w:szCs w:val="24"/>
          <w:highlight w:val="none"/>
          <w:lang w:eastAsia="zh-CN"/>
        </w:rPr>
        <w:t>河</w:t>
      </w:r>
      <w:r>
        <w:rPr>
          <w:rFonts w:hint="eastAsia" w:ascii="Times New Roman" w:hAnsi="Times New Roman" w:eastAsia="宋体" w:cs="Times New Roman"/>
          <w:color w:val="auto"/>
          <w:sz w:val="24"/>
          <w:szCs w:val="24"/>
          <w:highlight w:val="none"/>
        </w:rPr>
        <w:t>道</w:t>
      </w:r>
      <w:r>
        <w:rPr>
          <w:rFonts w:hint="default" w:ascii="Times New Roman" w:hAnsi="Times New Roman" w:eastAsia="宋体" w:cs="Times New Roman"/>
          <w:color w:val="auto"/>
          <w:sz w:val="24"/>
          <w:szCs w:val="24"/>
          <w:highlight w:val="none"/>
        </w:rPr>
        <w:t>生态系统健康水平，加强</w:t>
      </w:r>
      <w:r>
        <w:rPr>
          <w:rFonts w:hint="eastAsia" w:ascii="Times New Roman" w:hAnsi="Times New Roman" w:eastAsia="宋体" w:cs="Times New Roman"/>
          <w:color w:val="auto"/>
          <w:sz w:val="24"/>
          <w:szCs w:val="24"/>
          <w:highlight w:val="none"/>
          <w:lang w:eastAsia="zh-CN"/>
        </w:rPr>
        <w:t>河道</w:t>
      </w:r>
      <w:r>
        <w:rPr>
          <w:rFonts w:hint="default" w:ascii="Times New Roman" w:hAnsi="Times New Roman" w:eastAsia="宋体" w:cs="Times New Roman"/>
          <w:color w:val="auto"/>
          <w:sz w:val="24"/>
          <w:szCs w:val="24"/>
          <w:highlight w:val="none"/>
        </w:rPr>
        <w:t>防洪治理及</w:t>
      </w:r>
      <w:r>
        <w:rPr>
          <w:rFonts w:hint="eastAsia" w:ascii="Times New Roman" w:hAnsi="Times New Roman" w:eastAsia="宋体" w:cs="Times New Roman"/>
          <w:color w:val="auto"/>
          <w:sz w:val="24"/>
          <w:szCs w:val="24"/>
          <w:highlight w:val="none"/>
          <w:lang w:eastAsia="zh-CN"/>
        </w:rPr>
        <w:t>生态</w:t>
      </w:r>
      <w:r>
        <w:rPr>
          <w:rFonts w:hint="default" w:ascii="Times New Roman" w:hAnsi="Times New Roman" w:eastAsia="宋体" w:cs="Times New Roman"/>
          <w:color w:val="auto"/>
          <w:sz w:val="24"/>
          <w:szCs w:val="24"/>
          <w:highlight w:val="none"/>
        </w:rPr>
        <w:t>治理，因此，</w:t>
      </w:r>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建设符合《宁夏回族自治区水生态环境保护</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十四五</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规划》相关要求。</w:t>
      </w:r>
    </w:p>
    <w:p w14:paraId="5328074A">
      <w:pPr>
        <w:pStyle w:val="6"/>
        <w:bidi w:val="0"/>
        <w:rPr>
          <w:rFonts w:hint="default" w:ascii="Times New Roman" w:hAnsi="Times New Roman" w:cs="Times New Roman"/>
          <w:color w:val="auto"/>
          <w:sz w:val="28"/>
          <w:szCs w:val="28"/>
          <w:highlight w:val="none"/>
          <w:lang w:val="en-US" w:eastAsia="zh-CN"/>
        </w:rPr>
      </w:pPr>
      <w:bookmarkStart w:id="6247" w:name="_Toc3106"/>
      <w:r>
        <w:rPr>
          <w:rFonts w:hint="default" w:ascii="Times New Roman" w:hAnsi="Times New Roman" w:cs="Times New Roman"/>
          <w:color w:val="auto"/>
          <w:sz w:val="28"/>
          <w:szCs w:val="28"/>
          <w:highlight w:val="none"/>
          <w:lang w:val="en-US" w:eastAsia="zh-CN"/>
        </w:rPr>
        <w:t>8.2.5与《宁夏回族自治区生态环境保护</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十四五</w:t>
      </w:r>
      <w:r>
        <w:rPr>
          <w:rFonts w:hint="eastAsia"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规划》的符合性</w:t>
      </w:r>
      <w:bookmarkEnd w:id="6245"/>
      <w:bookmarkEnd w:id="6246"/>
      <w:bookmarkEnd w:id="6247"/>
    </w:p>
    <w:p w14:paraId="47C3B72C">
      <w:pPr>
        <w:jc w:val="both"/>
        <w:rPr>
          <w:rFonts w:hint="default" w:ascii="Times New Roman" w:hAnsi="Times New Roman" w:eastAsia="宋体" w:cs="Times New Roman"/>
          <w:color w:val="auto"/>
          <w:sz w:val="24"/>
          <w:szCs w:val="24"/>
          <w:highlight w:val="none"/>
          <w:lang w:eastAsia="zh-CN"/>
        </w:rPr>
      </w:pPr>
      <w:bookmarkStart w:id="6248" w:name="_Toc5015"/>
      <w:bookmarkStart w:id="6249" w:name="_Toc8280"/>
      <w:r>
        <w:rPr>
          <w:rFonts w:hint="default" w:ascii="Times New Roman" w:hAnsi="Times New Roman" w:eastAsia="宋体" w:cs="Times New Roman"/>
          <w:color w:val="auto"/>
          <w:sz w:val="24"/>
          <w:szCs w:val="24"/>
          <w:highlight w:val="none"/>
          <w:lang w:eastAsia="zh-CN"/>
        </w:rPr>
        <w:t>《宁夏回族自治区生态环境保护</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十四五</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规划》提出，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十四五</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期间，要</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深化</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三水</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统筹，提升水环境质量，积极推动水生态修复</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开展河湖岸线保护修复，强化岸线管控，实施最严格的黄河岸线保护制度和河湖水域岸线用途管制，推进沙湖、阅海等重点湖泊及黄河滩地治理。开展河湖生态缓冲带修复、建设，到2025年，修复、建设河湖生态缓冲带65.6km。加强重点河湖生态系统建设。管控生态水量底线，保障生态基流，确保重点河湖生态功能不退化。加强清水河、葫芦河、茹河、渝河、泾河等重点河流治理，联动推进水土治理、污染防治、水源涵养、生物平衡、生态经济，改善流域生态环境</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p>
    <w:p w14:paraId="59E0F565">
      <w:pPr>
        <w:jc w:val="both"/>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lang w:eastAsia="zh-CN"/>
        </w:rPr>
        <w:t>对</w:t>
      </w:r>
      <w:r>
        <w:rPr>
          <w:rFonts w:hint="eastAsia" w:ascii="Times New Roman" w:hAnsi="Times New Roman" w:eastAsia="宋体" w:cs="Times New Roman"/>
          <w:color w:val="auto"/>
          <w:sz w:val="24"/>
          <w:szCs w:val="24"/>
          <w:highlight w:val="none"/>
          <w:lang w:eastAsia="zh-CN"/>
        </w:rPr>
        <w:t>茹河小河段及川口河段</w:t>
      </w:r>
      <w:r>
        <w:rPr>
          <w:rFonts w:hint="default" w:ascii="Times New Roman" w:hAnsi="Times New Roman" w:eastAsia="宋体" w:cs="Times New Roman"/>
          <w:color w:val="auto"/>
          <w:sz w:val="24"/>
          <w:szCs w:val="24"/>
          <w:highlight w:val="none"/>
          <w:lang w:eastAsia="zh-CN"/>
        </w:rPr>
        <w:t>进行治理，保障河道行洪通畅，提高河道防洪减灾能力，保护河道岸线，强化岸线管控，减少水土流失，增强水源涵养，改善流域生态环境。因此，项目建设与《宁夏回族自治区生态环境保护</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十四五</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规划》相符。</w:t>
      </w:r>
    </w:p>
    <w:p w14:paraId="31C99A6E">
      <w:pPr>
        <w:pStyle w:val="6"/>
        <w:bidi w:val="0"/>
        <w:rPr>
          <w:rFonts w:hint="default" w:ascii="Times New Roman" w:hAnsi="Times New Roman" w:eastAsia="宋体" w:cs="Times New Roman"/>
          <w:color w:val="auto"/>
          <w:sz w:val="28"/>
          <w:szCs w:val="28"/>
          <w:highlight w:val="none"/>
          <w:lang w:val="en-US" w:eastAsia="zh-CN"/>
        </w:rPr>
      </w:pPr>
      <w:bookmarkStart w:id="6250" w:name="_Toc28979"/>
      <w:r>
        <w:rPr>
          <w:rFonts w:hint="default" w:ascii="Times New Roman" w:hAnsi="Times New Roman" w:eastAsia="宋体" w:cs="Times New Roman"/>
          <w:color w:val="auto"/>
          <w:sz w:val="28"/>
          <w:szCs w:val="28"/>
          <w:highlight w:val="none"/>
          <w:lang w:val="en-US" w:eastAsia="zh-CN"/>
        </w:rPr>
        <w:t>8.2.6与《黄河流域综合规划》符合性</w:t>
      </w:r>
      <w:bookmarkEnd w:id="6248"/>
      <w:bookmarkEnd w:id="6249"/>
      <w:bookmarkEnd w:id="6250"/>
    </w:p>
    <w:p w14:paraId="0776D89F">
      <w:pPr>
        <w:autoSpaceDE w:val="0"/>
        <w:autoSpaceDN w:val="0"/>
        <w:adjustRightInd w:val="0"/>
        <w:spacing w:line="360" w:lineRule="auto"/>
        <w:ind w:firstLine="480" w:firstLineChars="200"/>
        <w:jc w:val="left"/>
        <w:rPr>
          <w:color w:val="auto"/>
          <w:sz w:val="24"/>
          <w:highlight w:val="none"/>
        </w:rPr>
      </w:pPr>
      <w:bookmarkStart w:id="6251" w:name="_Toc16318"/>
      <w:bookmarkStart w:id="6252" w:name="_Toc9546"/>
      <w:r>
        <w:rPr>
          <w:color w:val="auto"/>
          <w:sz w:val="24"/>
          <w:highlight w:val="none"/>
        </w:rPr>
        <w:t>《规划》的实施，要坚持</w:t>
      </w:r>
      <w:r>
        <w:rPr>
          <w:rFonts w:hint="eastAsia"/>
          <w:color w:val="auto"/>
          <w:sz w:val="24"/>
          <w:highlight w:val="none"/>
          <w:lang w:eastAsia="zh-CN"/>
        </w:rPr>
        <w:t>“</w:t>
      </w:r>
      <w:r>
        <w:rPr>
          <w:color w:val="auto"/>
          <w:sz w:val="24"/>
          <w:highlight w:val="none"/>
        </w:rPr>
        <w:t>上拦下排、两岸分滞</w:t>
      </w:r>
      <w:r>
        <w:rPr>
          <w:rFonts w:hint="eastAsia"/>
          <w:color w:val="auto"/>
          <w:sz w:val="24"/>
          <w:highlight w:val="none"/>
          <w:lang w:eastAsia="zh-CN"/>
        </w:rPr>
        <w:t>”</w:t>
      </w:r>
      <w:r>
        <w:rPr>
          <w:color w:val="auto"/>
          <w:sz w:val="24"/>
          <w:highlight w:val="none"/>
        </w:rPr>
        <w:t>调控洪水和</w:t>
      </w:r>
      <w:r>
        <w:rPr>
          <w:rFonts w:hint="eastAsia"/>
          <w:color w:val="auto"/>
          <w:sz w:val="24"/>
          <w:highlight w:val="none"/>
          <w:lang w:eastAsia="zh-CN"/>
        </w:rPr>
        <w:t>“</w:t>
      </w:r>
      <w:r>
        <w:rPr>
          <w:color w:val="auto"/>
          <w:sz w:val="24"/>
          <w:highlight w:val="none"/>
        </w:rPr>
        <w:t>拦、排、放、调、挖</w:t>
      </w:r>
      <w:r>
        <w:rPr>
          <w:rFonts w:hint="eastAsia"/>
          <w:color w:val="auto"/>
          <w:sz w:val="24"/>
          <w:highlight w:val="none"/>
          <w:lang w:eastAsia="zh-CN"/>
        </w:rPr>
        <w:t>”</w:t>
      </w:r>
      <w:r>
        <w:rPr>
          <w:color w:val="auto"/>
          <w:sz w:val="24"/>
          <w:highlight w:val="none"/>
        </w:rPr>
        <w:t>综合处理泥沙的方针，进一步完善以河防工程为基础</w:t>
      </w:r>
      <w:r>
        <w:rPr>
          <w:rFonts w:hint="eastAsia"/>
          <w:color w:val="auto"/>
          <w:sz w:val="24"/>
          <w:highlight w:val="none"/>
          <w:lang w:eastAsia="zh-CN"/>
        </w:rPr>
        <w:t>，以</w:t>
      </w:r>
      <w:r>
        <w:rPr>
          <w:color w:val="auto"/>
          <w:sz w:val="24"/>
          <w:highlight w:val="none"/>
        </w:rPr>
        <w:t>水沙调控体系为骨干。水土保持、干流放淤和分滞洪工程措施相结合的流域防洪减淤工程总体布局，辅以防汛抗旱指挥系统建设、防洪调度和洪水风险管理等非工程措施，构建较为完善的流域防洪减淤体系，全面提高黄河流域防御洪水灾害和治理泥沙的综合能力。</w:t>
      </w:r>
    </w:p>
    <w:p w14:paraId="3A408FE7">
      <w:pPr>
        <w:autoSpaceDE w:val="0"/>
        <w:autoSpaceDN w:val="0"/>
        <w:adjustRightInd w:val="0"/>
        <w:spacing w:line="360" w:lineRule="auto"/>
        <w:ind w:firstLine="480" w:firstLineChars="200"/>
        <w:jc w:val="left"/>
        <w:rPr>
          <w:rFonts w:hint="eastAsia"/>
          <w:color w:val="auto"/>
          <w:sz w:val="24"/>
          <w:highlight w:val="none"/>
        </w:rPr>
      </w:pPr>
      <w:r>
        <w:rPr>
          <w:rFonts w:hint="eastAsia"/>
          <w:color w:val="auto"/>
          <w:sz w:val="24"/>
          <w:highlight w:val="none"/>
          <w:lang w:eastAsia="zh-CN"/>
        </w:rPr>
        <w:t>本工程</w:t>
      </w:r>
      <w:r>
        <w:rPr>
          <w:color w:val="auto"/>
          <w:sz w:val="24"/>
          <w:highlight w:val="none"/>
        </w:rPr>
        <w:t>为</w:t>
      </w:r>
      <w:r>
        <w:rPr>
          <w:rFonts w:hAnsi="宋体"/>
          <w:color w:val="auto"/>
          <w:sz w:val="24"/>
          <w:highlight w:val="none"/>
        </w:rPr>
        <w:t>茹河支流河道综合治理项目</w:t>
      </w:r>
      <w:r>
        <w:rPr>
          <w:color w:val="auto"/>
          <w:sz w:val="24"/>
          <w:highlight w:val="none"/>
        </w:rPr>
        <w:t>，</w:t>
      </w:r>
      <w:r>
        <w:rPr>
          <w:color w:val="auto"/>
          <w:kern w:val="0"/>
          <w:sz w:val="24"/>
          <w:highlight w:val="none"/>
        </w:rPr>
        <w:t>实施可提高</w:t>
      </w:r>
      <w:r>
        <w:rPr>
          <w:rFonts w:hint="eastAsia"/>
          <w:color w:val="auto"/>
          <w:kern w:val="0"/>
          <w:sz w:val="24"/>
          <w:highlight w:val="none"/>
          <w:lang w:eastAsia="zh-CN"/>
        </w:rPr>
        <w:t>川口河段和小河段</w:t>
      </w:r>
      <w:r>
        <w:rPr>
          <w:rFonts w:hint="eastAsia"/>
          <w:color w:val="auto"/>
          <w:kern w:val="0"/>
          <w:sz w:val="24"/>
          <w:highlight w:val="none"/>
        </w:rPr>
        <w:t>的</w:t>
      </w:r>
      <w:r>
        <w:rPr>
          <w:color w:val="auto"/>
          <w:kern w:val="0"/>
          <w:sz w:val="24"/>
          <w:highlight w:val="none"/>
        </w:rPr>
        <w:t>防洪能力，提升</w:t>
      </w:r>
      <w:r>
        <w:rPr>
          <w:rFonts w:hint="eastAsia"/>
          <w:color w:val="auto"/>
          <w:kern w:val="0"/>
          <w:sz w:val="24"/>
          <w:highlight w:val="none"/>
        </w:rPr>
        <w:t>沟道</w:t>
      </w:r>
      <w:r>
        <w:rPr>
          <w:color w:val="auto"/>
          <w:kern w:val="0"/>
          <w:sz w:val="24"/>
          <w:highlight w:val="none"/>
        </w:rPr>
        <w:t>生态系统健康水平，</w:t>
      </w:r>
      <w:r>
        <w:rPr>
          <w:color w:val="auto"/>
          <w:sz w:val="24"/>
          <w:highlight w:val="none"/>
        </w:rPr>
        <w:t>因此</w:t>
      </w:r>
      <w:r>
        <w:rPr>
          <w:rFonts w:hint="eastAsia"/>
          <w:color w:val="auto"/>
          <w:sz w:val="24"/>
          <w:highlight w:val="none"/>
          <w:lang w:eastAsia="zh-CN"/>
        </w:rPr>
        <w:t>本工程</w:t>
      </w:r>
      <w:r>
        <w:rPr>
          <w:color w:val="auto"/>
          <w:sz w:val="24"/>
          <w:highlight w:val="none"/>
        </w:rPr>
        <w:t>建设符合</w:t>
      </w:r>
      <w:r>
        <w:rPr>
          <w:bCs/>
          <w:color w:val="auto"/>
          <w:sz w:val="24"/>
          <w:highlight w:val="none"/>
        </w:rPr>
        <w:t>《黄河流域防洪规划》</w:t>
      </w:r>
      <w:r>
        <w:rPr>
          <w:color w:val="auto"/>
          <w:sz w:val="24"/>
          <w:highlight w:val="none"/>
        </w:rPr>
        <w:t>相关要求。</w:t>
      </w:r>
    </w:p>
    <w:bookmarkEnd w:id="6251"/>
    <w:bookmarkEnd w:id="6252"/>
    <w:p w14:paraId="0849F647">
      <w:pPr>
        <w:pStyle w:val="4"/>
        <w:bidi w:val="0"/>
        <w:rPr>
          <w:rFonts w:hint="default" w:ascii="Times New Roman" w:hAnsi="Times New Roman" w:cs="Times New Roman"/>
          <w:color w:val="auto"/>
          <w:sz w:val="28"/>
          <w:szCs w:val="28"/>
          <w:highlight w:val="none"/>
          <w:lang w:val="en-US" w:eastAsia="zh-CN"/>
        </w:rPr>
      </w:pPr>
      <w:bookmarkStart w:id="6253" w:name="_Toc18903"/>
      <w:bookmarkStart w:id="6254" w:name="_Toc6716"/>
      <w:bookmarkStart w:id="6255" w:name="_Toc10349"/>
      <w:bookmarkStart w:id="6256" w:name="_Toc16599"/>
      <w:r>
        <w:rPr>
          <w:rFonts w:hint="eastAsia" w:cs="Times New Roman"/>
          <w:color w:val="auto"/>
          <w:sz w:val="28"/>
          <w:szCs w:val="28"/>
          <w:highlight w:val="none"/>
          <w:lang w:val="en-US" w:eastAsia="zh-CN"/>
        </w:rPr>
        <w:t>8.3</w:t>
      </w:r>
      <w:r>
        <w:rPr>
          <w:rFonts w:hint="default" w:ascii="Times New Roman" w:hAnsi="Times New Roman" w:cs="Times New Roman"/>
          <w:color w:val="auto"/>
          <w:sz w:val="28"/>
          <w:szCs w:val="28"/>
          <w:highlight w:val="none"/>
          <w:lang w:val="en-US" w:eastAsia="zh-CN"/>
        </w:rPr>
        <w:t>与“三线一单”的符合性</w:t>
      </w:r>
      <w:bookmarkEnd w:id="6253"/>
      <w:bookmarkEnd w:id="6254"/>
      <w:bookmarkEnd w:id="6255"/>
      <w:bookmarkEnd w:id="6256"/>
    </w:p>
    <w:p w14:paraId="02FBA614">
      <w:pPr>
        <w:pStyle w:val="6"/>
        <w:bidi w:val="0"/>
        <w:rPr>
          <w:rFonts w:hint="default" w:ascii="Times New Roman" w:hAnsi="Times New Roman" w:eastAsia="宋体" w:cs="Times New Roman"/>
          <w:color w:val="auto"/>
          <w:sz w:val="28"/>
          <w:szCs w:val="28"/>
          <w:highlight w:val="none"/>
          <w:lang w:val="en-US" w:eastAsia="zh-CN"/>
        </w:rPr>
      </w:pPr>
      <w:bookmarkStart w:id="6257" w:name="_Toc2880"/>
      <w:bookmarkStart w:id="6258" w:name="_Toc22869"/>
      <w:bookmarkStart w:id="6259" w:name="_Toc15534"/>
      <w:r>
        <w:rPr>
          <w:rFonts w:hint="default" w:ascii="Times New Roman" w:hAnsi="Times New Roman" w:eastAsia="宋体" w:cs="Times New Roman"/>
          <w:color w:val="auto"/>
          <w:sz w:val="28"/>
          <w:szCs w:val="28"/>
          <w:highlight w:val="none"/>
          <w:lang w:val="en-US" w:eastAsia="zh-CN"/>
        </w:rPr>
        <w:t>8.</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.1生态保护红线</w:t>
      </w:r>
      <w:bookmarkEnd w:id="6257"/>
      <w:bookmarkEnd w:id="6258"/>
      <w:bookmarkEnd w:id="6259"/>
    </w:p>
    <w:p w14:paraId="04B50000">
      <w:pPr>
        <w:pStyle w:val="61"/>
        <w:spacing w:line="360" w:lineRule="auto"/>
        <w:ind w:firstLine="491"/>
        <w:jc w:val="both"/>
        <w:rPr>
          <w:rFonts w:hint="default" w:ascii="Times New Roman" w:hAnsi="Times New Roman" w:cs="Times New Roman"/>
          <w:color w:val="auto"/>
          <w:sz w:val="24"/>
          <w:szCs w:val="24"/>
          <w:highlight w:val="none"/>
          <w:lang w:eastAsia="zh-CN"/>
        </w:rPr>
      </w:pPr>
      <w:bookmarkStart w:id="6260" w:name="_Toc20774"/>
      <w:bookmarkStart w:id="6261" w:name="_Toc25535"/>
      <w:r>
        <w:rPr>
          <w:rFonts w:hint="default" w:ascii="Times New Roman" w:hAnsi="Times New Roman" w:cs="Times New Roman"/>
          <w:color w:val="auto"/>
          <w:sz w:val="24"/>
          <w:szCs w:val="24"/>
          <w:highlight w:val="none"/>
        </w:rPr>
        <w:t>《固原市人民政府关于实施</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三线一单</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生态环境分区管控的意见》（固政规发〔2021〕6号）</w:t>
      </w:r>
      <w:r>
        <w:rPr>
          <w:rFonts w:hint="default" w:ascii="Times New Roman" w:hAnsi="Times New Roman" w:cs="Times New Roman"/>
          <w:color w:val="auto"/>
          <w:sz w:val="24"/>
          <w:szCs w:val="24"/>
          <w:highlight w:val="none"/>
          <w:lang w:val="en-US" w:eastAsia="zh-CN"/>
        </w:rPr>
        <w:t>及</w:t>
      </w:r>
      <w:r>
        <w:rPr>
          <w:rFonts w:hint="default" w:ascii="Times New Roman" w:hAnsi="Times New Roman" w:cs="Times New Roman"/>
          <w:color w:val="auto"/>
          <w:sz w:val="24"/>
          <w:szCs w:val="24"/>
          <w:highlight w:val="none"/>
        </w:rPr>
        <w:t>固原市人民政府</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关于印发</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固原市生态环境分区管控实施方案</w:t>
      </w:r>
      <w:r>
        <w:rPr>
          <w:rFonts w:hint="eastAsia" w:ascii="Times New Roman" w:hAnsi="Times New Roman" w:cs="Times New Roman"/>
          <w:color w:val="auto"/>
          <w:sz w:val="24"/>
          <w:szCs w:val="24"/>
          <w:highlight w:val="none"/>
          <w:lang w:eastAsia="zh-CN"/>
        </w:rPr>
        <w:t>〉的通知》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固政发〔2024〕28号</w:t>
      </w:r>
      <w:r>
        <w:rPr>
          <w:rFonts w:hint="default" w:ascii="Times New Roman" w:hAnsi="Times New Roman" w:cs="Times New Roman"/>
          <w:color w:val="auto"/>
          <w:sz w:val="24"/>
          <w:szCs w:val="24"/>
          <w:highlight w:val="none"/>
          <w:lang w:eastAsia="zh-CN"/>
        </w:rPr>
        <w:t>），固原市生态空间总面积4171.22km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，占全市国土总面积的39.63%，其中生态保护红线面积为3302.06km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，占全市国土总面积的31.37%；除生态保护红线以外的一般生态空间面积869.16km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，占全市国土面积8.26%。</w:t>
      </w:r>
    </w:p>
    <w:p w14:paraId="0948FA29">
      <w:pPr>
        <w:rPr>
          <w:rFonts w:hint="default" w:ascii="Times New Roman" w:hAnsi="Times New Roman" w:cs="Times New Roman"/>
          <w:color w:val="auto"/>
          <w:sz w:val="24"/>
          <w:szCs w:val="24"/>
          <w:highlight w:val="none"/>
          <w:lang w:eastAsia="zh-CN"/>
        </w:rPr>
      </w:pPr>
      <w:r>
        <w:rPr>
          <w:rFonts w:hint="eastAsia"/>
          <w:color w:val="auto"/>
          <w:highlight w:val="none"/>
          <w:lang w:eastAsia="zh-CN"/>
        </w:rPr>
        <w:t>本工程</w:t>
      </w:r>
      <w:r>
        <w:rPr>
          <w:rFonts w:hint="default"/>
          <w:color w:val="auto"/>
          <w:highlight w:val="none"/>
          <w:lang w:eastAsia="zh-CN"/>
        </w:rPr>
        <w:t>位于固原市彭阳县</w:t>
      </w:r>
      <w:r>
        <w:rPr>
          <w:rFonts w:hint="eastAsia"/>
          <w:color w:val="auto"/>
          <w:highlight w:val="none"/>
          <w:lang w:eastAsia="zh-CN"/>
        </w:rPr>
        <w:t>茹河川口河段及小河段（含石头崾岘水库）</w:t>
      </w:r>
      <w:r>
        <w:rPr>
          <w:rFonts w:hint="default"/>
          <w:color w:val="auto"/>
          <w:highlight w:val="none"/>
          <w:lang w:eastAsia="zh-CN"/>
        </w:rPr>
        <w:t>，项目不在固原市</w:t>
      </w:r>
      <w:r>
        <w:rPr>
          <w:rFonts w:hint="eastAsia"/>
          <w:color w:val="auto"/>
          <w:highlight w:val="none"/>
          <w:lang w:eastAsia="zh-CN"/>
        </w:rPr>
        <w:t>生态保护红线</w:t>
      </w:r>
      <w:r>
        <w:rPr>
          <w:rFonts w:hint="default"/>
          <w:color w:val="auto"/>
          <w:highlight w:val="none"/>
          <w:lang w:eastAsia="zh-CN"/>
        </w:rPr>
        <w:t>范围内，</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与固原市生态保护红线位置关系见附图</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eastAsia="zh-CN"/>
        </w:rPr>
        <w:t>。</w:t>
      </w:r>
    </w:p>
    <w:p w14:paraId="150BA8F0">
      <w:pPr>
        <w:pStyle w:val="6"/>
        <w:bidi w:val="0"/>
        <w:rPr>
          <w:rFonts w:hint="default" w:ascii="Times New Roman" w:hAnsi="Times New Roman" w:cs="Times New Roman"/>
          <w:color w:val="auto"/>
          <w:sz w:val="28"/>
          <w:szCs w:val="28"/>
          <w:highlight w:val="none"/>
        </w:rPr>
      </w:pPr>
      <w:bookmarkStart w:id="6262" w:name="_Toc31222"/>
      <w:r>
        <w:rPr>
          <w:rFonts w:hint="default" w:ascii="Times New Roman" w:hAnsi="Times New Roman" w:cs="Times New Roman"/>
          <w:color w:val="auto"/>
          <w:sz w:val="28"/>
          <w:szCs w:val="28"/>
          <w:highlight w:val="none"/>
          <w:lang w:val="en-US" w:eastAsia="zh-CN"/>
        </w:rPr>
        <w:t>8.</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环境质量底线</w:t>
      </w:r>
      <w:bookmarkEnd w:id="6260"/>
      <w:bookmarkEnd w:id="6261"/>
      <w:bookmarkEnd w:id="6262"/>
    </w:p>
    <w:p w14:paraId="07746FA1">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水环境质量底线及分区管控</w:t>
      </w:r>
    </w:p>
    <w:p w14:paraId="76297E4D">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水环境质量底线：</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茹河乃家河水库</w:t>
      </w:r>
      <w:r>
        <w:rPr>
          <w:rFonts w:hint="eastAsia" w:ascii="Times New Roman" w:hAnsi="Times New Roman" w:cs="Times New Roman"/>
          <w:color w:val="auto"/>
          <w:sz w:val="24"/>
          <w:szCs w:val="24"/>
          <w:highlight w:val="none"/>
          <w:lang w:eastAsia="zh-CN"/>
        </w:rPr>
        <w:t>水质为</w:t>
      </w:r>
      <w:r>
        <w:rPr>
          <w:rFonts w:hint="eastAsia" w:cs="Times New Roman"/>
          <w:color w:val="auto"/>
          <w:sz w:val="24"/>
          <w:szCs w:val="24"/>
          <w:highlight w:val="none"/>
          <w:lang w:eastAsia="zh-CN"/>
        </w:rPr>
        <w:t>Ⅱ类</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沟圈</w:t>
      </w:r>
      <w:r>
        <w:rPr>
          <w:rFonts w:hint="default" w:ascii="Times New Roman" w:hAnsi="Times New Roman" w:eastAsia="宋体" w:cs="Times New Roman"/>
          <w:color w:val="auto"/>
          <w:sz w:val="24"/>
          <w:szCs w:val="24"/>
          <w:highlight w:val="none"/>
          <w:lang w:val="en-US" w:eastAsia="zh-CN"/>
        </w:rPr>
        <w:t>断面水质均为</w:t>
      </w:r>
      <w:r>
        <w:rPr>
          <w:rFonts w:hint="eastAsia" w:cs="Times New Roman"/>
          <w:color w:val="auto"/>
          <w:sz w:val="24"/>
          <w:szCs w:val="24"/>
          <w:highlight w:val="none"/>
          <w:lang w:val="en-US" w:eastAsia="zh-CN"/>
        </w:rPr>
        <w:t>Ⅲ类</w:t>
      </w:r>
      <w:r>
        <w:rPr>
          <w:rFonts w:hint="default" w:ascii="Times New Roman" w:hAnsi="Times New Roman" w:eastAsia="宋体" w:cs="Times New Roman"/>
          <w:color w:val="auto"/>
          <w:sz w:val="24"/>
          <w:szCs w:val="24"/>
          <w:highlight w:val="none"/>
          <w:lang w:val="en-US" w:eastAsia="zh-CN"/>
        </w:rPr>
        <w:t>。</w:t>
      </w:r>
    </w:p>
    <w:p w14:paraId="2A2B2269">
      <w:pPr>
        <w:autoSpaceDE w:val="0"/>
        <w:autoSpaceDN w:val="0"/>
        <w:spacing w:line="360" w:lineRule="auto"/>
        <w:ind w:firstLine="491"/>
        <w:jc w:val="both"/>
        <w:rPr>
          <w:rFonts w:hint="eastAsia"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）水</w:t>
      </w:r>
      <w:r>
        <w:rPr>
          <w:rFonts w:hint="default" w:ascii="Times New Roman" w:hAnsi="Times New Roman" w:cs="Times New Roman"/>
          <w:color w:val="auto"/>
          <w:sz w:val="24"/>
          <w:szCs w:val="24"/>
          <w:highlight w:val="none"/>
        </w:rPr>
        <w:t>环境分区管控符合性要求</w:t>
      </w:r>
    </w:p>
    <w:p w14:paraId="4F04CE6E">
      <w:pPr>
        <w:autoSpaceDE w:val="0"/>
        <w:autoSpaceDN w:val="0"/>
        <w:spacing w:line="360" w:lineRule="auto"/>
        <w:ind w:firstLine="491"/>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根据固原市</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水环境分区管控，固原市水环境管控分区共分为三大类，水环境优先保护区、水环境重点管控区（包含工业污染源重点管控区、农业污染源重点管控区）和水环境一般管控区，对照固原市水环境分区管控图，</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治理区域为一般管控区，见附图</w:t>
      </w:r>
      <w:r>
        <w:rPr>
          <w:rFonts w:hint="eastAsia" w:cs="Times New Roman"/>
          <w:color w:val="auto"/>
          <w:sz w:val="24"/>
          <w:szCs w:val="24"/>
          <w:highlight w:val="none"/>
          <w:lang w:val="en-US" w:eastAsia="zh-CN"/>
        </w:rPr>
        <w:t>22</w:t>
      </w:r>
      <w:r>
        <w:rPr>
          <w:rFonts w:hint="default" w:ascii="Times New Roman" w:hAnsi="Times New Roman" w:cs="Times New Roman"/>
          <w:color w:val="auto"/>
          <w:sz w:val="24"/>
          <w:szCs w:val="24"/>
          <w:highlight w:val="none"/>
        </w:rPr>
        <w:t>。</w:t>
      </w:r>
    </w:p>
    <w:p w14:paraId="628D59AC">
      <w:pPr>
        <w:pStyle w:val="6"/>
        <w:bidi w:val="0"/>
        <w:rPr>
          <w:rFonts w:hint="default" w:ascii="Times New Roman" w:hAnsi="Times New Roman" w:eastAsia="宋体" w:cs="Times New Roman"/>
          <w:color w:val="auto"/>
          <w:sz w:val="28"/>
          <w:szCs w:val="28"/>
          <w:highlight w:val="none"/>
          <w:lang w:val="en-US" w:eastAsia="zh-CN"/>
        </w:rPr>
      </w:pPr>
      <w:bookmarkStart w:id="6263" w:name="_Toc29967"/>
      <w:bookmarkStart w:id="6264" w:name="_Toc8523"/>
      <w:bookmarkStart w:id="6265" w:name="_Toc5687"/>
      <w:r>
        <w:rPr>
          <w:rFonts w:hint="default" w:ascii="Times New Roman" w:hAnsi="Times New Roman" w:eastAsia="宋体" w:cs="Times New Roman"/>
          <w:color w:val="auto"/>
          <w:sz w:val="28"/>
          <w:szCs w:val="28"/>
          <w:highlight w:val="none"/>
          <w:lang w:val="en-US" w:eastAsia="zh-CN"/>
        </w:rPr>
        <w:t>8.</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.3大气环境质量底线及分区管控</w:t>
      </w:r>
      <w:bookmarkEnd w:id="6263"/>
      <w:bookmarkEnd w:id="6264"/>
      <w:bookmarkEnd w:id="6265"/>
    </w:p>
    <w:p w14:paraId="36E80CBB">
      <w:pPr>
        <w:widowControl/>
        <w:spacing w:line="360" w:lineRule="auto"/>
        <w:ind w:firstLine="491"/>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大气环境质量底线</w:t>
      </w:r>
    </w:p>
    <w:p w14:paraId="72E06BC6">
      <w:pPr>
        <w:spacing w:line="360" w:lineRule="auto"/>
        <w:ind w:firstLine="491"/>
        <w:jc w:val="both"/>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根据《202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w:t>
      </w:r>
      <w:r>
        <w:rPr>
          <w:rFonts w:hint="default" w:ascii="Times New Roman" w:hAnsi="Times New Roman" w:cs="Times New Roman"/>
          <w:color w:val="auto"/>
          <w:sz w:val="24"/>
          <w:szCs w:val="24"/>
          <w:highlight w:val="none"/>
          <w:lang w:val="en-US" w:eastAsia="zh-CN"/>
        </w:rPr>
        <w:t>彭阳县</w:t>
      </w:r>
      <w:r>
        <w:rPr>
          <w:rFonts w:hint="eastAsia" w:ascii="Times New Roman" w:hAnsi="Times New Roman" w:cs="Times New Roman"/>
          <w:color w:val="auto"/>
          <w:sz w:val="24"/>
          <w:szCs w:val="24"/>
          <w:highlight w:val="none"/>
          <w:lang w:val="en-US" w:eastAsia="zh-CN"/>
        </w:rPr>
        <w:t>2024</w:t>
      </w:r>
      <w:r>
        <w:rPr>
          <w:rFonts w:hint="default" w:ascii="Times New Roman" w:hAnsi="Times New Roman" w:cs="Times New Roman"/>
          <w:color w:val="auto"/>
          <w:sz w:val="24"/>
          <w:szCs w:val="24"/>
          <w:highlight w:val="none"/>
        </w:rPr>
        <w:t>年度</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24小时平均第95百分位数、O</w:t>
      </w:r>
      <w:r>
        <w:rPr>
          <w:rFonts w:hint="default" w:ascii="Times New Roman" w:hAnsi="Times New Roman" w:eastAsia="宋体" w:cs="Times New Roman"/>
          <w:color w:val="auto"/>
          <w:sz w:val="24"/>
          <w:szCs w:val="24"/>
          <w:highlight w:val="none"/>
          <w:vertAlign w:val="subscript"/>
        </w:rPr>
        <w:t>3-8H-90per</w:t>
      </w:r>
      <w:r>
        <w:rPr>
          <w:rFonts w:hint="default" w:ascii="Times New Roman" w:hAnsi="Times New Roman" w:eastAsia="宋体" w:cs="Times New Roman"/>
          <w:color w:val="auto"/>
          <w:sz w:val="24"/>
          <w:szCs w:val="24"/>
          <w:highlight w:val="none"/>
        </w:rPr>
        <w:t>年平均浓度值均达到《环境空气质量标准》（GB3095-2012）二级标准。根据《环境影响评价技术导则大气环境》（HJ2.2-2018）6.4.1.1的要求，六项污染物全部达标即为城市环境空气质量达标</w:t>
      </w:r>
      <w:r>
        <w:rPr>
          <w:rFonts w:hint="default" w:ascii="Times New Roman" w:hAnsi="Times New Roman" w:cs="Times New Roman"/>
          <w:color w:val="auto"/>
          <w:sz w:val="24"/>
          <w:szCs w:val="24"/>
          <w:highlight w:val="none"/>
        </w:rPr>
        <w:t>，符合大气环境质量底线要求。</w:t>
      </w:r>
    </w:p>
    <w:p w14:paraId="39AAACAC">
      <w:pPr>
        <w:widowControl/>
        <w:numPr>
          <w:ilvl w:val="0"/>
          <w:numId w:val="0"/>
        </w:numPr>
        <w:spacing w:line="360" w:lineRule="auto"/>
        <w:ind w:left="480" w:leftChar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大气环境分区管控符合性要求</w:t>
      </w:r>
    </w:p>
    <w:p w14:paraId="6255CFF4">
      <w:pPr>
        <w:autoSpaceDE w:val="0"/>
        <w:autoSpaceDN w:val="0"/>
        <w:spacing w:line="360" w:lineRule="auto"/>
        <w:ind w:firstLine="491"/>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根据固原市</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大气环境分区管控，将全市划分为大气环境优先保护区、大气环境重点管控区和大气环境一般管控区。对照固原市大气环境分区管控图，</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治理区域为大气环境一般管控区</w:t>
      </w:r>
      <w:r>
        <w:rPr>
          <w:rFonts w:hint="eastAsia" w:cs="Times New Roman"/>
          <w:color w:val="auto"/>
          <w:sz w:val="24"/>
          <w:szCs w:val="24"/>
          <w:highlight w:val="none"/>
          <w:lang w:eastAsia="zh-CN"/>
        </w:rPr>
        <w:t>及大气重点管控区</w:t>
      </w:r>
      <w:r>
        <w:rPr>
          <w:rFonts w:hint="default" w:ascii="Times New Roman" w:hAnsi="Times New Roman" w:cs="Times New Roman"/>
          <w:color w:val="auto"/>
          <w:sz w:val="24"/>
          <w:szCs w:val="24"/>
          <w:highlight w:val="none"/>
        </w:rPr>
        <w:t>，见附图</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w:t>
      </w:r>
    </w:p>
    <w:p w14:paraId="78D0D810">
      <w:pPr>
        <w:autoSpaceDE w:val="0"/>
        <w:autoSpaceDN w:val="0"/>
        <w:spacing w:line="360" w:lineRule="auto"/>
        <w:ind w:firstLine="491"/>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大气环境重点管控区</w:t>
      </w:r>
      <w:r>
        <w:rPr>
          <w:rFonts w:hint="eastAsia" w:cs="Times New Roman"/>
          <w:color w:val="auto"/>
          <w:sz w:val="24"/>
          <w:szCs w:val="24"/>
          <w:highlight w:val="none"/>
          <w:lang w:eastAsia="zh-CN"/>
        </w:rPr>
        <w:t>要求：</w:t>
      </w:r>
      <w:r>
        <w:rPr>
          <w:rFonts w:hint="default" w:ascii="Times New Roman" w:hAnsi="Times New Roman" w:cs="Times New Roman"/>
          <w:color w:val="auto"/>
          <w:sz w:val="24"/>
          <w:szCs w:val="24"/>
          <w:highlight w:val="none"/>
        </w:rPr>
        <w:t>将工业园区等大气污染物高排放区域，上风向、扩散通</w:t>
      </w:r>
      <w:r>
        <w:rPr>
          <w:rFonts w:hint="eastAsia" w:cs="Times New Roman"/>
          <w:color w:val="auto"/>
          <w:sz w:val="24"/>
          <w:szCs w:val="24"/>
          <w:highlight w:val="none"/>
          <w:lang w:eastAsia="zh-CN"/>
        </w:rPr>
        <w:t>道和</w:t>
      </w:r>
      <w:r>
        <w:rPr>
          <w:rFonts w:hint="default" w:ascii="Times New Roman" w:hAnsi="Times New Roman" w:cs="Times New Roman"/>
          <w:color w:val="auto"/>
          <w:sz w:val="24"/>
          <w:szCs w:val="24"/>
          <w:highlight w:val="none"/>
        </w:rPr>
        <w:t>环流通道等对环境空气质量影响较显著的布局敏感区域，静风或风速较小的弱扩散区域，人群密集的受体敏感区域，识别为大气环境重点管控区，总面积2819.34平方公里，占全市面积的26.78%。</w:t>
      </w:r>
    </w:p>
    <w:p w14:paraId="0058A0EC">
      <w:pPr>
        <w:autoSpaceDE w:val="0"/>
        <w:autoSpaceDN w:val="0"/>
        <w:spacing w:line="360" w:lineRule="auto"/>
        <w:ind w:firstLine="491"/>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一般管控区要求：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578F9098">
      <w:pPr>
        <w:autoSpaceDE w:val="0"/>
        <w:autoSpaceDN w:val="0"/>
        <w:spacing w:line="360" w:lineRule="auto"/>
        <w:ind w:firstLine="491"/>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运营期不产生废气，项目施工期物料及临时开挖的土方采取围挡、遮盖、及时洒水等防尘措施；外运车辆加盖篷布，运输车辆进入施工场地应低速行驶，严格限制车辆的行驶速度，在大风天气时停止开挖、回填土等作业等防尘措施；清淤前可在河底部淤泥层投加功能微生物抑制剂或微生物促进剂，利用微生物大量分解河道内淤泥中的污染物，减轻淤泥散发的恶臭；使用合格燃油，加强施工机械的维修保养、加强施工管理等措施。因此，</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符合大气环境</w:t>
      </w:r>
      <w:r>
        <w:rPr>
          <w:rFonts w:hint="eastAsia" w:cs="Times New Roman"/>
          <w:color w:val="auto"/>
          <w:sz w:val="24"/>
          <w:szCs w:val="24"/>
          <w:highlight w:val="none"/>
          <w:lang w:eastAsia="zh-CN"/>
        </w:rPr>
        <w:t>重点管控</w:t>
      </w:r>
      <w:r>
        <w:rPr>
          <w:rFonts w:hint="default" w:ascii="Times New Roman" w:hAnsi="Times New Roman" w:cs="Times New Roman"/>
          <w:color w:val="auto"/>
          <w:sz w:val="24"/>
          <w:szCs w:val="24"/>
          <w:highlight w:val="none"/>
        </w:rPr>
        <w:t>区</w:t>
      </w:r>
      <w:r>
        <w:rPr>
          <w:rFonts w:hint="eastAsia" w:cs="Times New Roman"/>
          <w:color w:val="auto"/>
          <w:sz w:val="24"/>
          <w:szCs w:val="24"/>
          <w:highlight w:val="none"/>
          <w:lang w:eastAsia="zh-CN"/>
        </w:rPr>
        <w:t>要求及</w:t>
      </w:r>
      <w:r>
        <w:rPr>
          <w:rFonts w:hint="default" w:ascii="Times New Roman" w:hAnsi="Times New Roman" w:cs="Times New Roman"/>
          <w:color w:val="auto"/>
          <w:sz w:val="24"/>
          <w:szCs w:val="24"/>
          <w:highlight w:val="none"/>
        </w:rPr>
        <w:t>一般管控区管控要求。</w:t>
      </w:r>
    </w:p>
    <w:p w14:paraId="3279571A">
      <w:pPr>
        <w:autoSpaceDE w:val="0"/>
        <w:autoSpaceDN w:val="0"/>
        <w:spacing w:line="360" w:lineRule="auto"/>
        <w:ind w:firstLine="491"/>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③土壤污染风险防控底线及分区管控</w:t>
      </w:r>
    </w:p>
    <w:p w14:paraId="5A5952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bookmarkStart w:id="6266" w:name="_Toc13227"/>
      <w:bookmarkStart w:id="6267" w:name="_Toc17762"/>
      <w:r>
        <w:rPr>
          <w:rFonts w:hint="eastAsia"/>
          <w:color w:val="auto"/>
          <w:highlight w:val="none"/>
          <w:lang w:eastAsia="zh-CN"/>
        </w:rPr>
        <w:t>本工程</w:t>
      </w:r>
      <w:r>
        <w:rPr>
          <w:rFonts w:hint="eastAsia"/>
          <w:color w:val="auto"/>
          <w:highlight w:val="none"/>
        </w:rPr>
        <w:t>为河道治理，不涉及土壤污染风险。根据固原市</w:t>
      </w:r>
      <w:r>
        <w:rPr>
          <w:rFonts w:hint="eastAsia"/>
          <w:color w:val="auto"/>
          <w:highlight w:val="none"/>
          <w:lang w:eastAsia="zh-CN"/>
        </w:rPr>
        <w:t>“</w:t>
      </w:r>
      <w:r>
        <w:rPr>
          <w:rFonts w:hint="eastAsia"/>
          <w:color w:val="auto"/>
          <w:highlight w:val="none"/>
        </w:rPr>
        <w:t>三线一单</w:t>
      </w:r>
      <w:r>
        <w:rPr>
          <w:rFonts w:hint="eastAsia"/>
          <w:color w:val="auto"/>
          <w:highlight w:val="none"/>
          <w:lang w:eastAsia="zh-CN"/>
        </w:rPr>
        <w:t>”</w:t>
      </w:r>
      <w:r>
        <w:rPr>
          <w:rFonts w:hint="eastAsia"/>
          <w:color w:val="auto"/>
          <w:highlight w:val="none"/>
        </w:rPr>
        <w:t>土壤污染风险管控分区，将全市划分为农用地优先保护区和土壤环境一般管控区。对照固原市土壤污染风险分区管控图，项目治理区域涉及农用地优先保护区和土壤环境一般管控区，见附图</w:t>
      </w:r>
      <w:r>
        <w:rPr>
          <w:rFonts w:hint="eastAsia"/>
          <w:color w:val="auto"/>
          <w:highlight w:val="none"/>
          <w:lang w:val="en-US" w:eastAsia="zh-CN"/>
        </w:rPr>
        <w:t>23</w:t>
      </w:r>
      <w:r>
        <w:rPr>
          <w:rFonts w:hint="eastAsia"/>
          <w:color w:val="auto"/>
          <w:highlight w:val="none"/>
        </w:rPr>
        <w:t>。</w:t>
      </w:r>
    </w:p>
    <w:p w14:paraId="5B89D5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color w:val="auto"/>
          <w:highlight w:val="none"/>
        </w:rPr>
        <w:t>农用地优先保护区管控要求：实行严格保护，确保其面积不减少、土壤环境质量不下降，除法律规定的重点建设项目选址确实无法避让外，其他任何建设不得占用。严格控制在优先保护类耕地集中区域新建有色金属冶炼、石油加工、化工、焦化、电镀、制革等行业企业，现有相关行业企业应当按照有关规定采取措施，防止对耕地造成污染。禁止任何单位和个人在基本农田保护区内建窑、建房、建坟、挖砂、采石、采矿、取土、堆放固体废弃物或者进行其他破坏基本农田的活动。</w:t>
      </w:r>
    </w:p>
    <w:p w14:paraId="72F6A3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color w:val="auto"/>
          <w:highlight w:val="none"/>
        </w:rPr>
        <w:t>一般管控区管控要求：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71534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highlight w:val="none"/>
          <w:lang w:eastAsia="zh-CN"/>
        </w:rPr>
      </w:pPr>
      <w:r>
        <w:rPr>
          <w:rFonts w:hint="eastAsia"/>
          <w:color w:val="auto"/>
          <w:highlight w:val="none"/>
          <w:lang w:eastAsia="zh-CN"/>
        </w:rPr>
        <w:t>本工程</w:t>
      </w:r>
      <w:r>
        <w:rPr>
          <w:rFonts w:hint="eastAsia"/>
          <w:color w:val="auto"/>
          <w:highlight w:val="none"/>
        </w:rPr>
        <w:t>为河道治理工程，项目施工过程明确作业区范围，各种施工活动应严格控制在施工红线内，尽量减少扰动面积；土方开挖后应及时回填，疏浚淤泥</w:t>
      </w:r>
      <w:r>
        <w:rPr>
          <w:rFonts w:hint="eastAsia"/>
          <w:color w:val="auto"/>
          <w:highlight w:val="none"/>
          <w:lang w:eastAsia="zh-CN"/>
        </w:rPr>
        <w:t>在库底晾干后运至堆场堆存并播撒草籽</w:t>
      </w:r>
      <w:r>
        <w:rPr>
          <w:rFonts w:hint="eastAsia"/>
          <w:color w:val="auto"/>
          <w:highlight w:val="none"/>
        </w:rPr>
        <w:t>。因此，项目满足土壤污染分区农用地优先保护区和一般管控区管控要求</w:t>
      </w:r>
      <w:r>
        <w:rPr>
          <w:rFonts w:hint="eastAsia"/>
          <w:color w:val="auto"/>
          <w:highlight w:val="none"/>
          <w:lang w:eastAsia="zh-CN"/>
        </w:rPr>
        <w:t>。</w:t>
      </w:r>
    </w:p>
    <w:p w14:paraId="63D4B3C9">
      <w:pPr>
        <w:pStyle w:val="6"/>
        <w:bidi w:val="0"/>
        <w:rPr>
          <w:rFonts w:hint="default" w:ascii="Times New Roman" w:hAnsi="Times New Roman" w:eastAsia="宋体" w:cs="Times New Roman"/>
          <w:color w:val="auto"/>
          <w:sz w:val="28"/>
          <w:szCs w:val="28"/>
          <w:highlight w:val="none"/>
          <w:lang w:val="en-US" w:eastAsia="zh-CN"/>
        </w:rPr>
      </w:pPr>
      <w:bookmarkStart w:id="6268" w:name="_Toc20921"/>
      <w:r>
        <w:rPr>
          <w:rFonts w:hint="default" w:ascii="Times New Roman" w:hAnsi="Times New Roman" w:eastAsia="宋体" w:cs="Times New Roman"/>
          <w:color w:val="auto"/>
          <w:sz w:val="28"/>
          <w:szCs w:val="28"/>
          <w:highlight w:val="none"/>
          <w:lang w:val="en-US" w:eastAsia="zh-CN"/>
        </w:rPr>
        <w:t>8.</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4资源利用上线及分区管控</w:t>
      </w:r>
      <w:bookmarkEnd w:id="6266"/>
      <w:bookmarkEnd w:id="6267"/>
      <w:bookmarkEnd w:id="6268"/>
    </w:p>
    <w:p w14:paraId="2B6C4A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①能源（煤炭）资源利用上线及分区管控</w:t>
      </w:r>
    </w:p>
    <w:p w14:paraId="7ADE2B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不涉及煤炭资源的使用。</w:t>
      </w:r>
    </w:p>
    <w:p w14:paraId="712C9E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②水资源利用</w:t>
      </w:r>
      <w:r>
        <w:rPr>
          <w:rFonts w:hint="eastAsia" w:cs="Times New Roman"/>
          <w:color w:val="auto"/>
          <w:highlight w:val="none"/>
          <w:lang w:val="en-US" w:eastAsia="zh-CN"/>
        </w:rPr>
        <w:t>上限</w:t>
      </w:r>
      <w:r>
        <w:rPr>
          <w:rFonts w:hint="default" w:ascii="Times New Roman" w:hAnsi="Times New Roman" w:eastAsia="宋体" w:cs="Times New Roman"/>
          <w:color w:val="auto"/>
          <w:highlight w:val="none"/>
          <w:lang w:val="en-US" w:eastAsia="zh-CN"/>
        </w:rPr>
        <w:t>及分区管控</w:t>
      </w:r>
    </w:p>
    <w:p w14:paraId="0F4554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根据水资源利用上线要求，</w:t>
      </w:r>
      <w:r>
        <w:rPr>
          <w:rFonts w:hint="eastAsia"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施工期施工用水较少，运营期不涉及用水，符合水资源利用上线及分区管控。</w:t>
      </w:r>
    </w:p>
    <w:p w14:paraId="139050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③土地资源利用上线及分区管控</w:t>
      </w:r>
    </w:p>
    <w:p w14:paraId="1BB75B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根据土地资源利用上线及分区管控，选取耕地保有量、基本农田保护面积、城乡建设用地规模等6项约束性指标，作为固原市土地资源利用上线，</w:t>
      </w:r>
      <w:r>
        <w:rPr>
          <w:rFonts w:hint="eastAsia"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为河道治理，不涉及耕地保有量、基本农田保护面积、城乡建设用地规模等6项约束性指标，符合土地资源利用上线，根据土地资源重点管控区划分，将西吉县、隆德县、泾源县等3个区县确定为土地资源重点管控区，项目位于彭阳县，不属于土地资源重点管控区。</w:t>
      </w:r>
    </w:p>
    <w:p w14:paraId="2B1AB686">
      <w:pPr>
        <w:pStyle w:val="6"/>
        <w:bidi w:val="0"/>
        <w:rPr>
          <w:rFonts w:hint="default" w:ascii="Times New Roman" w:hAnsi="Times New Roman" w:cs="Times New Roman"/>
          <w:color w:val="auto"/>
          <w:sz w:val="28"/>
          <w:szCs w:val="28"/>
          <w:highlight w:val="none"/>
          <w:lang w:val="en-US" w:eastAsia="zh-CN"/>
        </w:rPr>
      </w:pPr>
      <w:bookmarkStart w:id="6269" w:name="_Toc32232"/>
      <w:bookmarkStart w:id="6270" w:name="_Toc9207"/>
      <w:bookmarkStart w:id="6271" w:name="_Toc21012"/>
      <w:r>
        <w:rPr>
          <w:rFonts w:hint="default" w:ascii="Times New Roman" w:hAnsi="Times New Roman" w:cs="Times New Roman"/>
          <w:color w:val="auto"/>
          <w:sz w:val="28"/>
          <w:szCs w:val="28"/>
          <w:highlight w:val="none"/>
          <w:lang w:val="en-US" w:eastAsia="zh-CN"/>
        </w:rPr>
        <w:t>8.</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lang w:val="en-US" w:eastAsia="zh-CN"/>
        </w:rPr>
        <w:t>.5生态环境准入清单</w:t>
      </w:r>
      <w:bookmarkEnd w:id="6269"/>
      <w:bookmarkEnd w:id="6270"/>
      <w:bookmarkEnd w:id="6271"/>
    </w:p>
    <w:p w14:paraId="378AABAF">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与固原市生态环境总体准入要求符合性分析见表</w:t>
      </w:r>
      <w:r>
        <w:rPr>
          <w:rFonts w:hint="default" w:ascii="Times New Roman" w:hAnsi="Times New Roman" w:cs="Times New Roman"/>
          <w:color w:val="auto"/>
          <w:sz w:val="24"/>
          <w:szCs w:val="24"/>
          <w:highlight w:val="none"/>
          <w:lang w:val="en-US" w:eastAsia="zh-CN"/>
        </w:rPr>
        <w:t>8.</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14:paraId="5B2EC9B5">
      <w:pPr>
        <w:pStyle w:val="6"/>
        <w:bidi w:val="0"/>
        <w:outlineLvl w:val="9"/>
        <w:rPr>
          <w:rFonts w:hint="default" w:ascii="Times New Roman" w:hAnsi="Times New Roman" w:eastAsia="宋体" w:cs="Times New Roman"/>
          <w:b/>
          <w:bCs/>
          <w:color w:val="auto"/>
          <w:sz w:val="24"/>
          <w:szCs w:val="24"/>
          <w:highlight w:val="none"/>
        </w:rPr>
        <w:sectPr>
          <w:head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E2357B">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8.</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与</w:t>
      </w:r>
      <w:r>
        <w:rPr>
          <w:rFonts w:hint="eastAsia" w:cs="Times New Roman"/>
          <w:b/>
          <w:bCs/>
          <w:color w:val="auto"/>
          <w:sz w:val="24"/>
          <w:szCs w:val="24"/>
          <w:highlight w:val="none"/>
          <w:lang w:val="en-US" w:eastAsia="zh-CN"/>
        </w:rPr>
        <w:t>固原</w:t>
      </w:r>
      <w:r>
        <w:rPr>
          <w:rFonts w:hint="default" w:ascii="Times New Roman" w:hAnsi="Times New Roman" w:eastAsia="宋体" w:cs="Times New Roman"/>
          <w:b/>
          <w:bCs/>
          <w:color w:val="auto"/>
          <w:sz w:val="24"/>
          <w:szCs w:val="24"/>
          <w:highlight w:val="none"/>
        </w:rPr>
        <w:t>市生态环境总体准入要求符合性</w:t>
      </w:r>
      <w:r>
        <w:rPr>
          <w:rFonts w:hint="default" w:ascii="Times New Roman" w:hAnsi="Times New Roman" w:eastAsia="宋体" w:cs="Times New Roman"/>
          <w:b/>
          <w:bCs/>
          <w:color w:val="auto"/>
          <w:sz w:val="24"/>
          <w:szCs w:val="24"/>
          <w:highlight w:val="none"/>
          <w:lang w:val="en-US" w:eastAsia="zh-CN"/>
        </w:rPr>
        <w:t>一览表</w:t>
      </w:r>
    </w:p>
    <w:tbl>
      <w:tblPr>
        <w:tblStyle w:val="32"/>
        <w:tblW w:w="141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540"/>
        <w:gridCol w:w="780"/>
        <w:gridCol w:w="1515"/>
        <w:gridCol w:w="1935"/>
        <w:gridCol w:w="3435"/>
        <w:gridCol w:w="3270"/>
        <w:gridCol w:w="1055"/>
      </w:tblGrid>
      <w:tr w14:paraId="20F8C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blHeader/>
        </w:trPr>
        <w:tc>
          <w:tcPr>
            <w:tcW w:w="1597" w:type="dxa"/>
            <w:tcBorders>
              <w:tl2br w:val="nil"/>
              <w:tr2bl w:val="nil"/>
            </w:tcBorders>
            <w:vAlign w:val="center"/>
          </w:tcPr>
          <w:p w14:paraId="39265826">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272" w:name="_Toc1878"/>
            <w:bookmarkStart w:id="6273" w:name="_Toc19794"/>
            <w:bookmarkStart w:id="6274" w:name="_Toc20060"/>
            <w:bookmarkStart w:id="6275" w:name="_Toc26360"/>
            <w:bookmarkStart w:id="6276" w:name="_Toc4551"/>
            <w:r>
              <w:rPr>
                <w:rFonts w:hint="default" w:ascii="Times New Roman" w:hAnsi="Times New Roman" w:cs="Times New Roman"/>
                <w:b/>
                <w:bCs/>
                <w:color w:val="auto"/>
                <w:sz w:val="21"/>
                <w:szCs w:val="21"/>
                <w:highlight w:val="none"/>
              </w:rPr>
              <w:t>环境管控单元名称</w:t>
            </w:r>
            <w:bookmarkEnd w:id="6272"/>
            <w:bookmarkEnd w:id="6273"/>
            <w:bookmarkEnd w:id="6274"/>
            <w:bookmarkEnd w:id="6275"/>
            <w:bookmarkEnd w:id="6276"/>
          </w:p>
        </w:tc>
        <w:tc>
          <w:tcPr>
            <w:tcW w:w="540" w:type="dxa"/>
            <w:tcBorders>
              <w:tl2br w:val="nil"/>
              <w:tr2bl w:val="nil"/>
            </w:tcBorders>
            <w:vAlign w:val="center"/>
          </w:tcPr>
          <w:p w14:paraId="19DA19F0">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lang w:val="en-US" w:eastAsia="zh-CN"/>
              </w:rPr>
            </w:pPr>
            <w:bookmarkStart w:id="6277" w:name="_Toc18613"/>
            <w:bookmarkStart w:id="6278" w:name="_Toc29352"/>
            <w:bookmarkStart w:id="6279" w:name="_Toc7064"/>
            <w:bookmarkStart w:id="6280" w:name="_Toc11928"/>
            <w:bookmarkStart w:id="6281" w:name="_Toc24709"/>
            <w:r>
              <w:rPr>
                <w:rFonts w:hint="default" w:ascii="Times New Roman" w:hAnsi="Times New Roman" w:cs="Times New Roman"/>
                <w:b/>
                <w:bCs/>
                <w:color w:val="auto"/>
                <w:sz w:val="21"/>
                <w:szCs w:val="21"/>
                <w:highlight w:val="none"/>
                <w:lang w:val="en-US" w:eastAsia="zh-CN"/>
              </w:rPr>
              <w:t>县</w:t>
            </w:r>
            <w:bookmarkEnd w:id="6277"/>
            <w:bookmarkEnd w:id="6278"/>
            <w:bookmarkEnd w:id="6279"/>
            <w:bookmarkEnd w:id="6280"/>
            <w:bookmarkEnd w:id="6281"/>
          </w:p>
        </w:tc>
        <w:tc>
          <w:tcPr>
            <w:tcW w:w="780" w:type="dxa"/>
            <w:tcBorders>
              <w:tl2br w:val="nil"/>
              <w:tr2bl w:val="nil"/>
            </w:tcBorders>
            <w:vAlign w:val="center"/>
          </w:tcPr>
          <w:p w14:paraId="148F1D87">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282" w:name="_Toc18750"/>
            <w:bookmarkStart w:id="6283" w:name="_Toc4777"/>
            <w:bookmarkStart w:id="6284" w:name="_Toc24073"/>
            <w:bookmarkStart w:id="6285" w:name="_Toc22263"/>
            <w:bookmarkStart w:id="6286" w:name="_Toc11534"/>
            <w:r>
              <w:rPr>
                <w:rFonts w:hint="default" w:ascii="Times New Roman" w:hAnsi="Times New Roman" w:cs="Times New Roman"/>
                <w:b/>
                <w:bCs/>
                <w:color w:val="auto"/>
                <w:sz w:val="21"/>
                <w:szCs w:val="21"/>
                <w:highlight w:val="none"/>
              </w:rPr>
              <w:t>要素属性</w:t>
            </w:r>
            <w:bookmarkEnd w:id="6282"/>
            <w:bookmarkEnd w:id="6283"/>
            <w:bookmarkEnd w:id="6284"/>
            <w:bookmarkEnd w:id="6285"/>
            <w:bookmarkEnd w:id="6286"/>
          </w:p>
        </w:tc>
        <w:tc>
          <w:tcPr>
            <w:tcW w:w="1515" w:type="dxa"/>
            <w:tcBorders>
              <w:tl2br w:val="nil"/>
              <w:tr2bl w:val="nil"/>
            </w:tcBorders>
            <w:vAlign w:val="center"/>
          </w:tcPr>
          <w:p w14:paraId="34045293">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287" w:name="_Toc9304"/>
            <w:bookmarkStart w:id="6288" w:name="_Toc10084"/>
            <w:bookmarkStart w:id="6289" w:name="_Toc18777"/>
            <w:bookmarkStart w:id="6290" w:name="_Toc4534"/>
            <w:bookmarkStart w:id="6291" w:name="_Toc14605"/>
            <w:r>
              <w:rPr>
                <w:rFonts w:hint="default" w:ascii="Times New Roman" w:hAnsi="Times New Roman" w:cs="Times New Roman"/>
                <w:b/>
                <w:bCs/>
                <w:color w:val="auto"/>
                <w:sz w:val="21"/>
                <w:szCs w:val="21"/>
                <w:highlight w:val="none"/>
              </w:rPr>
              <w:t>控单元分类</w:t>
            </w:r>
            <w:bookmarkEnd w:id="6287"/>
            <w:bookmarkEnd w:id="6288"/>
            <w:bookmarkEnd w:id="6289"/>
            <w:bookmarkEnd w:id="6290"/>
            <w:bookmarkEnd w:id="6291"/>
          </w:p>
        </w:tc>
        <w:tc>
          <w:tcPr>
            <w:tcW w:w="1935" w:type="dxa"/>
            <w:tcBorders>
              <w:tl2br w:val="nil"/>
              <w:tr2bl w:val="nil"/>
            </w:tcBorders>
            <w:vAlign w:val="center"/>
          </w:tcPr>
          <w:p w14:paraId="3F99C9BE">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6292" w:name="_Toc24043"/>
            <w:bookmarkStart w:id="6293" w:name="_Toc15005"/>
            <w:bookmarkStart w:id="6294" w:name="_Toc29155"/>
            <w:bookmarkStart w:id="6295" w:name="_Toc29166"/>
            <w:bookmarkStart w:id="6296" w:name="_Toc30529"/>
            <w:r>
              <w:rPr>
                <w:rFonts w:hint="default" w:ascii="Times New Roman" w:hAnsi="Times New Roman" w:cs="Times New Roman"/>
                <w:b/>
                <w:bCs/>
                <w:color w:val="auto"/>
                <w:sz w:val="21"/>
                <w:szCs w:val="21"/>
                <w:highlight w:val="none"/>
                <w:lang w:val="en-US" w:eastAsia="zh-CN"/>
              </w:rPr>
              <w:t>管控要求</w:t>
            </w:r>
            <w:bookmarkEnd w:id="6292"/>
            <w:bookmarkEnd w:id="6293"/>
            <w:bookmarkEnd w:id="6294"/>
            <w:bookmarkEnd w:id="6295"/>
            <w:bookmarkEnd w:id="6296"/>
          </w:p>
        </w:tc>
        <w:tc>
          <w:tcPr>
            <w:tcW w:w="3435" w:type="dxa"/>
            <w:tcBorders>
              <w:tl2br w:val="nil"/>
              <w:tr2bl w:val="nil"/>
            </w:tcBorders>
            <w:vAlign w:val="center"/>
          </w:tcPr>
          <w:p w14:paraId="4CF429CB">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6297" w:name="_Toc13456"/>
            <w:bookmarkStart w:id="6298" w:name="_Toc14749"/>
            <w:bookmarkStart w:id="6299" w:name="_Toc7707"/>
            <w:bookmarkStart w:id="6300" w:name="_Toc23599"/>
            <w:bookmarkStart w:id="6301" w:name="_Toc6776"/>
            <w:r>
              <w:rPr>
                <w:rFonts w:hint="default" w:ascii="Times New Roman" w:hAnsi="Times New Roman" w:cs="Times New Roman"/>
                <w:b/>
                <w:bCs/>
                <w:color w:val="auto"/>
                <w:sz w:val="21"/>
                <w:szCs w:val="21"/>
                <w:highlight w:val="none"/>
                <w:lang w:val="en-US" w:eastAsia="zh-CN"/>
              </w:rPr>
              <w:t>管控内容</w:t>
            </w:r>
            <w:bookmarkEnd w:id="6297"/>
            <w:bookmarkEnd w:id="6298"/>
            <w:bookmarkEnd w:id="6299"/>
            <w:bookmarkEnd w:id="6300"/>
            <w:bookmarkEnd w:id="6301"/>
          </w:p>
        </w:tc>
        <w:tc>
          <w:tcPr>
            <w:tcW w:w="3270" w:type="dxa"/>
            <w:tcBorders>
              <w:tl2br w:val="nil"/>
              <w:tr2bl w:val="nil"/>
            </w:tcBorders>
            <w:vAlign w:val="center"/>
          </w:tcPr>
          <w:p w14:paraId="7F5E5DA1">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6302" w:name="_Toc16966"/>
            <w:bookmarkStart w:id="6303" w:name="_Toc1799"/>
            <w:r>
              <w:rPr>
                <w:rFonts w:hint="eastAsia" w:cs="Times New Roman"/>
                <w:b/>
                <w:bCs/>
                <w:color w:val="auto"/>
                <w:sz w:val="21"/>
                <w:szCs w:val="21"/>
                <w:highlight w:val="none"/>
                <w:lang w:val="en-US" w:eastAsia="zh-CN"/>
              </w:rPr>
              <w:t>本工程</w:t>
            </w:r>
            <w:bookmarkEnd w:id="6302"/>
            <w:bookmarkEnd w:id="6303"/>
          </w:p>
        </w:tc>
        <w:tc>
          <w:tcPr>
            <w:tcW w:w="1055" w:type="dxa"/>
            <w:tcBorders>
              <w:tl2br w:val="nil"/>
              <w:tr2bl w:val="nil"/>
            </w:tcBorders>
            <w:vAlign w:val="center"/>
          </w:tcPr>
          <w:p w14:paraId="2ABDA4C9">
            <w:pPr>
              <w:pStyle w:val="29"/>
              <w:suppressLineNumbers w:val="0"/>
              <w:bidi w:val="0"/>
              <w:spacing w:beforeAutospacing="0" w:afterAutospacing="0"/>
              <w:ind w:left="0" w:right="0"/>
              <w:jc w:val="center"/>
              <w:rPr>
                <w:rFonts w:hint="default" w:ascii="Times New Roman" w:hAnsi="Times New Roman" w:eastAsia="宋体" w:cs="Times New Roman"/>
                <w:b/>
                <w:bCs/>
                <w:color w:val="auto"/>
                <w:sz w:val="21"/>
                <w:szCs w:val="21"/>
                <w:highlight w:val="none"/>
                <w:lang w:val="en-US" w:eastAsia="zh-CN"/>
              </w:rPr>
            </w:pPr>
            <w:bookmarkStart w:id="6304" w:name="_Toc18103"/>
            <w:bookmarkStart w:id="6305" w:name="_Toc1324"/>
            <w:bookmarkStart w:id="6306" w:name="_Toc1286"/>
            <w:bookmarkStart w:id="6307" w:name="_Toc29101"/>
            <w:bookmarkStart w:id="6308" w:name="_Toc9798"/>
            <w:r>
              <w:rPr>
                <w:rFonts w:hint="default" w:ascii="Times New Roman" w:hAnsi="Times New Roman" w:cs="Times New Roman"/>
                <w:b/>
                <w:bCs/>
                <w:color w:val="auto"/>
                <w:sz w:val="21"/>
                <w:szCs w:val="21"/>
                <w:highlight w:val="none"/>
                <w:lang w:val="en-US" w:eastAsia="zh-CN"/>
              </w:rPr>
              <w:t>相符性</w:t>
            </w:r>
            <w:bookmarkEnd w:id="6304"/>
            <w:bookmarkEnd w:id="6305"/>
            <w:bookmarkEnd w:id="6306"/>
            <w:bookmarkEnd w:id="6307"/>
            <w:bookmarkEnd w:id="6308"/>
          </w:p>
        </w:tc>
      </w:tr>
      <w:tr w14:paraId="5B6F4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97" w:type="dxa"/>
            <w:vMerge w:val="restart"/>
            <w:tcBorders>
              <w:tl2br w:val="nil"/>
              <w:tr2bl w:val="nil"/>
            </w:tcBorders>
            <w:vAlign w:val="center"/>
          </w:tcPr>
          <w:p w14:paraId="798E1DFB">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rPr>
            </w:pPr>
            <w:bookmarkStart w:id="6309" w:name="_Toc28273"/>
            <w:bookmarkStart w:id="6310" w:name="_Toc5283"/>
            <w:bookmarkStart w:id="6311" w:name="_Toc8803"/>
            <w:r>
              <w:rPr>
                <w:rFonts w:hint="default" w:ascii="Times New Roman" w:hAnsi="Times New Roman" w:eastAsia="宋体" w:cs="Times New Roman"/>
                <w:color w:val="auto"/>
                <w:sz w:val="21"/>
                <w:szCs w:val="21"/>
                <w:highlight w:val="none"/>
              </w:rPr>
              <w:t>彭阳县优先保护单元2</w:t>
            </w:r>
            <w:bookmarkEnd w:id="6309"/>
            <w:bookmarkEnd w:id="6310"/>
            <w:bookmarkEnd w:id="6311"/>
          </w:p>
        </w:tc>
        <w:tc>
          <w:tcPr>
            <w:tcW w:w="540" w:type="dxa"/>
            <w:vMerge w:val="restart"/>
            <w:tcBorders>
              <w:tl2br w:val="nil"/>
              <w:tr2bl w:val="nil"/>
            </w:tcBorders>
            <w:vAlign w:val="center"/>
          </w:tcPr>
          <w:p w14:paraId="7EDECD6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eastAsia="zh-CN"/>
              </w:rPr>
            </w:pPr>
            <w:bookmarkStart w:id="6312" w:name="_Toc18856"/>
            <w:bookmarkStart w:id="6313" w:name="_Toc28961"/>
            <w:bookmarkStart w:id="6314" w:name="_Toc6001"/>
            <w:bookmarkStart w:id="6315" w:name="_Toc18552"/>
            <w:bookmarkStart w:id="6316" w:name="_Toc29323"/>
            <w:r>
              <w:rPr>
                <w:rFonts w:hint="default" w:ascii="Times New Roman" w:hAnsi="Times New Roman" w:eastAsia="宋体" w:cs="Times New Roman"/>
                <w:color w:val="auto"/>
                <w:sz w:val="21"/>
                <w:szCs w:val="21"/>
                <w:highlight w:val="none"/>
                <w:lang w:val="en-US" w:eastAsia="zh-CN"/>
              </w:rPr>
              <w:t>彭阳县</w:t>
            </w:r>
            <w:bookmarkEnd w:id="6312"/>
            <w:bookmarkEnd w:id="6313"/>
            <w:bookmarkEnd w:id="6314"/>
            <w:bookmarkEnd w:id="6315"/>
            <w:bookmarkEnd w:id="6316"/>
          </w:p>
        </w:tc>
        <w:tc>
          <w:tcPr>
            <w:tcW w:w="780" w:type="dxa"/>
            <w:vMerge w:val="restart"/>
            <w:tcBorders>
              <w:tl2br w:val="nil"/>
              <w:tr2bl w:val="nil"/>
            </w:tcBorders>
            <w:vAlign w:val="center"/>
          </w:tcPr>
          <w:p w14:paraId="01D33B4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rPr>
            </w:pPr>
            <w:bookmarkStart w:id="6317" w:name="_Toc24891"/>
            <w:bookmarkStart w:id="6318" w:name="_Toc11308"/>
            <w:bookmarkStart w:id="6319" w:name="_Toc16901"/>
            <w:bookmarkStart w:id="6320" w:name="_Toc6347"/>
            <w:bookmarkStart w:id="6321" w:name="_Toc21867"/>
            <w:r>
              <w:rPr>
                <w:rFonts w:hint="default" w:ascii="Times New Roman" w:hAnsi="Times New Roman" w:eastAsia="宋体" w:cs="Times New Roman"/>
                <w:color w:val="auto"/>
                <w:sz w:val="21"/>
                <w:szCs w:val="21"/>
                <w:highlight w:val="none"/>
              </w:rPr>
              <w:t>生态空间</w:t>
            </w:r>
            <w:bookmarkEnd w:id="6317"/>
            <w:bookmarkEnd w:id="6318"/>
            <w:bookmarkEnd w:id="6319"/>
            <w:bookmarkEnd w:id="6320"/>
            <w:bookmarkEnd w:id="6321"/>
          </w:p>
        </w:tc>
        <w:tc>
          <w:tcPr>
            <w:tcW w:w="1515" w:type="dxa"/>
            <w:vMerge w:val="restart"/>
            <w:tcBorders>
              <w:tl2br w:val="nil"/>
              <w:tr2bl w:val="nil"/>
            </w:tcBorders>
            <w:vAlign w:val="center"/>
          </w:tcPr>
          <w:p w14:paraId="748650EC">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eastAsia="zh-CN"/>
              </w:rPr>
            </w:pPr>
            <w:bookmarkStart w:id="6322" w:name="_Toc10589"/>
            <w:bookmarkStart w:id="6323" w:name="_Toc22193"/>
            <w:bookmarkStart w:id="6324" w:name="_Toc11799"/>
            <w:r>
              <w:rPr>
                <w:rFonts w:hint="eastAsia" w:cs="Times New Roman"/>
                <w:color w:val="auto"/>
                <w:sz w:val="21"/>
                <w:szCs w:val="21"/>
                <w:highlight w:val="none"/>
                <w:lang w:eastAsia="zh-CN"/>
              </w:rPr>
              <w:t>优先保护单元</w:t>
            </w:r>
            <w:bookmarkEnd w:id="6322"/>
            <w:bookmarkEnd w:id="6323"/>
            <w:bookmarkEnd w:id="6324"/>
          </w:p>
        </w:tc>
        <w:tc>
          <w:tcPr>
            <w:tcW w:w="1935" w:type="dxa"/>
            <w:tcBorders>
              <w:tl2br w:val="nil"/>
              <w:tr2bl w:val="nil"/>
            </w:tcBorders>
            <w:vAlign w:val="center"/>
          </w:tcPr>
          <w:p w14:paraId="0ACA3E6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rPr>
            </w:pPr>
            <w:bookmarkStart w:id="6325" w:name="_Toc21503"/>
            <w:bookmarkStart w:id="6326" w:name="_Toc7246"/>
            <w:bookmarkStart w:id="6327" w:name="_Toc10596"/>
            <w:bookmarkStart w:id="6328" w:name="_Toc23075"/>
            <w:bookmarkStart w:id="6329" w:name="_Toc19496"/>
            <w:r>
              <w:rPr>
                <w:rFonts w:hint="default" w:ascii="Times New Roman" w:hAnsi="Times New Roman" w:eastAsia="宋体" w:cs="Times New Roman"/>
                <w:color w:val="auto"/>
                <w:sz w:val="21"/>
                <w:szCs w:val="21"/>
                <w:highlight w:val="none"/>
              </w:rPr>
              <w:t>空间布局约束</w:t>
            </w:r>
            <w:bookmarkEnd w:id="6325"/>
            <w:bookmarkEnd w:id="6326"/>
            <w:bookmarkEnd w:id="6327"/>
            <w:bookmarkEnd w:id="6328"/>
            <w:bookmarkEnd w:id="6329"/>
          </w:p>
        </w:tc>
        <w:tc>
          <w:tcPr>
            <w:tcW w:w="3435" w:type="dxa"/>
            <w:tcBorders>
              <w:tl2br w:val="nil"/>
              <w:tr2bl w:val="nil"/>
            </w:tcBorders>
            <w:vAlign w:val="center"/>
          </w:tcPr>
          <w:p w14:paraId="3196E3D6">
            <w:pPr>
              <w:pStyle w:val="29"/>
              <w:suppressLineNumbers w:val="0"/>
              <w:bidi w:val="0"/>
              <w:spacing w:beforeAutospacing="0" w:afterAutospacing="0"/>
              <w:ind w:left="0" w:right="0"/>
              <w:jc w:val="both"/>
              <w:rPr>
                <w:rFonts w:hint="default" w:ascii="Times New Roman" w:hAnsi="Times New Roman" w:eastAsia="宋体" w:cs="Times New Roman"/>
                <w:color w:val="auto"/>
                <w:sz w:val="21"/>
                <w:szCs w:val="21"/>
                <w:highlight w:val="none"/>
                <w:lang w:val="en-US" w:eastAsia="zh-CN"/>
              </w:rPr>
            </w:pPr>
            <w:bookmarkStart w:id="6330" w:name="_Toc19176"/>
            <w:bookmarkStart w:id="6331" w:name="_Toc30211"/>
            <w:bookmarkStart w:id="6332" w:name="_Toc20319"/>
            <w:r>
              <w:rPr>
                <w:rFonts w:hint="default" w:ascii="Times New Roman" w:hAnsi="Times New Roman" w:eastAsia="宋体" w:cs="Times New Roman"/>
                <w:color w:val="auto"/>
                <w:sz w:val="21"/>
                <w:szCs w:val="21"/>
                <w:highlight w:val="none"/>
                <w:lang w:val="en-US" w:eastAsia="zh-CN"/>
              </w:rPr>
              <w:t>1.禁止在二十五度以上陡坡地开垦种植农作物。2.生态保护红线内，除国家重大战略项目以及对生态功能不造成破坏的十类有限人为活动之外，严格禁止各类开发性、生产性建设活动。一般生态空间内，在生态保护红线正面清单的基础上，仅允许开展生态修复等对生态环境扰动较小、不损害或有利于提升生态功能的开发项目。生态保护红线和一般生态空间以外的其他区域，除国家、自治区重大战略规划项目和不可避让生态红线的十类建设项目外，禁止新建排放污染物的各类工业和规模化</w:t>
            </w:r>
            <w:r>
              <w:rPr>
                <w:rFonts w:hint="eastAsia" w:cs="Times New Roman"/>
                <w:color w:val="auto"/>
                <w:sz w:val="21"/>
                <w:szCs w:val="21"/>
                <w:highlight w:val="none"/>
                <w:lang w:val="en-US" w:eastAsia="zh-CN"/>
              </w:rPr>
              <w:t>养殖项目。</w:t>
            </w:r>
            <w:bookmarkEnd w:id="6330"/>
            <w:bookmarkEnd w:id="6331"/>
            <w:bookmarkEnd w:id="6332"/>
          </w:p>
        </w:tc>
        <w:tc>
          <w:tcPr>
            <w:tcW w:w="3270" w:type="dxa"/>
            <w:tcBorders>
              <w:tl2br w:val="nil"/>
              <w:tr2bl w:val="nil"/>
            </w:tcBorders>
            <w:vAlign w:val="center"/>
          </w:tcPr>
          <w:p w14:paraId="2A1B81B3">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eastAsia="zh-CN"/>
              </w:rPr>
            </w:pPr>
            <w:bookmarkStart w:id="6333" w:name="_Toc494"/>
            <w:bookmarkStart w:id="6334" w:name="_Toc16387"/>
            <w:bookmarkStart w:id="6335" w:name="_Toc15903"/>
            <w:r>
              <w:rPr>
                <w:rFonts w:hint="eastAsia" w:cs="Times New Roman"/>
                <w:color w:val="auto"/>
                <w:sz w:val="21"/>
                <w:szCs w:val="21"/>
                <w:highlight w:val="none"/>
                <w:lang w:eastAsia="zh-CN"/>
              </w:rPr>
              <w:t>本工程为河道治理项目，不涉及种植、养殖等。项目不占用生态保护红线，仅对茹河河道进行护坡、疏浚，对石头崾岘水库清淤，项目实施后可以明显改善河道水质状况，提高了茹河川口河段和小河段控导河势能力，缓解塌岸等问题，施工结束对占地进行植被恢复，将不会损害区域生态环境。</w:t>
            </w:r>
            <w:bookmarkEnd w:id="6333"/>
            <w:bookmarkEnd w:id="6334"/>
            <w:bookmarkEnd w:id="6335"/>
          </w:p>
        </w:tc>
        <w:tc>
          <w:tcPr>
            <w:tcW w:w="1055" w:type="dxa"/>
            <w:tcBorders>
              <w:tl2br w:val="nil"/>
              <w:tr2bl w:val="nil"/>
            </w:tcBorders>
            <w:vAlign w:val="center"/>
          </w:tcPr>
          <w:p w14:paraId="4D6D3CC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rPr>
            </w:pPr>
            <w:bookmarkStart w:id="6336" w:name="_Toc6781"/>
            <w:bookmarkStart w:id="6337" w:name="_Toc23851"/>
            <w:bookmarkStart w:id="6338" w:name="_Toc17042"/>
            <w:bookmarkStart w:id="6339" w:name="_Toc26858"/>
            <w:bookmarkStart w:id="6340" w:name="_Toc4311"/>
            <w:r>
              <w:rPr>
                <w:rFonts w:hint="default" w:ascii="Times New Roman" w:hAnsi="Times New Roman" w:eastAsia="宋体" w:cs="Times New Roman"/>
                <w:color w:val="auto"/>
                <w:sz w:val="21"/>
                <w:szCs w:val="21"/>
                <w:highlight w:val="none"/>
                <w:lang w:val="en-US" w:eastAsia="zh-CN"/>
              </w:rPr>
              <w:t>符合</w:t>
            </w:r>
            <w:bookmarkEnd w:id="6336"/>
            <w:bookmarkEnd w:id="6337"/>
            <w:bookmarkEnd w:id="6338"/>
            <w:bookmarkEnd w:id="6339"/>
            <w:bookmarkEnd w:id="6340"/>
          </w:p>
        </w:tc>
      </w:tr>
      <w:tr w14:paraId="75E59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97" w:type="dxa"/>
            <w:vMerge w:val="continue"/>
            <w:tcBorders>
              <w:tl2br w:val="nil"/>
              <w:tr2bl w:val="nil"/>
            </w:tcBorders>
            <w:vAlign w:val="center"/>
          </w:tcPr>
          <w:p w14:paraId="5ECF96E2">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540" w:type="dxa"/>
            <w:vMerge w:val="continue"/>
            <w:tcBorders>
              <w:tl2br w:val="nil"/>
              <w:tr2bl w:val="nil"/>
            </w:tcBorders>
            <w:vAlign w:val="center"/>
          </w:tcPr>
          <w:p w14:paraId="0A53F37A">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667665A1">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515" w:type="dxa"/>
            <w:vMerge w:val="continue"/>
            <w:tcBorders>
              <w:tl2br w:val="nil"/>
              <w:tr2bl w:val="nil"/>
            </w:tcBorders>
            <w:vAlign w:val="center"/>
          </w:tcPr>
          <w:p w14:paraId="0C5037D1">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935" w:type="dxa"/>
            <w:tcBorders>
              <w:tl2br w:val="nil"/>
              <w:tr2bl w:val="nil"/>
            </w:tcBorders>
            <w:vAlign w:val="center"/>
          </w:tcPr>
          <w:p w14:paraId="76913FE8">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rPr>
            </w:pPr>
            <w:bookmarkStart w:id="6341" w:name="_Toc4087"/>
            <w:bookmarkStart w:id="6342" w:name="_Toc29726"/>
            <w:bookmarkStart w:id="6343" w:name="_Toc16439"/>
            <w:bookmarkStart w:id="6344" w:name="_Toc8909"/>
            <w:bookmarkStart w:id="6345" w:name="_Toc18630"/>
            <w:r>
              <w:rPr>
                <w:rFonts w:hint="default" w:ascii="Times New Roman" w:hAnsi="Times New Roman" w:cs="Times New Roman"/>
                <w:color w:val="auto"/>
                <w:sz w:val="21"/>
                <w:szCs w:val="21"/>
                <w:highlight w:val="none"/>
              </w:rPr>
              <w:t>污染物排放管控</w:t>
            </w:r>
            <w:bookmarkEnd w:id="6341"/>
            <w:bookmarkEnd w:id="6342"/>
            <w:bookmarkEnd w:id="6343"/>
            <w:bookmarkEnd w:id="6344"/>
            <w:bookmarkEnd w:id="6345"/>
          </w:p>
        </w:tc>
        <w:tc>
          <w:tcPr>
            <w:tcW w:w="3435" w:type="dxa"/>
            <w:tcBorders>
              <w:tl2br w:val="nil"/>
              <w:tr2bl w:val="nil"/>
            </w:tcBorders>
            <w:vAlign w:val="center"/>
          </w:tcPr>
          <w:p w14:paraId="17CBC040">
            <w:pPr>
              <w:pStyle w:val="29"/>
              <w:numPr>
                <w:ilvl w:val="0"/>
                <w:numId w:val="0"/>
              </w:numPr>
              <w:suppressLineNumbers w:val="0"/>
              <w:bidi w:val="0"/>
              <w:spacing w:beforeAutospacing="0" w:afterAutospacing="0"/>
              <w:ind w:left="0" w:leftChars="0" w:right="0" w:firstLine="0" w:firstLineChars="0"/>
              <w:jc w:val="center"/>
              <w:rPr>
                <w:rFonts w:hint="default" w:ascii="Times New Roman" w:hAnsi="Times New Roman" w:cs="Times New Roman"/>
                <w:color w:val="auto"/>
                <w:sz w:val="21"/>
                <w:szCs w:val="21"/>
                <w:highlight w:val="none"/>
              </w:rPr>
            </w:pPr>
            <w:bookmarkStart w:id="6346" w:name="_Toc28248"/>
            <w:bookmarkStart w:id="6347" w:name="_Toc22132"/>
            <w:bookmarkStart w:id="6348" w:name="_Toc23123"/>
            <w:bookmarkStart w:id="6349" w:name="_Toc17265"/>
            <w:bookmarkStart w:id="6350" w:name="_Toc25042"/>
            <w:r>
              <w:rPr>
                <w:rFonts w:hint="default" w:ascii="Times New Roman" w:hAnsi="Times New Roman" w:eastAsia="宋体" w:cs="Times New Roman"/>
                <w:color w:val="auto"/>
                <w:sz w:val="21"/>
                <w:szCs w:val="21"/>
                <w:highlight w:val="none"/>
                <w:lang w:val="en-US" w:eastAsia="zh-CN"/>
              </w:rPr>
              <w:t>未要求</w:t>
            </w:r>
            <w:bookmarkEnd w:id="6346"/>
            <w:bookmarkEnd w:id="6347"/>
            <w:bookmarkEnd w:id="6348"/>
            <w:bookmarkEnd w:id="6349"/>
            <w:bookmarkEnd w:id="6350"/>
          </w:p>
        </w:tc>
        <w:tc>
          <w:tcPr>
            <w:tcW w:w="3270" w:type="dxa"/>
            <w:tcBorders>
              <w:tl2br w:val="nil"/>
              <w:tr2bl w:val="nil"/>
            </w:tcBorders>
            <w:vAlign w:val="center"/>
          </w:tcPr>
          <w:p w14:paraId="330F13B9">
            <w:pPr>
              <w:keepNext w:val="0"/>
              <w:keepLines w:val="0"/>
              <w:suppressLineNumbers w:val="0"/>
              <w:bidi w:val="0"/>
              <w:spacing w:before="0" w:beforeAutospacing="0" w:after="0" w:afterAutospacing="0"/>
              <w:ind w:left="0" w:right="0"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055" w:type="dxa"/>
            <w:tcBorders>
              <w:tl2br w:val="nil"/>
              <w:tr2bl w:val="nil"/>
            </w:tcBorders>
            <w:vAlign w:val="center"/>
          </w:tcPr>
          <w:p w14:paraId="5D173CA4">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rPr>
            </w:pPr>
            <w:bookmarkStart w:id="6351" w:name="_Toc2129"/>
            <w:bookmarkStart w:id="6352" w:name="_Toc24427"/>
            <w:bookmarkStart w:id="6353" w:name="_Toc7711"/>
            <w:bookmarkStart w:id="6354" w:name="_Toc16267"/>
            <w:bookmarkStart w:id="6355" w:name="_Toc28999"/>
            <w:r>
              <w:rPr>
                <w:rFonts w:hint="default" w:ascii="Times New Roman" w:hAnsi="Times New Roman" w:eastAsia="宋体" w:cs="Times New Roman"/>
                <w:color w:val="auto"/>
                <w:sz w:val="21"/>
                <w:szCs w:val="21"/>
                <w:highlight w:val="none"/>
                <w:lang w:val="en-US" w:eastAsia="zh-CN"/>
              </w:rPr>
              <w:t>符合</w:t>
            </w:r>
            <w:bookmarkEnd w:id="6351"/>
            <w:bookmarkEnd w:id="6352"/>
            <w:bookmarkEnd w:id="6353"/>
            <w:bookmarkEnd w:id="6354"/>
            <w:bookmarkEnd w:id="6355"/>
          </w:p>
        </w:tc>
      </w:tr>
      <w:tr w14:paraId="4FD8F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97" w:type="dxa"/>
            <w:vMerge w:val="continue"/>
            <w:tcBorders>
              <w:tl2br w:val="nil"/>
              <w:tr2bl w:val="nil"/>
            </w:tcBorders>
            <w:vAlign w:val="center"/>
          </w:tcPr>
          <w:p w14:paraId="2ED01A61">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540" w:type="dxa"/>
            <w:vMerge w:val="continue"/>
            <w:tcBorders>
              <w:tl2br w:val="nil"/>
              <w:tr2bl w:val="nil"/>
            </w:tcBorders>
            <w:vAlign w:val="center"/>
          </w:tcPr>
          <w:p w14:paraId="16DD9E5A">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634C3D01">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515" w:type="dxa"/>
            <w:vMerge w:val="continue"/>
            <w:tcBorders>
              <w:tl2br w:val="nil"/>
              <w:tr2bl w:val="nil"/>
            </w:tcBorders>
            <w:vAlign w:val="center"/>
          </w:tcPr>
          <w:p w14:paraId="79BDB4A7">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935" w:type="dxa"/>
            <w:tcBorders>
              <w:tl2br w:val="nil"/>
              <w:tr2bl w:val="nil"/>
            </w:tcBorders>
            <w:vAlign w:val="center"/>
          </w:tcPr>
          <w:p w14:paraId="00093E0C">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rPr>
            </w:pPr>
            <w:bookmarkStart w:id="6356" w:name="_Toc28720"/>
            <w:bookmarkStart w:id="6357" w:name="_Toc29839"/>
            <w:bookmarkStart w:id="6358" w:name="_Toc32509"/>
            <w:bookmarkStart w:id="6359" w:name="_Toc8072"/>
            <w:bookmarkStart w:id="6360" w:name="_Toc10521"/>
            <w:r>
              <w:rPr>
                <w:rFonts w:hint="default" w:ascii="Times New Roman" w:hAnsi="Times New Roman" w:cs="Times New Roman"/>
                <w:color w:val="auto"/>
                <w:sz w:val="21"/>
                <w:szCs w:val="21"/>
                <w:highlight w:val="none"/>
              </w:rPr>
              <w:t>环境风险防控</w:t>
            </w:r>
            <w:bookmarkEnd w:id="6356"/>
            <w:bookmarkEnd w:id="6357"/>
            <w:bookmarkEnd w:id="6358"/>
            <w:bookmarkEnd w:id="6359"/>
            <w:bookmarkEnd w:id="6360"/>
          </w:p>
        </w:tc>
        <w:tc>
          <w:tcPr>
            <w:tcW w:w="3435" w:type="dxa"/>
            <w:tcBorders>
              <w:tl2br w:val="nil"/>
              <w:tr2bl w:val="nil"/>
            </w:tcBorders>
            <w:vAlign w:val="center"/>
          </w:tcPr>
          <w:p w14:paraId="3B1361EF">
            <w:pPr>
              <w:pStyle w:val="29"/>
              <w:numPr>
                <w:ilvl w:val="0"/>
                <w:numId w:val="0"/>
              </w:numPr>
              <w:suppressLineNumbers w:val="0"/>
              <w:bidi w:val="0"/>
              <w:spacing w:beforeAutospacing="0" w:afterAutospacing="0"/>
              <w:ind w:left="0" w:leftChars="0" w:right="0" w:firstLine="0" w:firstLineChars="0"/>
              <w:jc w:val="center"/>
              <w:rPr>
                <w:rFonts w:hint="default" w:ascii="Times New Roman" w:hAnsi="Times New Roman" w:cs="Times New Roman"/>
                <w:color w:val="auto"/>
                <w:sz w:val="21"/>
                <w:szCs w:val="21"/>
                <w:highlight w:val="none"/>
              </w:rPr>
            </w:pPr>
            <w:bookmarkStart w:id="6361" w:name="_Toc18130"/>
            <w:bookmarkStart w:id="6362" w:name="_Toc28698"/>
            <w:bookmarkStart w:id="6363" w:name="_Toc25846"/>
            <w:bookmarkStart w:id="6364" w:name="_Toc11211"/>
            <w:bookmarkStart w:id="6365" w:name="_Toc3372"/>
            <w:r>
              <w:rPr>
                <w:rFonts w:hint="default" w:ascii="Times New Roman" w:hAnsi="Times New Roman" w:eastAsia="宋体" w:cs="Times New Roman"/>
                <w:color w:val="auto"/>
                <w:sz w:val="21"/>
                <w:szCs w:val="21"/>
                <w:highlight w:val="none"/>
                <w:lang w:val="en-US" w:eastAsia="zh-CN"/>
              </w:rPr>
              <w:t>未要求</w:t>
            </w:r>
            <w:bookmarkEnd w:id="6361"/>
            <w:bookmarkEnd w:id="6362"/>
            <w:bookmarkEnd w:id="6363"/>
            <w:bookmarkEnd w:id="6364"/>
            <w:bookmarkEnd w:id="6365"/>
          </w:p>
        </w:tc>
        <w:tc>
          <w:tcPr>
            <w:tcW w:w="3270" w:type="dxa"/>
            <w:tcBorders>
              <w:tl2br w:val="nil"/>
              <w:tr2bl w:val="nil"/>
            </w:tcBorders>
            <w:vAlign w:val="center"/>
          </w:tcPr>
          <w:p w14:paraId="182BCFC7">
            <w:pPr>
              <w:keepNext w:val="0"/>
              <w:keepLines w:val="0"/>
              <w:suppressLineNumbers w:val="0"/>
              <w:bidi w:val="0"/>
              <w:spacing w:before="0" w:beforeAutospacing="0" w:after="0" w:afterAutospacing="0"/>
              <w:ind w:left="0" w:right="0"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055" w:type="dxa"/>
            <w:tcBorders>
              <w:tl2br w:val="nil"/>
              <w:tr2bl w:val="nil"/>
            </w:tcBorders>
            <w:vAlign w:val="center"/>
          </w:tcPr>
          <w:p w14:paraId="46106CED">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rPr>
            </w:pPr>
            <w:bookmarkStart w:id="6366" w:name="_Toc206"/>
            <w:bookmarkStart w:id="6367" w:name="_Toc31140"/>
            <w:bookmarkStart w:id="6368" w:name="_Toc5884"/>
            <w:bookmarkStart w:id="6369" w:name="_Toc21531"/>
            <w:bookmarkStart w:id="6370" w:name="_Toc21169"/>
            <w:r>
              <w:rPr>
                <w:rFonts w:hint="default" w:ascii="Times New Roman" w:hAnsi="Times New Roman" w:eastAsia="宋体" w:cs="Times New Roman"/>
                <w:color w:val="auto"/>
                <w:sz w:val="21"/>
                <w:szCs w:val="21"/>
                <w:highlight w:val="none"/>
                <w:lang w:val="en-US" w:eastAsia="zh-CN"/>
              </w:rPr>
              <w:t>符合</w:t>
            </w:r>
            <w:bookmarkEnd w:id="6366"/>
            <w:bookmarkEnd w:id="6367"/>
            <w:bookmarkEnd w:id="6368"/>
            <w:bookmarkEnd w:id="6369"/>
            <w:bookmarkEnd w:id="6370"/>
          </w:p>
        </w:tc>
      </w:tr>
      <w:tr w14:paraId="6CDAE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97" w:type="dxa"/>
            <w:vMerge w:val="continue"/>
            <w:tcBorders>
              <w:tl2br w:val="nil"/>
              <w:tr2bl w:val="nil"/>
            </w:tcBorders>
            <w:vAlign w:val="center"/>
          </w:tcPr>
          <w:p w14:paraId="212BBC0B">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540" w:type="dxa"/>
            <w:vMerge w:val="continue"/>
            <w:tcBorders>
              <w:tl2br w:val="nil"/>
              <w:tr2bl w:val="nil"/>
            </w:tcBorders>
            <w:vAlign w:val="center"/>
          </w:tcPr>
          <w:p w14:paraId="7B6354DE">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47B17967">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515" w:type="dxa"/>
            <w:vMerge w:val="continue"/>
            <w:tcBorders>
              <w:tl2br w:val="nil"/>
              <w:tr2bl w:val="nil"/>
            </w:tcBorders>
            <w:vAlign w:val="center"/>
          </w:tcPr>
          <w:p w14:paraId="74049AE8">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935" w:type="dxa"/>
            <w:tcBorders>
              <w:tl2br w:val="nil"/>
              <w:tr2bl w:val="nil"/>
            </w:tcBorders>
            <w:vAlign w:val="center"/>
          </w:tcPr>
          <w:p w14:paraId="34014339">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rPr>
            </w:pPr>
            <w:bookmarkStart w:id="6371" w:name="_Toc15026"/>
            <w:bookmarkStart w:id="6372" w:name="_Toc20030"/>
            <w:bookmarkStart w:id="6373" w:name="_Toc26199"/>
            <w:bookmarkStart w:id="6374" w:name="_Toc13709"/>
            <w:bookmarkStart w:id="6375" w:name="_Toc6751"/>
            <w:r>
              <w:rPr>
                <w:rFonts w:hint="default" w:ascii="Times New Roman" w:hAnsi="Times New Roman" w:cs="Times New Roman"/>
                <w:color w:val="auto"/>
                <w:sz w:val="21"/>
                <w:szCs w:val="21"/>
                <w:highlight w:val="none"/>
              </w:rPr>
              <w:t>资源开发效率要求</w:t>
            </w:r>
            <w:bookmarkEnd w:id="6371"/>
            <w:bookmarkEnd w:id="6372"/>
            <w:bookmarkEnd w:id="6373"/>
            <w:bookmarkEnd w:id="6374"/>
            <w:bookmarkEnd w:id="6375"/>
          </w:p>
        </w:tc>
        <w:tc>
          <w:tcPr>
            <w:tcW w:w="3435" w:type="dxa"/>
            <w:tcBorders>
              <w:tl2br w:val="nil"/>
              <w:tr2bl w:val="nil"/>
            </w:tcBorders>
            <w:vAlign w:val="center"/>
          </w:tcPr>
          <w:p w14:paraId="1DDD1731">
            <w:pPr>
              <w:pStyle w:val="29"/>
              <w:numPr>
                <w:ilvl w:val="0"/>
                <w:numId w:val="0"/>
              </w:numPr>
              <w:suppressLineNumbers w:val="0"/>
              <w:bidi w:val="0"/>
              <w:spacing w:beforeAutospacing="0" w:afterAutospacing="0"/>
              <w:ind w:left="0" w:leftChars="0" w:right="0" w:firstLine="0" w:firstLineChars="0"/>
              <w:jc w:val="center"/>
              <w:rPr>
                <w:rFonts w:hint="default" w:ascii="Times New Roman" w:hAnsi="Times New Roman" w:cs="Times New Roman"/>
                <w:color w:val="auto"/>
                <w:sz w:val="21"/>
                <w:szCs w:val="21"/>
                <w:highlight w:val="none"/>
              </w:rPr>
            </w:pPr>
            <w:bookmarkStart w:id="6376" w:name="_Toc21849"/>
            <w:bookmarkStart w:id="6377" w:name="_Toc6451"/>
            <w:bookmarkStart w:id="6378" w:name="_Toc21980"/>
            <w:bookmarkStart w:id="6379" w:name="_Toc12642"/>
            <w:bookmarkStart w:id="6380" w:name="_Toc9104"/>
            <w:r>
              <w:rPr>
                <w:rFonts w:hint="default" w:ascii="Times New Roman" w:hAnsi="Times New Roman" w:eastAsia="宋体" w:cs="Times New Roman"/>
                <w:color w:val="auto"/>
                <w:sz w:val="21"/>
                <w:szCs w:val="21"/>
                <w:highlight w:val="none"/>
                <w:lang w:val="en-US" w:eastAsia="zh-CN"/>
              </w:rPr>
              <w:t>未要求</w:t>
            </w:r>
            <w:bookmarkEnd w:id="6376"/>
            <w:bookmarkEnd w:id="6377"/>
            <w:bookmarkEnd w:id="6378"/>
            <w:bookmarkEnd w:id="6379"/>
            <w:bookmarkEnd w:id="6380"/>
          </w:p>
        </w:tc>
        <w:tc>
          <w:tcPr>
            <w:tcW w:w="3270" w:type="dxa"/>
            <w:tcBorders>
              <w:tl2br w:val="nil"/>
              <w:tr2bl w:val="nil"/>
            </w:tcBorders>
            <w:vAlign w:val="center"/>
          </w:tcPr>
          <w:p w14:paraId="5A9ECF71">
            <w:pPr>
              <w:pStyle w:val="29"/>
              <w:numPr>
                <w:ilvl w:val="0"/>
                <w:numId w:val="0"/>
              </w:numPr>
              <w:suppressLineNumbers w:val="0"/>
              <w:bidi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bookmarkStart w:id="6381" w:name="_Toc3998"/>
            <w:bookmarkStart w:id="6382" w:name="_Toc24194"/>
            <w:bookmarkStart w:id="6383" w:name="_Toc20300"/>
            <w:r>
              <w:rPr>
                <w:rFonts w:hint="default" w:ascii="Times New Roman" w:hAnsi="Times New Roman" w:eastAsia="宋体" w:cs="Times New Roman"/>
                <w:color w:val="auto"/>
                <w:sz w:val="21"/>
                <w:szCs w:val="21"/>
                <w:highlight w:val="none"/>
                <w:lang w:val="en-US" w:eastAsia="zh-CN"/>
              </w:rPr>
              <w:t>/</w:t>
            </w:r>
            <w:bookmarkEnd w:id="6381"/>
            <w:bookmarkEnd w:id="6382"/>
            <w:bookmarkEnd w:id="6383"/>
          </w:p>
        </w:tc>
        <w:tc>
          <w:tcPr>
            <w:tcW w:w="1055" w:type="dxa"/>
            <w:tcBorders>
              <w:tl2br w:val="nil"/>
              <w:tr2bl w:val="nil"/>
            </w:tcBorders>
            <w:vAlign w:val="center"/>
          </w:tcPr>
          <w:p w14:paraId="6AF7332B">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rPr>
            </w:pPr>
            <w:bookmarkStart w:id="6384" w:name="_Toc5252"/>
            <w:bookmarkStart w:id="6385" w:name="_Toc22421"/>
            <w:bookmarkStart w:id="6386" w:name="_Toc16300"/>
            <w:bookmarkStart w:id="6387" w:name="_Toc26916"/>
            <w:bookmarkStart w:id="6388" w:name="_Toc7861"/>
            <w:r>
              <w:rPr>
                <w:rFonts w:hint="default" w:ascii="Times New Roman" w:hAnsi="Times New Roman" w:eastAsia="宋体" w:cs="Times New Roman"/>
                <w:color w:val="auto"/>
                <w:sz w:val="21"/>
                <w:szCs w:val="21"/>
                <w:highlight w:val="none"/>
                <w:lang w:val="en-US" w:eastAsia="zh-CN"/>
              </w:rPr>
              <w:t>符合</w:t>
            </w:r>
            <w:bookmarkEnd w:id="6384"/>
            <w:bookmarkEnd w:id="6385"/>
            <w:bookmarkEnd w:id="6386"/>
            <w:bookmarkEnd w:id="6387"/>
            <w:bookmarkEnd w:id="6388"/>
          </w:p>
        </w:tc>
      </w:tr>
      <w:tr w14:paraId="411F6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97" w:type="dxa"/>
            <w:vMerge w:val="restart"/>
            <w:tcBorders>
              <w:tl2br w:val="nil"/>
              <w:tr2bl w:val="nil"/>
            </w:tcBorders>
            <w:vAlign w:val="center"/>
          </w:tcPr>
          <w:p w14:paraId="2FCE1E9D">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彭阳县重点管控单元1</w:t>
            </w:r>
          </w:p>
        </w:tc>
        <w:tc>
          <w:tcPr>
            <w:tcW w:w="540" w:type="dxa"/>
            <w:vMerge w:val="restart"/>
            <w:tcBorders>
              <w:tl2br w:val="nil"/>
              <w:tr2bl w:val="nil"/>
            </w:tcBorders>
            <w:vAlign w:val="center"/>
          </w:tcPr>
          <w:p w14:paraId="7283E602">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彭阳县</w:t>
            </w:r>
          </w:p>
        </w:tc>
        <w:tc>
          <w:tcPr>
            <w:tcW w:w="780" w:type="dxa"/>
            <w:vMerge w:val="restart"/>
            <w:tcBorders>
              <w:tl2br w:val="nil"/>
              <w:tr2bl w:val="nil"/>
            </w:tcBorders>
            <w:vAlign w:val="center"/>
          </w:tcPr>
          <w:p w14:paraId="57044AA8">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大气环境受体</w:t>
            </w:r>
          </w:p>
          <w:p w14:paraId="16DD39E4">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敏感区+高污染燃料禁燃区</w:t>
            </w:r>
          </w:p>
        </w:tc>
        <w:tc>
          <w:tcPr>
            <w:tcW w:w="1515" w:type="dxa"/>
            <w:vMerge w:val="restart"/>
            <w:tcBorders>
              <w:tl2br w:val="nil"/>
              <w:tr2bl w:val="nil"/>
            </w:tcBorders>
            <w:vAlign w:val="center"/>
          </w:tcPr>
          <w:p w14:paraId="7290F60B">
            <w:pPr>
              <w:pStyle w:val="29"/>
              <w:suppressLineNumbers w:val="0"/>
              <w:bidi w:val="0"/>
              <w:spacing w:beforeAutospacing="0" w:afterAutospacing="0"/>
              <w:ind w:left="0" w:right="0" w:firstLine="0" w:firstLineChars="0"/>
              <w:jc w:val="center"/>
              <w:outlineLvl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重点管控单元</w:t>
            </w:r>
          </w:p>
        </w:tc>
        <w:tc>
          <w:tcPr>
            <w:tcW w:w="1935" w:type="dxa"/>
            <w:tcBorders>
              <w:tl2br w:val="nil"/>
              <w:tr2bl w:val="nil"/>
            </w:tcBorders>
            <w:vAlign w:val="center"/>
          </w:tcPr>
          <w:p w14:paraId="62991D79">
            <w:pPr>
              <w:pStyle w:val="29"/>
              <w:suppressLineNumbers w:val="0"/>
              <w:bidi w:val="0"/>
              <w:spacing w:beforeAutospacing="0" w:afterAutospacing="0"/>
              <w:ind w:left="0" w:right="0" w:firstLine="0" w:firstLineChars="0"/>
              <w:jc w:val="center"/>
              <w:rPr>
                <w:rFonts w:hint="default" w:ascii="Times New Roman" w:hAnsi="Times New Roman" w:cs="Times New Roman"/>
                <w:color w:val="auto"/>
                <w:sz w:val="21"/>
                <w:szCs w:val="21"/>
                <w:highlight w:val="none"/>
              </w:rPr>
            </w:pPr>
            <w:bookmarkStart w:id="6389" w:name="_Toc14543"/>
            <w:bookmarkStart w:id="6390" w:name="_Toc9629"/>
            <w:bookmarkStart w:id="6391" w:name="_Toc12918"/>
            <w:r>
              <w:rPr>
                <w:rFonts w:hint="default" w:ascii="Times New Roman" w:hAnsi="Times New Roman" w:eastAsia="宋体" w:cs="Times New Roman"/>
                <w:color w:val="auto"/>
                <w:sz w:val="21"/>
                <w:szCs w:val="21"/>
                <w:highlight w:val="none"/>
                <w:lang w:val="en-US" w:eastAsia="zh-CN"/>
              </w:rPr>
              <w:t>彭阳县</w:t>
            </w:r>
            <w:bookmarkEnd w:id="6389"/>
            <w:bookmarkEnd w:id="6390"/>
            <w:bookmarkEnd w:id="6391"/>
          </w:p>
        </w:tc>
        <w:tc>
          <w:tcPr>
            <w:tcW w:w="3435" w:type="dxa"/>
            <w:tcBorders>
              <w:tl2br w:val="nil"/>
              <w:tr2bl w:val="nil"/>
            </w:tcBorders>
            <w:vAlign w:val="center"/>
          </w:tcPr>
          <w:p w14:paraId="2B5CB635">
            <w:pPr>
              <w:pStyle w:val="29"/>
              <w:numPr>
                <w:ilvl w:val="0"/>
                <w:numId w:val="0"/>
              </w:numPr>
              <w:suppressLineNumbers w:val="0"/>
              <w:bidi w:val="0"/>
              <w:spacing w:beforeAutospacing="0" w:afterAutospacing="0"/>
              <w:ind w:left="0" w:leftChars="0" w:right="0" w:firstLine="0" w:firstLineChars="0"/>
              <w:jc w:val="left"/>
              <w:rPr>
                <w:rFonts w:hint="default" w:ascii="Times New Roman" w:hAnsi="Times New Roman" w:eastAsia="宋体" w:cs="Times New Roman"/>
                <w:color w:val="auto"/>
                <w:sz w:val="21"/>
                <w:szCs w:val="21"/>
                <w:highlight w:val="none"/>
                <w:lang w:val="en-US" w:eastAsia="zh-CN"/>
              </w:rPr>
            </w:pPr>
            <w:bookmarkStart w:id="6392" w:name="_Toc12206"/>
            <w:bookmarkStart w:id="6393" w:name="_Toc18194"/>
            <w:bookmarkStart w:id="6394" w:name="_Toc6688"/>
            <w:r>
              <w:rPr>
                <w:rFonts w:hint="default" w:ascii="Times New Roman" w:hAnsi="Times New Roman" w:eastAsia="宋体" w:cs="Times New Roman"/>
                <w:color w:val="auto"/>
                <w:sz w:val="21"/>
                <w:szCs w:val="21"/>
                <w:highlight w:val="none"/>
                <w:lang w:val="en-US" w:eastAsia="zh-CN"/>
              </w:rPr>
              <w:t>1.禁止新建涉及大规模排放大气污染物和VOCs排放的工业项目。2.禁止新建涉及有毒有害大气污染物排放的项目。3.严格限制新建涉及恶臭污染物、颗粒物无组织排放的项目。4.依照相关法律法规，除重大项目外原则上禁止占用永久基本农田</w:t>
            </w:r>
            <w:r>
              <w:rPr>
                <w:rFonts w:hint="eastAsia" w:cs="Times New Roman"/>
                <w:color w:val="auto"/>
                <w:sz w:val="21"/>
                <w:szCs w:val="21"/>
                <w:highlight w:val="none"/>
                <w:lang w:val="en-US" w:eastAsia="zh-CN"/>
              </w:rPr>
              <w:t>。</w:t>
            </w:r>
            <w:bookmarkEnd w:id="6392"/>
            <w:bookmarkEnd w:id="6393"/>
            <w:bookmarkEnd w:id="6394"/>
          </w:p>
        </w:tc>
        <w:tc>
          <w:tcPr>
            <w:tcW w:w="3270" w:type="dxa"/>
            <w:tcBorders>
              <w:tl2br w:val="nil"/>
              <w:tr2bl w:val="nil"/>
            </w:tcBorders>
            <w:vAlign w:val="center"/>
          </w:tcPr>
          <w:p w14:paraId="2C7EC1E7">
            <w:pPr>
              <w:pStyle w:val="29"/>
              <w:numPr>
                <w:ilvl w:val="0"/>
                <w:numId w:val="0"/>
              </w:numPr>
              <w:suppressLineNumbers w:val="0"/>
              <w:bidi w:val="0"/>
              <w:spacing w:beforeAutospacing="0" w:afterAutospacing="0"/>
              <w:ind w:left="0" w:leftChars="0" w:right="0" w:firstLine="0" w:firstLineChars="0"/>
              <w:jc w:val="left"/>
              <w:rPr>
                <w:rFonts w:hint="default" w:ascii="Times New Roman" w:hAnsi="Times New Roman" w:eastAsia="宋体" w:cs="Times New Roman"/>
                <w:color w:val="auto"/>
                <w:sz w:val="21"/>
                <w:szCs w:val="21"/>
                <w:highlight w:val="none"/>
                <w:lang w:val="en-US" w:eastAsia="zh-CN"/>
              </w:rPr>
            </w:pPr>
            <w:bookmarkStart w:id="6395" w:name="_Toc31964"/>
            <w:bookmarkStart w:id="6396" w:name="_Toc514"/>
            <w:bookmarkStart w:id="6397" w:name="_Toc29053"/>
            <w:r>
              <w:rPr>
                <w:rFonts w:hint="eastAsia" w:cs="Times New Roman"/>
                <w:color w:val="auto"/>
                <w:sz w:val="21"/>
                <w:szCs w:val="21"/>
                <w:highlight w:val="none"/>
                <w:lang w:val="en-US" w:eastAsia="zh-CN"/>
              </w:rPr>
              <w:t>本工程</w:t>
            </w:r>
            <w:r>
              <w:rPr>
                <w:rFonts w:hint="eastAsia" w:ascii="Times New Roman" w:hAnsi="Times New Roman" w:eastAsia="宋体" w:cs="Times New Roman"/>
                <w:color w:val="auto"/>
                <w:sz w:val="21"/>
                <w:szCs w:val="21"/>
                <w:highlight w:val="none"/>
                <w:lang w:val="en-US" w:eastAsia="zh-CN"/>
              </w:rPr>
              <w:t>为河道治理项目，项目运营期无污染物排放且不占用基本农田</w:t>
            </w:r>
            <w:r>
              <w:rPr>
                <w:rFonts w:hint="eastAsia" w:ascii="Times New Roman" w:hAnsi="Times New Roman" w:cs="Times New Roman"/>
                <w:color w:val="auto"/>
                <w:sz w:val="21"/>
                <w:szCs w:val="21"/>
                <w:highlight w:val="none"/>
                <w:lang w:val="en-US" w:eastAsia="zh-CN"/>
              </w:rPr>
              <w:t>。</w:t>
            </w:r>
            <w:bookmarkEnd w:id="6395"/>
            <w:bookmarkEnd w:id="6396"/>
            <w:bookmarkEnd w:id="6397"/>
          </w:p>
        </w:tc>
        <w:tc>
          <w:tcPr>
            <w:tcW w:w="1055" w:type="dxa"/>
            <w:tcBorders>
              <w:tl2br w:val="nil"/>
              <w:tr2bl w:val="nil"/>
            </w:tcBorders>
            <w:vAlign w:val="center"/>
          </w:tcPr>
          <w:p w14:paraId="280D270E">
            <w:pPr>
              <w:pStyle w:val="29"/>
              <w:suppressLineNumbers w:val="0"/>
              <w:bidi w:val="0"/>
              <w:spacing w:beforeAutospacing="0" w:afterAutospacing="0"/>
              <w:ind w:left="0" w:right="0" w:firstLine="0" w:firstLineChars="0"/>
              <w:jc w:val="center"/>
              <w:rPr>
                <w:rFonts w:hint="default" w:ascii="Times New Roman" w:hAnsi="Times New Roman" w:eastAsia="宋体" w:cs="Times New Roman"/>
                <w:color w:val="auto"/>
                <w:sz w:val="21"/>
                <w:szCs w:val="21"/>
                <w:highlight w:val="none"/>
                <w:lang w:val="en-US" w:eastAsia="zh-CN"/>
              </w:rPr>
            </w:pPr>
            <w:bookmarkStart w:id="6398" w:name="_Toc31324"/>
            <w:bookmarkStart w:id="6399" w:name="_Toc24027"/>
            <w:bookmarkStart w:id="6400" w:name="_Toc9349"/>
            <w:r>
              <w:rPr>
                <w:rFonts w:hint="default" w:ascii="Times New Roman" w:hAnsi="Times New Roman" w:eastAsia="宋体" w:cs="Times New Roman"/>
                <w:color w:val="auto"/>
                <w:sz w:val="21"/>
                <w:szCs w:val="21"/>
                <w:highlight w:val="none"/>
                <w:lang w:val="en-US" w:eastAsia="zh-CN"/>
              </w:rPr>
              <w:t>符合</w:t>
            </w:r>
            <w:bookmarkEnd w:id="6398"/>
            <w:bookmarkEnd w:id="6399"/>
            <w:bookmarkEnd w:id="6400"/>
          </w:p>
        </w:tc>
      </w:tr>
      <w:tr w14:paraId="186E0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97" w:type="dxa"/>
            <w:vMerge w:val="continue"/>
            <w:tcBorders>
              <w:tl2br w:val="nil"/>
              <w:tr2bl w:val="nil"/>
            </w:tcBorders>
            <w:vAlign w:val="center"/>
          </w:tcPr>
          <w:p w14:paraId="2309B630">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540" w:type="dxa"/>
            <w:vMerge w:val="continue"/>
            <w:tcBorders>
              <w:tl2br w:val="nil"/>
              <w:tr2bl w:val="nil"/>
            </w:tcBorders>
            <w:vAlign w:val="center"/>
          </w:tcPr>
          <w:p w14:paraId="125BCDD7">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4C32EEF3">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515" w:type="dxa"/>
            <w:vMerge w:val="continue"/>
            <w:tcBorders>
              <w:tl2br w:val="nil"/>
              <w:tr2bl w:val="nil"/>
            </w:tcBorders>
            <w:vAlign w:val="center"/>
          </w:tcPr>
          <w:p w14:paraId="7F35AAC8">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935" w:type="dxa"/>
            <w:tcBorders>
              <w:tl2br w:val="nil"/>
              <w:tr2bl w:val="nil"/>
            </w:tcBorders>
            <w:vAlign w:val="center"/>
          </w:tcPr>
          <w:p w14:paraId="47791BEE">
            <w:pPr>
              <w:pStyle w:val="29"/>
              <w:suppressLineNumbers w:val="0"/>
              <w:bidi w:val="0"/>
              <w:spacing w:beforeAutospacing="0" w:afterAutospacing="0"/>
              <w:ind w:left="0" w:leftChars="0" w:right="0" w:rightChars="0" w:firstLine="0" w:firstLineChars="0"/>
              <w:jc w:val="center"/>
              <w:rPr>
                <w:rFonts w:hint="default" w:ascii="Times New Roman" w:hAnsi="Times New Roman" w:cs="Times New Roman"/>
                <w:color w:val="auto"/>
                <w:sz w:val="21"/>
                <w:szCs w:val="21"/>
                <w:highlight w:val="none"/>
              </w:rPr>
            </w:pPr>
            <w:bookmarkStart w:id="6401" w:name="_Toc15769"/>
            <w:bookmarkStart w:id="6402" w:name="_Toc10182"/>
            <w:bookmarkStart w:id="6403" w:name="_Toc862"/>
            <w:r>
              <w:rPr>
                <w:rFonts w:hint="default" w:ascii="Times New Roman" w:hAnsi="Times New Roman" w:cs="Times New Roman"/>
                <w:color w:val="auto"/>
                <w:sz w:val="21"/>
                <w:szCs w:val="21"/>
                <w:highlight w:val="none"/>
              </w:rPr>
              <w:t>污染物排放管控</w:t>
            </w:r>
            <w:bookmarkEnd w:id="6401"/>
            <w:bookmarkEnd w:id="6402"/>
            <w:bookmarkEnd w:id="6403"/>
          </w:p>
        </w:tc>
        <w:tc>
          <w:tcPr>
            <w:tcW w:w="3435" w:type="dxa"/>
            <w:tcBorders>
              <w:tl2br w:val="nil"/>
              <w:tr2bl w:val="nil"/>
            </w:tcBorders>
            <w:vAlign w:val="center"/>
          </w:tcPr>
          <w:p w14:paraId="46425FA1">
            <w:pPr>
              <w:pStyle w:val="29"/>
              <w:numPr>
                <w:ilvl w:val="0"/>
                <w:numId w:val="0"/>
              </w:numPr>
              <w:suppressLineNumbers w:val="0"/>
              <w:bidi w:val="0"/>
              <w:spacing w:beforeAutospacing="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rPr>
            </w:pPr>
            <w:bookmarkStart w:id="6404" w:name="_Toc26535"/>
            <w:bookmarkStart w:id="6405" w:name="_Toc12355"/>
            <w:bookmarkStart w:id="6406" w:name="_Toc18769"/>
            <w:r>
              <w:rPr>
                <w:rFonts w:hint="default" w:ascii="Times New Roman" w:hAnsi="Times New Roman" w:eastAsia="宋体" w:cs="Times New Roman"/>
                <w:color w:val="auto"/>
                <w:sz w:val="21"/>
                <w:szCs w:val="21"/>
                <w:highlight w:val="none"/>
                <w:lang w:val="en-US" w:eastAsia="zh-CN"/>
              </w:rPr>
              <w:t>1.改建、扩建水泥、建材等行业项目应实施主要大气污染物等量替代。2.新建或改扩建畜禽规模养殖场应依法依规开展环境影响评价，配套建设粪污处理设施，提高粪污综合利用率。3.彭阳县供热公司应采取有效措施，</w:t>
            </w:r>
            <w:r>
              <w:rPr>
                <w:rFonts w:hint="eastAsia" w:cs="Times New Roman"/>
                <w:color w:val="auto"/>
                <w:sz w:val="21"/>
                <w:szCs w:val="21"/>
                <w:highlight w:val="none"/>
                <w:lang w:val="en-US" w:eastAsia="zh-CN"/>
              </w:rPr>
              <w:t>减少</w:t>
            </w:r>
            <w:r>
              <w:rPr>
                <w:rFonts w:hint="default" w:ascii="Times New Roman" w:hAnsi="Times New Roman" w:eastAsia="宋体" w:cs="Times New Roman"/>
                <w:color w:val="auto"/>
                <w:sz w:val="21"/>
                <w:szCs w:val="21"/>
                <w:highlight w:val="none"/>
                <w:lang w:val="en-US" w:eastAsia="zh-CN"/>
              </w:rPr>
              <w:t>燃煤、灰渣等物料贮存转运产生的颗粒物排放。</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超低排放改造</w:t>
            </w:r>
            <w:r>
              <w:rPr>
                <w:rFonts w:hint="eastAsia" w:ascii="Times New Roman" w:hAnsi="Times New Roman" w:eastAsia="宋体" w:cs="Times New Roman"/>
                <w:color w:val="auto"/>
                <w:sz w:val="21"/>
                <w:szCs w:val="21"/>
                <w:highlight w:val="none"/>
                <w:lang w:val="en-US" w:eastAsia="zh-CN"/>
              </w:rPr>
              <w:t>）。</w:t>
            </w:r>
            <w:bookmarkEnd w:id="6404"/>
            <w:bookmarkEnd w:id="6405"/>
            <w:bookmarkEnd w:id="6406"/>
          </w:p>
        </w:tc>
        <w:tc>
          <w:tcPr>
            <w:tcW w:w="3270" w:type="dxa"/>
            <w:tcBorders>
              <w:tl2br w:val="nil"/>
              <w:tr2bl w:val="nil"/>
            </w:tcBorders>
            <w:vAlign w:val="center"/>
          </w:tcPr>
          <w:p w14:paraId="5D340562">
            <w:pPr>
              <w:keepNext w:val="0"/>
              <w:keepLines w:val="0"/>
              <w:suppressLineNumbers w:val="0"/>
              <w:bidi w:val="0"/>
              <w:spacing w:before="0" w:beforeAutospacing="0" w:after="0" w:afterAutospacing="0"/>
              <w:ind w:left="0" w:leftChars="0" w:right="0" w:rightChars="0" w:firstLine="420" w:firstLineChars="20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本工程</w:t>
            </w:r>
            <w:r>
              <w:rPr>
                <w:rFonts w:hint="eastAsia" w:ascii="Times New Roman" w:hAnsi="Times New Roman" w:cs="Times New Roman"/>
                <w:color w:val="auto"/>
                <w:sz w:val="21"/>
                <w:szCs w:val="21"/>
                <w:highlight w:val="none"/>
                <w:lang w:val="en-US" w:eastAsia="zh-CN"/>
              </w:rPr>
              <w:t>不涉及。</w:t>
            </w:r>
          </w:p>
        </w:tc>
        <w:tc>
          <w:tcPr>
            <w:tcW w:w="1055" w:type="dxa"/>
            <w:tcBorders>
              <w:tl2br w:val="nil"/>
              <w:tr2bl w:val="nil"/>
            </w:tcBorders>
            <w:vAlign w:val="center"/>
          </w:tcPr>
          <w:p w14:paraId="64122609">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bookmarkStart w:id="6407" w:name="_Toc26884"/>
            <w:bookmarkStart w:id="6408" w:name="_Toc911"/>
            <w:bookmarkStart w:id="6409" w:name="_Toc1984"/>
            <w:r>
              <w:rPr>
                <w:rFonts w:hint="default" w:ascii="Times New Roman" w:hAnsi="Times New Roman" w:eastAsia="宋体" w:cs="Times New Roman"/>
                <w:color w:val="auto"/>
                <w:sz w:val="21"/>
                <w:szCs w:val="21"/>
                <w:highlight w:val="none"/>
                <w:lang w:val="en-US" w:eastAsia="zh-CN"/>
              </w:rPr>
              <w:t>符合</w:t>
            </w:r>
            <w:bookmarkEnd w:id="6407"/>
            <w:bookmarkEnd w:id="6408"/>
            <w:bookmarkEnd w:id="6409"/>
          </w:p>
        </w:tc>
      </w:tr>
      <w:tr w14:paraId="4C06A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97" w:type="dxa"/>
            <w:vMerge w:val="continue"/>
            <w:tcBorders>
              <w:tl2br w:val="nil"/>
              <w:tr2bl w:val="nil"/>
            </w:tcBorders>
            <w:vAlign w:val="center"/>
          </w:tcPr>
          <w:p w14:paraId="3823487D">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540" w:type="dxa"/>
            <w:vMerge w:val="continue"/>
            <w:tcBorders>
              <w:tl2br w:val="nil"/>
              <w:tr2bl w:val="nil"/>
            </w:tcBorders>
            <w:vAlign w:val="center"/>
          </w:tcPr>
          <w:p w14:paraId="6F40F260">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5D0B02B7">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515" w:type="dxa"/>
            <w:vMerge w:val="continue"/>
            <w:tcBorders>
              <w:tl2br w:val="nil"/>
              <w:tr2bl w:val="nil"/>
            </w:tcBorders>
            <w:vAlign w:val="center"/>
          </w:tcPr>
          <w:p w14:paraId="35081F90">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935" w:type="dxa"/>
            <w:tcBorders>
              <w:tl2br w:val="nil"/>
              <w:tr2bl w:val="nil"/>
            </w:tcBorders>
            <w:vAlign w:val="center"/>
          </w:tcPr>
          <w:p w14:paraId="7574E108">
            <w:pPr>
              <w:pStyle w:val="29"/>
              <w:suppressLineNumbers w:val="0"/>
              <w:bidi w:val="0"/>
              <w:spacing w:beforeAutospacing="0" w:afterAutospacing="0"/>
              <w:ind w:left="0" w:leftChars="0" w:right="0" w:rightChars="0" w:firstLine="0" w:firstLineChars="0"/>
              <w:jc w:val="center"/>
              <w:rPr>
                <w:rFonts w:hint="default" w:ascii="Times New Roman" w:hAnsi="Times New Roman" w:cs="Times New Roman"/>
                <w:color w:val="auto"/>
                <w:sz w:val="21"/>
                <w:szCs w:val="21"/>
                <w:highlight w:val="none"/>
              </w:rPr>
            </w:pPr>
            <w:bookmarkStart w:id="6410" w:name="_Toc22756"/>
            <w:bookmarkStart w:id="6411" w:name="_Toc17183"/>
            <w:bookmarkStart w:id="6412" w:name="_Toc13018"/>
            <w:r>
              <w:rPr>
                <w:rFonts w:hint="default" w:ascii="Times New Roman" w:hAnsi="Times New Roman" w:cs="Times New Roman"/>
                <w:color w:val="auto"/>
                <w:sz w:val="21"/>
                <w:szCs w:val="21"/>
                <w:highlight w:val="none"/>
              </w:rPr>
              <w:t>环境风险防控</w:t>
            </w:r>
            <w:bookmarkEnd w:id="6410"/>
            <w:bookmarkEnd w:id="6411"/>
            <w:bookmarkEnd w:id="6412"/>
          </w:p>
        </w:tc>
        <w:tc>
          <w:tcPr>
            <w:tcW w:w="3435" w:type="dxa"/>
            <w:tcBorders>
              <w:tl2br w:val="nil"/>
              <w:tr2bl w:val="nil"/>
            </w:tcBorders>
            <w:vAlign w:val="center"/>
          </w:tcPr>
          <w:p w14:paraId="2A52654A">
            <w:pPr>
              <w:pStyle w:val="29"/>
              <w:numPr>
                <w:ilvl w:val="0"/>
                <w:numId w:val="0"/>
              </w:numPr>
              <w:suppressLineNumbers w:val="0"/>
              <w:bidi w:val="0"/>
              <w:spacing w:beforeAutospacing="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rPr>
            </w:pPr>
            <w:bookmarkStart w:id="6413" w:name="_Toc27304"/>
            <w:bookmarkStart w:id="6414" w:name="_Toc13529"/>
            <w:bookmarkStart w:id="6415" w:name="_Toc8102"/>
            <w:r>
              <w:rPr>
                <w:rFonts w:hint="default" w:ascii="Times New Roman" w:hAnsi="Times New Roman" w:eastAsia="宋体" w:cs="Times New Roman"/>
                <w:color w:val="auto"/>
                <w:sz w:val="21"/>
                <w:szCs w:val="21"/>
                <w:highlight w:val="none"/>
                <w:lang w:val="en-US" w:eastAsia="zh-CN"/>
              </w:rPr>
              <w:t>彭阳县污水</w:t>
            </w:r>
            <w:r>
              <w:rPr>
                <w:rFonts w:hint="eastAsia" w:cs="Times New Roman"/>
                <w:color w:val="auto"/>
                <w:sz w:val="21"/>
                <w:szCs w:val="21"/>
                <w:highlight w:val="none"/>
                <w:lang w:val="en-US" w:eastAsia="zh-CN"/>
              </w:rPr>
              <w:t>处理厂</w:t>
            </w:r>
            <w:r>
              <w:rPr>
                <w:rFonts w:hint="default" w:ascii="Times New Roman" w:hAnsi="Times New Roman" w:eastAsia="宋体" w:cs="Times New Roman"/>
                <w:color w:val="auto"/>
                <w:sz w:val="21"/>
                <w:szCs w:val="21"/>
                <w:highlight w:val="none"/>
                <w:lang w:val="en-US" w:eastAsia="zh-CN"/>
              </w:rPr>
              <w:t>应配套有效措施，防止因渗漏污染地下水、土壤，以及因事故造成废水直排污染茹河。</w:t>
            </w:r>
            <w:bookmarkEnd w:id="6413"/>
            <w:bookmarkEnd w:id="6414"/>
            <w:bookmarkEnd w:id="6415"/>
          </w:p>
        </w:tc>
        <w:tc>
          <w:tcPr>
            <w:tcW w:w="3270" w:type="dxa"/>
            <w:tcBorders>
              <w:tl2br w:val="nil"/>
              <w:tr2bl w:val="nil"/>
            </w:tcBorders>
            <w:vAlign w:val="center"/>
          </w:tcPr>
          <w:p w14:paraId="222AD48C">
            <w:pPr>
              <w:keepNext w:val="0"/>
              <w:keepLines w:val="0"/>
              <w:suppressLineNumbers w:val="0"/>
              <w:bidi w:val="0"/>
              <w:spacing w:before="0" w:beforeAutospacing="0" w:after="0" w:afterAutospacing="0"/>
              <w:ind w:left="0" w:leftChars="0" w:right="0" w:rightChars="0" w:firstLine="420" w:firstLineChars="20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本工程</w:t>
            </w:r>
            <w:r>
              <w:rPr>
                <w:rFonts w:hint="eastAsia" w:ascii="Times New Roman" w:hAnsi="Times New Roman" w:cs="Times New Roman"/>
                <w:color w:val="auto"/>
                <w:sz w:val="21"/>
                <w:szCs w:val="21"/>
                <w:highlight w:val="none"/>
                <w:lang w:val="en-US" w:eastAsia="zh-CN"/>
              </w:rPr>
              <w:t>不涉及。</w:t>
            </w:r>
          </w:p>
        </w:tc>
        <w:tc>
          <w:tcPr>
            <w:tcW w:w="1055" w:type="dxa"/>
            <w:tcBorders>
              <w:tl2br w:val="nil"/>
              <w:tr2bl w:val="nil"/>
            </w:tcBorders>
            <w:vAlign w:val="center"/>
          </w:tcPr>
          <w:p w14:paraId="458C747F">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bookmarkStart w:id="6416" w:name="_Toc8634"/>
            <w:bookmarkStart w:id="6417" w:name="_Toc25582"/>
            <w:bookmarkStart w:id="6418" w:name="_Toc28219"/>
            <w:r>
              <w:rPr>
                <w:rFonts w:hint="default" w:ascii="Times New Roman" w:hAnsi="Times New Roman" w:eastAsia="宋体" w:cs="Times New Roman"/>
                <w:color w:val="auto"/>
                <w:sz w:val="21"/>
                <w:szCs w:val="21"/>
                <w:highlight w:val="none"/>
                <w:lang w:val="en-US" w:eastAsia="zh-CN"/>
              </w:rPr>
              <w:t>符合</w:t>
            </w:r>
            <w:bookmarkEnd w:id="6416"/>
            <w:bookmarkEnd w:id="6417"/>
            <w:bookmarkEnd w:id="6418"/>
          </w:p>
        </w:tc>
      </w:tr>
      <w:tr w14:paraId="4DFDB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597" w:type="dxa"/>
            <w:vMerge w:val="continue"/>
            <w:tcBorders>
              <w:tl2br w:val="nil"/>
              <w:tr2bl w:val="nil"/>
            </w:tcBorders>
            <w:vAlign w:val="center"/>
          </w:tcPr>
          <w:p w14:paraId="22C658CD">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540" w:type="dxa"/>
            <w:vMerge w:val="continue"/>
            <w:tcBorders>
              <w:tl2br w:val="nil"/>
              <w:tr2bl w:val="nil"/>
            </w:tcBorders>
            <w:vAlign w:val="center"/>
          </w:tcPr>
          <w:p w14:paraId="65A6CEDD">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780" w:type="dxa"/>
            <w:vMerge w:val="continue"/>
            <w:tcBorders>
              <w:tl2br w:val="nil"/>
              <w:tr2bl w:val="nil"/>
            </w:tcBorders>
            <w:vAlign w:val="center"/>
          </w:tcPr>
          <w:p w14:paraId="5EF8AF55">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515" w:type="dxa"/>
            <w:vMerge w:val="continue"/>
            <w:tcBorders>
              <w:tl2br w:val="nil"/>
              <w:tr2bl w:val="nil"/>
            </w:tcBorders>
            <w:vAlign w:val="center"/>
          </w:tcPr>
          <w:p w14:paraId="62CD9653">
            <w:pPr>
              <w:pStyle w:val="29"/>
              <w:suppressLineNumbers w:val="0"/>
              <w:bidi w:val="0"/>
              <w:spacing w:beforeAutospacing="0" w:afterAutospacing="0"/>
              <w:ind w:left="0" w:right="0" w:firstLine="0" w:firstLineChars="0"/>
              <w:jc w:val="center"/>
              <w:outlineLvl w:val="9"/>
              <w:rPr>
                <w:rFonts w:hint="default" w:ascii="Times New Roman" w:hAnsi="Times New Roman" w:cs="Times New Roman"/>
                <w:color w:val="auto"/>
                <w:sz w:val="21"/>
                <w:szCs w:val="21"/>
                <w:highlight w:val="none"/>
              </w:rPr>
            </w:pPr>
          </w:p>
        </w:tc>
        <w:tc>
          <w:tcPr>
            <w:tcW w:w="1935" w:type="dxa"/>
            <w:tcBorders>
              <w:tl2br w:val="nil"/>
              <w:tr2bl w:val="nil"/>
            </w:tcBorders>
            <w:vAlign w:val="center"/>
          </w:tcPr>
          <w:p w14:paraId="6D245CC7">
            <w:pPr>
              <w:pStyle w:val="29"/>
              <w:suppressLineNumbers w:val="0"/>
              <w:bidi w:val="0"/>
              <w:spacing w:beforeAutospacing="0" w:afterAutospacing="0"/>
              <w:ind w:left="0" w:leftChars="0" w:right="0" w:rightChars="0" w:firstLine="0" w:firstLineChars="0"/>
              <w:jc w:val="center"/>
              <w:rPr>
                <w:rFonts w:hint="default" w:ascii="Times New Roman" w:hAnsi="Times New Roman" w:cs="Times New Roman"/>
                <w:color w:val="auto"/>
                <w:sz w:val="21"/>
                <w:szCs w:val="21"/>
                <w:highlight w:val="none"/>
              </w:rPr>
            </w:pPr>
            <w:bookmarkStart w:id="6419" w:name="_Toc3063"/>
            <w:bookmarkStart w:id="6420" w:name="_Toc17989"/>
            <w:bookmarkStart w:id="6421" w:name="_Toc32179"/>
            <w:r>
              <w:rPr>
                <w:rFonts w:hint="default" w:ascii="Times New Roman" w:hAnsi="Times New Roman" w:cs="Times New Roman"/>
                <w:color w:val="auto"/>
                <w:sz w:val="21"/>
                <w:szCs w:val="21"/>
                <w:highlight w:val="none"/>
              </w:rPr>
              <w:t>资源开发效率要求</w:t>
            </w:r>
            <w:bookmarkEnd w:id="6419"/>
            <w:bookmarkEnd w:id="6420"/>
            <w:bookmarkEnd w:id="6421"/>
          </w:p>
        </w:tc>
        <w:tc>
          <w:tcPr>
            <w:tcW w:w="3435" w:type="dxa"/>
            <w:tcBorders>
              <w:tl2br w:val="nil"/>
              <w:tr2bl w:val="nil"/>
            </w:tcBorders>
            <w:vAlign w:val="center"/>
          </w:tcPr>
          <w:p w14:paraId="0FED58A8">
            <w:pPr>
              <w:pStyle w:val="29"/>
              <w:numPr>
                <w:ilvl w:val="0"/>
                <w:numId w:val="0"/>
              </w:numPr>
              <w:suppressLineNumbers w:val="0"/>
              <w:bidi w:val="0"/>
              <w:spacing w:beforeAutospacing="0" w:afterAutospacing="0"/>
              <w:ind w:left="0" w:leftChars="0" w:right="0" w:rightChars="0" w:firstLine="0" w:firstLineChars="0"/>
              <w:jc w:val="both"/>
              <w:rPr>
                <w:rFonts w:hint="default" w:ascii="Times New Roman" w:hAnsi="Times New Roman" w:eastAsia="宋体" w:cs="Times New Roman"/>
                <w:color w:val="auto"/>
                <w:sz w:val="21"/>
                <w:szCs w:val="21"/>
                <w:highlight w:val="none"/>
                <w:lang w:val="en-US" w:eastAsia="zh-CN"/>
              </w:rPr>
            </w:pPr>
            <w:bookmarkStart w:id="6422" w:name="_Toc5505"/>
            <w:bookmarkStart w:id="6423" w:name="_Toc4336"/>
            <w:bookmarkStart w:id="6424" w:name="_Toc20993"/>
            <w:r>
              <w:rPr>
                <w:rFonts w:hint="default" w:ascii="Times New Roman" w:hAnsi="Times New Roman" w:eastAsia="宋体" w:cs="Times New Roman"/>
                <w:color w:val="auto"/>
                <w:sz w:val="21"/>
                <w:szCs w:val="21"/>
                <w:highlight w:val="none"/>
                <w:lang w:val="en-US" w:eastAsia="zh-CN"/>
              </w:rPr>
              <w:t>禁燃区内禁止使用、销售各种高污染燃料，不得新建、改建、扩建任何燃用高污染燃料的设备。</w:t>
            </w:r>
            <w:bookmarkEnd w:id="6422"/>
            <w:bookmarkEnd w:id="6423"/>
            <w:bookmarkEnd w:id="6424"/>
          </w:p>
        </w:tc>
        <w:tc>
          <w:tcPr>
            <w:tcW w:w="3270" w:type="dxa"/>
            <w:tcBorders>
              <w:tl2br w:val="nil"/>
              <w:tr2bl w:val="nil"/>
            </w:tcBorders>
            <w:vAlign w:val="center"/>
          </w:tcPr>
          <w:p w14:paraId="662E3379">
            <w:pPr>
              <w:keepNext w:val="0"/>
              <w:keepLines w:val="0"/>
              <w:suppressLineNumbers w:val="0"/>
              <w:bidi w:val="0"/>
              <w:spacing w:before="0" w:beforeAutospacing="0" w:after="0" w:afterAutospacing="0"/>
              <w:ind w:left="0" w:leftChars="0" w:right="0" w:rightChars="0" w:firstLine="420" w:firstLineChars="20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本工程</w:t>
            </w:r>
            <w:r>
              <w:rPr>
                <w:rFonts w:hint="eastAsia" w:ascii="Times New Roman" w:hAnsi="Times New Roman" w:cs="Times New Roman"/>
                <w:color w:val="auto"/>
                <w:sz w:val="21"/>
                <w:szCs w:val="21"/>
                <w:highlight w:val="none"/>
                <w:lang w:val="en-US" w:eastAsia="zh-CN"/>
              </w:rPr>
              <w:t>不涉及。</w:t>
            </w:r>
          </w:p>
        </w:tc>
        <w:tc>
          <w:tcPr>
            <w:tcW w:w="1055" w:type="dxa"/>
            <w:tcBorders>
              <w:tl2br w:val="nil"/>
              <w:tr2bl w:val="nil"/>
            </w:tcBorders>
            <w:vAlign w:val="center"/>
          </w:tcPr>
          <w:p w14:paraId="468DAB4A">
            <w:pPr>
              <w:pStyle w:val="29"/>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bookmarkStart w:id="6425" w:name="_Toc23183"/>
            <w:bookmarkStart w:id="6426" w:name="_Toc4883"/>
            <w:bookmarkStart w:id="6427" w:name="_Toc8748"/>
            <w:r>
              <w:rPr>
                <w:rFonts w:hint="default" w:ascii="Times New Roman" w:hAnsi="Times New Roman" w:eastAsia="宋体" w:cs="Times New Roman"/>
                <w:color w:val="auto"/>
                <w:sz w:val="21"/>
                <w:szCs w:val="21"/>
                <w:highlight w:val="none"/>
                <w:lang w:val="en-US" w:eastAsia="zh-CN"/>
              </w:rPr>
              <w:t>符合</w:t>
            </w:r>
            <w:bookmarkEnd w:id="6425"/>
            <w:bookmarkEnd w:id="6426"/>
            <w:bookmarkEnd w:id="6427"/>
          </w:p>
        </w:tc>
      </w:tr>
    </w:tbl>
    <w:p w14:paraId="0B86FAE8">
      <w:pPr>
        <w:rPr>
          <w:rFonts w:hint="default" w:ascii="Times New Roman" w:hAnsi="Times New Roman" w:cs="Times New Roman"/>
          <w:color w:val="auto"/>
          <w:sz w:val="28"/>
          <w:szCs w:val="28"/>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B919803">
      <w:pPr>
        <w:pStyle w:val="3"/>
        <w:bidi w:val="0"/>
        <w:outlineLvl w:val="0"/>
        <w:rPr>
          <w:rFonts w:hint="default" w:ascii="Times New Roman" w:hAnsi="Times New Roman" w:cs="Times New Roman"/>
          <w:color w:val="auto"/>
          <w:sz w:val="28"/>
          <w:szCs w:val="28"/>
          <w:highlight w:val="none"/>
        </w:rPr>
      </w:pPr>
      <w:bookmarkStart w:id="6428" w:name="_Toc22306"/>
      <w:bookmarkStart w:id="6429" w:name="_Toc17389"/>
      <w:bookmarkStart w:id="6430" w:name="_Toc17601"/>
      <w:bookmarkStart w:id="6431" w:name="_Toc1160"/>
      <w:bookmarkStart w:id="6432" w:name="_Toc14917"/>
      <w:r>
        <w:rPr>
          <w:rFonts w:hint="default"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 xml:space="preserve"> 环境影响经济损益分析</w:t>
      </w:r>
      <w:bookmarkEnd w:id="6428"/>
      <w:bookmarkEnd w:id="6429"/>
      <w:bookmarkEnd w:id="6430"/>
      <w:bookmarkEnd w:id="6431"/>
    </w:p>
    <w:p w14:paraId="749DCFDA">
      <w:pPr>
        <w:autoSpaceDE w:val="0"/>
        <w:autoSpaceDN w:val="0"/>
        <w:spacing w:line="360" w:lineRule="auto"/>
        <w:ind w:firstLine="491"/>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环境经济损益分析主要是评价建设项目实施后，对环境造成的损失和采取各种环保治理措施所能收到的环保效果及其带来的经济和社会效益，衡量建设项目的环保投资在经济上的合理水平。一个项目的开发建设，除对国民经济的发展起着促进作用外，同时，也在一定程度上影响着项目拟建地区环境的变化。社会影响、经济影响、环境影响是一个系统的三要素，最终以提高人类的生活质量为目的。它们之间</w:t>
      </w:r>
      <w:r>
        <w:rPr>
          <w:rFonts w:hint="eastAsia" w:cs="Times New Roman"/>
          <w:color w:val="auto"/>
          <w:sz w:val="24"/>
          <w:szCs w:val="24"/>
          <w:highlight w:val="none"/>
          <w:lang w:val="en-US" w:eastAsia="zh-CN"/>
        </w:rPr>
        <w:t>既</w:t>
      </w:r>
      <w:r>
        <w:rPr>
          <w:rFonts w:hint="default" w:ascii="Times New Roman" w:hAnsi="Times New Roman" w:cs="Times New Roman"/>
          <w:color w:val="auto"/>
          <w:sz w:val="24"/>
          <w:szCs w:val="24"/>
          <w:highlight w:val="none"/>
          <w:lang w:val="en-US" w:eastAsia="zh-CN"/>
        </w:rPr>
        <w:t>互相促进，又互相制约，必须通过全面规划、综合平衡、正确地把全局利益和局部利益、长远利益和近期利益结合起来，对环境保护和经济发展进行协调，实现社会效益、经济效益、环境效益的合理统一。</w:t>
      </w:r>
    </w:p>
    <w:p w14:paraId="07C42EFC">
      <w:pPr>
        <w:pStyle w:val="4"/>
        <w:bidi w:val="0"/>
        <w:rPr>
          <w:rFonts w:hint="default" w:ascii="Times New Roman" w:hAnsi="Times New Roman" w:cs="Times New Roman"/>
          <w:color w:val="auto"/>
          <w:sz w:val="28"/>
          <w:szCs w:val="28"/>
          <w:highlight w:val="none"/>
          <w:lang w:val="en-US" w:eastAsia="zh-CN"/>
        </w:rPr>
      </w:pPr>
      <w:bookmarkStart w:id="6433" w:name="_Toc22464"/>
      <w:bookmarkStart w:id="6434" w:name="_Toc2644"/>
      <w:bookmarkStart w:id="6435" w:name="_Toc23622"/>
      <w:bookmarkStart w:id="6436" w:name="_Toc5866"/>
      <w:r>
        <w:rPr>
          <w:rFonts w:hint="default" w:ascii="Times New Roman" w:hAnsi="Times New Roman" w:cs="Times New Roman"/>
          <w:color w:val="auto"/>
          <w:sz w:val="28"/>
          <w:szCs w:val="28"/>
          <w:highlight w:val="none"/>
          <w:lang w:val="en-US" w:eastAsia="zh-CN"/>
        </w:rPr>
        <w:t>9.1环保投资估算</w:t>
      </w:r>
      <w:bookmarkEnd w:id="6433"/>
      <w:bookmarkEnd w:id="6434"/>
      <w:bookmarkEnd w:id="6435"/>
      <w:bookmarkEnd w:id="6436"/>
    </w:p>
    <w:p w14:paraId="7BF6F6AE">
      <w:pPr>
        <w:autoSpaceDE w:val="0"/>
        <w:autoSpaceDN w:val="0"/>
        <w:spacing w:line="360" w:lineRule="auto"/>
        <w:ind w:firstLine="491"/>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本工程</w:t>
      </w:r>
      <w:r>
        <w:rPr>
          <w:rFonts w:hint="eastAsia" w:cs="Times New Roman"/>
          <w:color w:val="auto"/>
          <w:sz w:val="24"/>
          <w:szCs w:val="24"/>
          <w:highlight w:val="none"/>
          <w:lang w:val="en-US" w:eastAsia="zh-CN"/>
        </w:rPr>
        <w:t>总投资6793.26</w:t>
      </w:r>
      <w:r>
        <w:rPr>
          <w:rFonts w:hint="default" w:ascii="Times New Roman" w:hAnsi="Times New Roman" w:cs="Times New Roman"/>
          <w:color w:val="auto"/>
          <w:sz w:val="24"/>
          <w:szCs w:val="24"/>
          <w:highlight w:val="none"/>
          <w:lang w:val="en-US" w:eastAsia="zh-CN"/>
        </w:rPr>
        <w:t>万元，环保投资费用估算为</w:t>
      </w:r>
      <w:r>
        <w:rPr>
          <w:rFonts w:hint="eastAsia" w:cs="Times New Roman"/>
          <w:color w:val="auto"/>
          <w:sz w:val="24"/>
          <w:szCs w:val="24"/>
          <w:highlight w:val="none"/>
          <w:lang w:val="en-US" w:eastAsia="zh-CN"/>
        </w:rPr>
        <w:t>13.46</w:t>
      </w:r>
      <w:r>
        <w:rPr>
          <w:rFonts w:hint="default" w:ascii="Times New Roman" w:hAnsi="Times New Roman" w:cs="Times New Roman"/>
          <w:color w:val="auto"/>
          <w:sz w:val="24"/>
          <w:szCs w:val="24"/>
          <w:highlight w:val="none"/>
          <w:lang w:val="en-US" w:eastAsia="zh-CN"/>
        </w:rPr>
        <w:t>万元，</w:t>
      </w:r>
      <w:r>
        <w:rPr>
          <w:rFonts w:hint="eastAsia" w:cs="Times New Roman"/>
          <w:color w:val="auto"/>
          <w:sz w:val="24"/>
          <w:szCs w:val="24"/>
          <w:highlight w:val="none"/>
          <w:lang w:val="en-US" w:eastAsia="zh-CN"/>
        </w:rPr>
        <w:t>环保投资占总投资0.21%，详</w:t>
      </w:r>
      <w:r>
        <w:rPr>
          <w:rFonts w:hint="default" w:ascii="Times New Roman" w:hAnsi="Times New Roman" w:cs="Times New Roman"/>
          <w:color w:val="auto"/>
          <w:sz w:val="24"/>
          <w:szCs w:val="24"/>
          <w:highlight w:val="none"/>
          <w:lang w:val="en-US" w:eastAsia="zh-CN"/>
        </w:rPr>
        <w:t>见表9.1-1。</w:t>
      </w:r>
    </w:p>
    <w:p w14:paraId="50171260">
      <w:pPr>
        <w:pStyle w:val="11"/>
        <w:kinsoku w:val="0"/>
        <w:overflowPunct w:val="0"/>
        <w:snapToGrid w:val="0"/>
        <w:spacing w:before="156" w:beforeLines="50"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9.1-1</w:t>
      </w:r>
      <w:r>
        <w:rPr>
          <w:rFonts w:hint="default" w:ascii="Times New Roman" w:hAnsi="Times New Roman" w:eastAsia="宋体" w:cs="Times New Roman"/>
          <w:b/>
          <w:bCs/>
          <w:color w:val="auto"/>
          <w:sz w:val="24"/>
          <w:szCs w:val="24"/>
          <w:highlight w:val="none"/>
        </w:rPr>
        <w:t xml:space="preserve"> 本工程环保投资一览表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08"/>
        <w:gridCol w:w="1410"/>
        <w:gridCol w:w="3928"/>
        <w:gridCol w:w="1150"/>
        <w:gridCol w:w="1102"/>
      </w:tblGrid>
      <w:tr w14:paraId="50D14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blHeader/>
        </w:trPr>
        <w:tc>
          <w:tcPr>
            <w:tcW w:w="259" w:type="pct"/>
            <w:tcBorders>
              <w:tl2br w:val="nil"/>
              <w:tr2bl w:val="nil"/>
            </w:tcBorders>
            <w:vAlign w:val="center"/>
          </w:tcPr>
          <w:p w14:paraId="31E8F089">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37" w:name="_Toc13441"/>
            <w:bookmarkStart w:id="6438" w:name="_Toc20555"/>
            <w:bookmarkStart w:id="6439" w:name="_Toc23888"/>
            <w:bookmarkStart w:id="6440" w:name="_Toc26197"/>
            <w:bookmarkStart w:id="6441" w:name="_Toc24451"/>
            <w:r>
              <w:rPr>
                <w:rFonts w:hint="default" w:ascii="Times New Roman" w:hAnsi="Times New Roman" w:cs="Times New Roman"/>
                <w:b/>
                <w:bCs/>
                <w:color w:val="auto"/>
                <w:sz w:val="21"/>
                <w:szCs w:val="21"/>
                <w:highlight w:val="none"/>
              </w:rPr>
              <w:t>时期</w:t>
            </w:r>
            <w:bookmarkEnd w:id="6437"/>
            <w:bookmarkEnd w:id="6438"/>
            <w:bookmarkEnd w:id="6439"/>
            <w:bookmarkEnd w:id="6440"/>
            <w:bookmarkEnd w:id="6441"/>
          </w:p>
        </w:tc>
        <w:tc>
          <w:tcPr>
            <w:tcW w:w="456" w:type="pct"/>
            <w:tcBorders>
              <w:tl2br w:val="nil"/>
              <w:tr2bl w:val="nil"/>
            </w:tcBorders>
            <w:vAlign w:val="center"/>
          </w:tcPr>
          <w:p w14:paraId="5E59F016">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42" w:name="_Toc23539"/>
            <w:bookmarkStart w:id="6443" w:name="_Toc12319"/>
            <w:bookmarkStart w:id="6444" w:name="_Toc32264"/>
            <w:bookmarkStart w:id="6445" w:name="_Toc4785"/>
            <w:bookmarkStart w:id="6446" w:name="_Toc23513"/>
            <w:r>
              <w:rPr>
                <w:rFonts w:hint="default" w:ascii="Times New Roman" w:hAnsi="Times New Roman" w:cs="Times New Roman"/>
                <w:b/>
                <w:bCs/>
                <w:color w:val="auto"/>
                <w:sz w:val="21"/>
                <w:szCs w:val="21"/>
                <w:highlight w:val="none"/>
              </w:rPr>
              <w:t>项目</w:t>
            </w:r>
            <w:bookmarkEnd w:id="6442"/>
            <w:bookmarkEnd w:id="6443"/>
            <w:bookmarkEnd w:id="6444"/>
            <w:bookmarkEnd w:id="6445"/>
            <w:bookmarkEnd w:id="6446"/>
          </w:p>
        </w:tc>
        <w:tc>
          <w:tcPr>
            <w:tcW w:w="796" w:type="pct"/>
            <w:tcBorders>
              <w:tl2br w:val="nil"/>
              <w:tr2bl w:val="nil"/>
            </w:tcBorders>
            <w:vAlign w:val="center"/>
          </w:tcPr>
          <w:p w14:paraId="7E90A2E2">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47" w:name="_Toc27124"/>
            <w:bookmarkStart w:id="6448" w:name="_Toc294"/>
            <w:bookmarkStart w:id="6449" w:name="_Toc7299"/>
            <w:bookmarkStart w:id="6450" w:name="_Toc15477"/>
            <w:bookmarkStart w:id="6451" w:name="_Toc16986"/>
            <w:r>
              <w:rPr>
                <w:rFonts w:hint="default" w:ascii="Times New Roman" w:hAnsi="Times New Roman" w:cs="Times New Roman"/>
                <w:b/>
                <w:bCs/>
                <w:color w:val="auto"/>
                <w:sz w:val="21"/>
                <w:szCs w:val="21"/>
                <w:highlight w:val="none"/>
              </w:rPr>
              <w:t>污染物</w:t>
            </w:r>
            <w:bookmarkEnd w:id="6447"/>
            <w:bookmarkEnd w:id="6448"/>
            <w:bookmarkEnd w:id="6449"/>
            <w:bookmarkEnd w:id="6450"/>
            <w:bookmarkEnd w:id="6451"/>
          </w:p>
        </w:tc>
        <w:tc>
          <w:tcPr>
            <w:tcW w:w="2216" w:type="pct"/>
            <w:tcBorders>
              <w:tl2br w:val="nil"/>
              <w:tr2bl w:val="nil"/>
            </w:tcBorders>
            <w:vAlign w:val="center"/>
          </w:tcPr>
          <w:p w14:paraId="0AADABB9">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52" w:name="_Toc31775"/>
            <w:bookmarkStart w:id="6453" w:name="_Toc22023"/>
            <w:bookmarkStart w:id="6454" w:name="_Toc22010"/>
            <w:bookmarkStart w:id="6455" w:name="_Toc32247"/>
            <w:bookmarkStart w:id="6456" w:name="_Toc29962"/>
            <w:r>
              <w:rPr>
                <w:rFonts w:hint="default" w:ascii="Times New Roman" w:hAnsi="Times New Roman" w:cs="Times New Roman"/>
                <w:b/>
                <w:bCs/>
                <w:color w:val="auto"/>
                <w:sz w:val="21"/>
                <w:szCs w:val="21"/>
                <w:highlight w:val="none"/>
              </w:rPr>
              <w:t>处理措施</w:t>
            </w:r>
            <w:bookmarkEnd w:id="6452"/>
            <w:bookmarkEnd w:id="6453"/>
            <w:bookmarkEnd w:id="6454"/>
            <w:bookmarkEnd w:id="6455"/>
            <w:bookmarkEnd w:id="6456"/>
          </w:p>
        </w:tc>
        <w:tc>
          <w:tcPr>
            <w:tcW w:w="649" w:type="pct"/>
            <w:tcBorders>
              <w:tl2br w:val="nil"/>
              <w:tr2bl w:val="nil"/>
            </w:tcBorders>
            <w:vAlign w:val="center"/>
          </w:tcPr>
          <w:p w14:paraId="7BAE28D6">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57" w:name="_Toc9284"/>
            <w:bookmarkStart w:id="6458" w:name="_Toc12991"/>
            <w:bookmarkStart w:id="6459" w:name="_Toc18164"/>
            <w:bookmarkStart w:id="6460" w:name="_Toc30275"/>
            <w:bookmarkStart w:id="6461" w:name="_Toc29220"/>
            <w:r>
              <w:rPr>
                <w:rFonts w:hint="default" w:ascii="Times New Roman" w:hAnsi="Times New Roman" w:cs="Times New Roman"/>
                <w:b/>
                <w:bCs/>
                <w:color w:val="auto"/>
                <w:sz w:val="21"/>
                <w:szCs w:val="21"/>
                <w:highlight w:val="none"/>
              </w:rPr>
              <w:t>投资</w:t>
            </w:r>
            <w:bookmarkEnd w:id="6457"/>
            <w:bookmarkEnd w:id="6458"/>
            <w:bookmarkEnd w:id="6459"/>
            <w:bookmarkEnd w:id="6460"/>
            <w:bookmarkEnd w:id="6461"/>
          </w:p>
          <w:p w14:paraId="55141349">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62" w:name="_Toc19005"/>
            <w:bookmarkStart w:id="6463" w:name="_Toc3863"/>
            <w:bookmarkStart w:id="6464" w:name="_Toc1634"/>
            <w:bookmarkStart w:id="6465" w:name="_Toc23777"/>
            <w:bookmarkStart w:id="6466" w:name="_Toc21401"/>
            <w:r>
              <w:rPr>
                <w:rFonts w:hint="default" w:ascii="Times New Roman" w:hAnsi="Times New Roman" w:cs="Times New Roman"/>
                <w:b/>
                <w:bCs/>
                <w:color w:val="auto"/>
                <w:sz w:val="21"/>
                <w:szCs w:val="21"/>
                <w:highlight w:val="none"/>
              </w:rPr>
              <w:t>（万元）</w:t>
            </w:r>
            <w:bookmarkEnd w:id="6462"/>
            <w:bookmarkEnd w:id="6463"/>
            <w:bookmarkEnd w:id="6464"/>
            <w:bookmarkEnd w:id="6465"/>
            <w:bookmarkEnd w:id="6466"/>
          </w:p>
        </w:tc>
        <w:tc>
          <w:tcPr>
            <w:tcW w:w="622" w:type="pct"/>
            <w:tcBorders>
              <w:tl2br w:val="nil"/>
              <w:tr2bl w:val="nil"/>
            </w:tcBorders>
            <w:vAlign w:val="center"/>
          </w:tcPr>
          <w:p w14:paraId="7249092A">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67" w:name="_Toc29864"/>
            <w:bookmarkStart w:id="6468" w:name="_Toc7490"/>
            <w:bookmarkStart w:id="6469" w:name="_Toc23968"/>
            <w:bookmarkStart w:id="6470" w:name="_Toc7315"/>
            <w:bookmarkStart w:id="6471" w:name="_Toc14843"/>
            <w:r>
              <w:rPr>
                <w:rFonts w:hint="default" w:ascii="Times New Roman" w:hAnsi="Times New Roman" w:cs="Times New Roman"/>
                <w:b/>
                <w:bCs/>
                <w:color w:val="auto"/>
                <w:sz w:val="21"/>
                <w:szCs w:val="21"/>
                <w:highlight w:val="none"/>
              </w:rPr>
              <w:t>占比</w:t>
            </w:r>
            <w:bookmarkEnd w:id="6467"/>
            <w:bookmarkEnd w:id="6468"/>
            <w:bookmarkEnd w:id="6469"/>
            <w:bookmarkEnd w:id="6470"/>
            <w:bookmarkEnd w:id="6471"/>
          </w:p>
          <w:p w14:paraId="28E0D7CF">
            <w:pPr>
              <w:pStyle w:val="29"/>
              <w:suppressLineNumbers w:val="0"/>
              <w:bidi w:val="0"/>
              <w:spacing w:beforeAutospacing="0" w:afterAutospacing="0"/>
              <w:ind w:left="0" w:right="0"/>
              <w:jc w:val="center"/>
              <w:rPr>
                <w:rFonts w:hint="default" w:ascii="Times New Roman" w:hAnsi="Times New Roman" w:cs="Times New Roman"/>
                <w:b/>
                <w:bCs/>
                <w:color w:val="auto"/>
                <w:sz w:val="21"/>
                <w:szCs w:val="21"/>
                <w:highlight w:val="none"/>
              </w:rPr>
            </w:pPr>
            <w:bookmarkStart w:id="6472" w:name="_Toc5187"/>
            <w:bookmarkStart w:id="6473" w:name="_Toc2125"/>
            <w:bookmarkStart w:id="6474" w:name="_Toc21098"/>
            <w:bookmarkStart w:id="6475" w:name="_Toc32707"/>
            <w:bookmarkStart w:id="6476" w:name="_Toc2810"/>
            <w:r>
              <w:rPr>
                <w:rFonts w:hint="default" w:ascii="Times New Roman" w:hAnsi="Times New Roman" w:cs="Times New Roman"/>
                <w:b/>
                <w:bCs/>
                <w:color w:val="auto"/>
                <w:sz w:val="21"/>
                <w:szCs w:val="21"/>
                <w:highlight w:val="none"/>
              </w:rPr>
              <w:t>（%）</w:t>
            </w:r>
            <w:bookmarkEnd w:id="6472"/>
            <w:bookmarkEnd w:id="6473"/>
            <w:bookmarkEnd w:id="6474"/>
            <w:bookmarkEnd w:id="6475"/>
            <w:bookmarkEnd w:id="6476"/>
          </w:p>
        </w:tc>
      </w:tr>
      <w:tr w14:paraId="43023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9" w:type="pct"/>
            <w:vMerge w:val="restart"/>
            <w:tcBorders>
              <w:tl2br w:val="nil"/>
              <w:tr2bl w:val="nil"/>
            </w:tcBorders>
            <w:vAlign w:val="center"/>
          </w:tcPr>
          <w:p w14:paraId="726D2FF7">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477" w:name="_Toc1130"/>
            <w:bookmarkStart w:id="6478" w:name="_Toc27347"/>
            <w:bookmarkStart w:id="6479" w:name="_Toc16539"/>
            <w:bookmarkStart w:id="6480" w:name="_Toc14494"/>
            <w:bookmarkStart w:id="6481" w:name="_Toc25377"/>
            <w:r>
              <w:rPr>
                <w:rFonts w:hint="default" w:ascii="Times New Roman" w:hAnsi="Times New Roman" w:cs="Times New Roman"/>
                <w:color w:val="auto"/>
                <w:sz w:val="21"/>
                <w:szCs w:val="21"/>
                <w:highlight w:val="none"/>
              </w:rPr>
              <w:t>施工期</w:t>
            </w:r>
            <w:bookmarkEnd w:id="6477"/>
            <w:bookmarkEnd w:id="6478"/>
            <w:bookmarkEnd w:id="6479"/>
            <w:bookmarkEnd w:id="6480"/>
            <w:bookmarkEnd w:id="6481"/>
          </w:p>
        </w:tc>
        <w:tc>
          <w:tcPr>
            <w:tcW w:w="456" w:type="pct"/>
            <w:tcBorders>
              <w:tl2br w:val="nil"/>
              <w:tr2bl w:val="nil"/>
            </w:tcBorders>
            <w:vAlign w:val="center"/>
          </w:tcPr>
          <w:p w14:paraId="3528836A">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482" w:name="_Toc17244"/>
            <w:bookmarkStart w:id="6483" w:name="_Toc31667"/>
            <w:bookmarkStart w:id="6484" w:name="_Toc27136"/>
            <w:bookmarkStart w:id="6485" w:name="_Toc11191"/>
            <w:bookmarkStart w:id="6486" w:name="_Toc24146"/>
            <w:r>
              <w:rPr>
                <w:rFonts w:hint="default" w:ascii="Times New Roman" w:hAnsi="Times New Roman" w:cs="Times New Roman"/>
                <w:color w:val="auto"/>
                <w:sz w:val="21"/>
                <w:szCs w:val="21"/>
                <w:highlight w:val="none"/>
              </w:rPr>
              <w:t>废气治理</w:t>
            </w:r>
            <w:bookmarkEnd w:id="6482"/>
            <w:bookmarkEnd w:id="6483"/>
            <w:bookmarkEnd w:id="6484"/>
            <w:bookmarkEnd w:id="6485"/>
            <w:bookmarkEnd w:id="6486"/>
          </w:p>
        </w:tc>
        <w:tc>
          <w:tcPr>
            <w:tcW w:w="796" w:type="pct"/>
            <w:tcBorders>
              <w:tl2br w:val="nil"/>
              <w:tr2bl w:val="nil"/>
            </w:tcBorders>
            <w:vAlign w:val="center"/>
          </w:tcPr>
          <w:p w14:paraId="75D72EF6">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487" w:name="_Toc27294"/>
            <w:bookmarkStart w:id="6488" w:name="_Toc2025"/>
            <w:bookmarkStart w:id="6489" w:name="_Toc20994"/>
            <w:bookmarkStart w:id="6490" w:name="_Toc29386"/>
            <w:bookmarkStart w:id="6491" w:name="_Toc12572"/>
            <w:r>
              <w:rPr>
                <w:rFonts w:hint="default" w:ascii="Times New Roman" w:hAnsi="Times New Roman" w:cs="Times New Roman"/>
                <w:color w:val="auto"/>
                <w:sz w:val="21"/>
                <w:szCs w:val="21"/>
                <w:highlight w:val="none"/>
              </w:rPr>
              <w:t>施工扬尘</w:t>
            </w:r>
            <w:bookmarkEnd w:id="6487"/>
            <w:bookmarkEnd w:id="6488"/>
            <w:bookmarkEnd w:id="6489"/>
            <w:bookmarkEnd w:id="6490"/>
            <w:bookmarkEnd w:id="6491"/>
          </w:p>
        </w:tc>
        <w:tc>
          <w:tcPr>
            <w:tcW w:w="2216" w:type="pct"/>
            <w:tcBorders>
              <w:tl2br w:val="nil"/>
              <w:tr2bl w:val="nil"/>
            </w:tcBorders>
            <w:vAlign w:val="center"/>
          </w:tcPr>
          <w:p w14:paraId="5B7C7BB4">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492" w:name="_Toc29531"/>
            <w:bookmarkStart w:id="6493" w:name="_Toc27855"/>
            <w:bookmarkStart w:id="6494" w:name="_Toc6686"/>
            <w:bookmarkStart w:id="6495" w:name="_Toc20934"/>
            <w:bookmarkStart w:id="6496" w:name="_Toc7355"/>
            <w:r>
              <w:rPr>
                <w:rFonts w:hint="default" w:ascii="Times New Roman" w:hAnsi="Times New Roman" w:cs="Times New Roman"/>
                <w:color w:val="auto"/>
                <w:sz w:val="21"/>
                <w:szCs w:val="21"/>
                <w:highlight w:val="none"/>
              </w:rPr>
              <w:t>施工场地洒水抑尘、表土苫盖、运输车辆遮盖篷布、设置围挡</w:t>
            </w:r>
            <w:bookmarkEnd w:id="6492"/>
            <w:bookmarkEnd w:id="6493"/>
            <w:bookmarkStart w:id="6497" w:name="_Toc3945"/>
            <w:bookmarkStart w:id="6498" w:name="_Toc25235"/>
            <w:r>
              <w:rPr>
                <w:rFonts w:hint="default" w:ascii="Times New Roman" w:hAnsi="Times New Roman" w:cs="Times New Roman"/>
                <w:color w:val="auto"/>
                <w:sz w:val="21"/>
                <w:szCs w:val="21"/>
                <w:highlight w:val="none"/>
              </w:rPr>
              <w:t>盖篷布</w:t>
            </w:r>
            <w:bookmarkEnd w:id="6494"/>
            <w:bookmarkEnd w:id="6495"/>
            <w:bookmarkEnd w:id="6496"/>
            <w:bookmarkEnd w:id="6497"/>
            <w:bookmarkEnd w:id="6498"/>
          </w:p>
        </w:tc>
        <w:tc>
          <w:tcPr>
            <w:tcW w:w="1150" w:type="dxa"/>
            <w:tcBorders>
              <w:tl2br w:val="nil"/>
              <w:tr2bl w:val="nil"/>
            </w:tcBorders>
            <w:vAlign w:val="center"/>
          </w:tcPr>
          <w:p w14:paraId="37229C3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499" w:name="_Toc21913"/>
            <w:bookmarkStart w:id="6500" w:name="_Toc11106"/>
            <w:bookmarkStart w:id="6501" w:name="_Toc22473"/>
            <w:r>
              <w:rPr>
                <w:rFonts w:hint="default" w:ascii="Times New Roman" w:hAnsi="Times New Roman" w:eastAsia="宋体" w:cs="Times New Roman"/>
                <w:color w:val="auto"/>
                <w:sz w:val="21"/>
                <w:szCs w:val="21"/>
                <w:highlight w:val="none"/>
                <w:lang w:val="en-US" w:eastAsia="zh-CN"/>
              </w:rPr>
              <w:t>1</w:t>
            </w:r>
            <w:bookmarkEnd w:id="6499"/>
            <w:bookmarkEnd w:id="6500"/>
            <w:bookmarkEnd w:id="6501"/>
          </w:p>
        </w:tc>
        <w:tc>
          <w:tcPr>
            <w:tcW w:w="1102" w:type="dxa"/>
            <w:tcBorders>
              <w:tl2br w:val="nil"/>
              <w:tr2bl w:val="nil"/>
            </w:tcBorders>
            <w:vAlign w:val="center"/>
          </w:tcPr>
          <w:p w14:paraId="27B2FA0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02" w:name="_Toc28518"/>
            <w:bookmarkStart w:id="6503" w:name="_Toc17975"/>
            <w:bookmarkStart w:id="6504" w:name="_Toc16709"/>
            <w:r>
              <w:rPr>
                <w:rFonts w:hint="default" w:ascii="Times New Roman" w:hAnsi="Times New Roman" w:eastAsia="宋体" w:cs="Times New Roman"/>
                <w:color w:val="auto"/>
                <w:sz w:val="21"/>
                <w:szCs w:val="21"/>
                <w:highlight w:val="none"/>
                <w:lang w:val="en-US" w:eastAsia="zh-CN"/>
              </w:rPr>
              <w:t>7.43%</w:t>
            </w:r>
            <w:bookmarkEnd w:id="6502"/>
            <w:bookmarkEnd w:id="6503"/>
            <w:bookmarkEnd w:id="6504"/>
          </w:p>
        </w:tc>
      </w:tr>
      <w:tr w14:paraId="4098E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9" w:type="pct"/>
            <w:vMerge w:val="continue"/>
            <w:tcBorders>
              <w:tl2br w:val="nil"/>
              <w:tr2bl w:val="nil"/>
            </w:tcBorders>
            <w:vAlign w:val="center"/>
          </w:tcPr>
          <w:p w14:paraId="5883A99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456" w:type="pct"/>
            <w:vMerge w:val="restart"/>
            <w:tcBorders>
              <w:tl2br w:val="nil"/>
              <w:tr2bl w:val="nil"/>
            </w:tcBorders>
            <w:vAlign w:val="center"/>
          </w:tcPr>
          <w:p w14:paraId="286C2C81">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05" w:name="_Toc26537"/>
            <w:bookmarkStart w:id="6506" w:name="_Toc27497"/>
            <w:bookmarkStart w:id="6507" w:name="_Toc29313"/>
            <w:bookmarkStart w:id="6508" w:name="_Toc19134"/>
            <w:bookmarkStart w:id="6509" w:name="_Toc26488"/>
            <w:r>
              <w:rPr>
                <w:rFonts w:hint="default" w:ascii="Times New Roman" w:hAnsi="Times New Roman" w:cs="Times New Roman"/>
                <w:color w:val="auto"/>
                <w:sz w:val="21"/>
                <w:szCs w:val="21"/>
                <w:highlight w:val="none"/>
              </w:rPr>
              <w:t>废水治理</w:t>
            </w:r>
            <w:bookmarkEnd w:id="6505"/>
            <w:bookmarkEnd w:id="6506"/>
            <w:bookmarkEnd w:id="6507"/>
            <w:bookmarkEnd w:id="6508"/>
            <w:bookmarkEnd w:id="6509"/>
          </w:p>
        </w:tc>
        <w:tc>
          <w:tcPr>
            <w:tcW w:w="796" w:type="pct"/>
            <w:tcBorders>
              <w:tl2br w:val="nil"/>
              <w:tr2bl w:val="nil"/>
            </w:tcBorders>
            <w:vAlign w:val="center"/>
          </w:tcPr>
          <w:p w14:paraId="2AF0C6EA">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10" w:name="_Toc20973"/>
            <w:bookmarkStart w:id="6511" w:name="_Toc6392"/>
            <w:bookmarkStart w:id="6512" w:name="_Toc3014"/>
            <w:bookmarkStart w:id="6513" w:name="_Toc30584"/>
            <w:bookmarkStart w:id="6514" w:name="_Toc22201"/>
            <w:r>
              <w:rPr>
                <w:rFonts w:hint="default" w:ascii="Times New Roman" w:hAnsi="Times New Roman" w:cs="Times New Roman"/>
                <w:color w:val="auto"/>
                <w:sz w:val="21"/>
                <w:szCs w:val="21"/>
                <w:highlight w:val="none"/>
              </w:rPr>
              <w:t>施工废水</w:t>
            </w:r>
            <w:bookmarkEnd w:id="6510"/>
            <w:bookmarkEnd w:id="6511"/>
            <w:bookmarkEnd w:id="6512"/>
            <w:bookmarkEnd w:id="6513"/>
            <w:bookmarkEnd w:id="6514"/>
          </w:p>
        </w:tc>
        <w:tc>
          <w:tcPr>
            <w:tcW w:w="2216" w:type="pct"/>
            <w:tcBorders>
              <w:tl2br w:val="nil"/>
              <w:tr2bl w:val="nil"/>
            </w:tcBorders>
            <w:vAlign w:val="center"/>
          </w:tcPr>
          <w:p w14:paraId="40FDA7CC">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15" w:name="_Toc11078"/>
            <w:bookmarkStart w:id="6516" w:name="_Toc20481"/>
            <w:bookmarkStart w:id="6517" w:name="_Toc1795"/>
            <w:bookmarkStart w:id="6518" w:name="_Toc17951"/>
            <w:bookmarkStart w:id="6519" w:name="_Toc29232"/>
            <w:r>
              <w:rPr>
                <w:rFonts w:hint="default" w:ascii="Times New Roman" w:hAnsi="Times New Roman" w:cs="Times New Roman"/>
                <w:color w:val="auto"/>
                <w:sz w:val="21"/>
                <w:szCs w:val="21"/>
                <w:highlight w:val="none"/>
              </w:rPr>
              <w:t>施工降水沉淀池</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座；混凝土养护废水沉淀池</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座</w:t>
            </w:r>
            <w:bookmarkEnd w:id="6515"/>
            <w:bookmarkEnd w:id="6516"/>
            <w:bookmarkEnd w:id="6517"/>
            <w:bookmarkEnd w:id="6518"/>
            <w:bookmarkEnd w:id="6519"/>
          </w:p>
        </w:tc>
        <w:tc>
          <w:tcPr>
            <w:tcW w:w="1150" w:type="dxa"/>
            <w:tcBorders>
              <w:tl2br w:val="nil"/>
              <w:tr2bl w:val="nil"/>
            </w:tcBorders>
            <w:vAlign w:val="center"/>
          </w:tcPr>
          <w:p w14:paraId="5A2B77A7">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20" w:name="_Toc11488"/>
            <w:bookmarkStart w:id="6521" w:name="_Toc29748"/>
            <w:bookmarkStart w:id="6522" w:name="_Toc3753"/>
            <w:r>
              <w:rPr>
                <w:rFonts w:hint="default" w:ascii="Times New Roman" w:hAnsi="Times New Roman" w:eastAsia="宋体" w:cs="Times New Roman"/>
                <w:color w:val="auto"/>
                <w:sz w:val="21"/>
                <w:szCs w:val="21"/>
                <w:highlight w:val="none"/>
                <w:lang w:val="en-US" w:eastAsia="zh-CN"/>
              </w:rPr>
              <w:t>1.5</w:t>
            </w:r>
            <w:bookmarkEnd w:id="6520"/>
            <w:bookmarkEnd w:id="6521"/>
            <w:bookmarkEnd w:id="6522"/>
          </w:p>
        </w:tc>
        <w:tc>
          <w:tcPr>
            <w:tcW w:w="1102" w:type="dxa"/>
            <w:tcBorders>
              <w:tl2br w:val="nil"/>
              <w:tr2bl w:val="nil"/>
            </w:tcBorders>
            <w:vAlign w:val="center"/>
          </w:tcPr>
          <w:p w14:paraId="21A73CE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23" w:name="_Toc3236"/>
            <w:bookmarkStart w:id="6524" w:name="_Toc592"/>
            <w:bookmarkStart w:id="6525" w:name="_Toc25912"/>
            <w:r>
              <w:rPr>
                <w:rFonts w:hint="default" w:ascii="Times New Roman" w:hAnsi="Times New Roman" w:eastAsia="宋体" w:cs="Times New Roman"/>
                <w:color w:val="auto"/>
                <w:sz w:val="21"/>
                <w:szCs w:val="21"/>
                <w:highlight w:val="none"/>
                <w:lang w:val="en-US" w:eastAsia="zh-CN"/>
              </w:rPr>
              <w:t>11.14%</w:t>
            </w:r>
            <w:bookmarkEnd w:id="6523"/>
            <w:bookmarkEnd w:id="6524"/>
            <w:bookmarkEnd w:id="6525"/>
          </w:p>
        </w:tc>
      </w:tr>
      <w:tr w14:paraId="3BB46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59" w:type="pct"/>
            <w:vMerge w:val="continue"/>
            <w:tcBorders>
              <w:tl2br w:val="nil"/>
              <w:tr2bl w:val="nil"/>
            </w:tcBorders>
            <w:vAlign w:val="center"/>
          </w:tcPr>
          <w:p w14:paraId="2355676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456" w:type="pct"/>
            <w:vMerge w:val="continue"/>
            <w:tcBorders>
              <w:tl2br w:val="nil"/>
              <w:tr2bl w:val="nil"/>
            </w:tcBorders>
            <w:vAlign w:val="center"/>
          </w:tcPr>
          <w:p w14:paraId="6EE91412">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796" w:type="pct"/>
            <w:tcBorders>
              <w:tl2br w:val="nil"/>
              <w:tr2bl w:val="nil"/>
            </w:tcBorders>
            <w:vAlign w:val="center"/>
          </w:tcPr>
          <w:p w14:paraId="3614F3B3">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26" w:name="_Toc10480"/>
            <w:bookmarkStart w:id="6527" w:name="_Toc24791"/>
            <w:bookmarkStart w:id="6528" w:name="_Toc30865"/>
            <w:bookmarkStart w:id="6529" w:name="_Toc18187"/>
            <w:bookmarkStart w:id="6530" w:name="_Toc4264"/>
            <w:r>
              <w:rPr>
                <w:rFonts w:hint="default" w:ascii="Times New Roman" w:hAnsi="Times New Roman" w:cs="Times New Roman"/>
                <w:color w:val="auto"/>
                <w:sz w:val="21"/>
                <w:szCs w:val="21"/>
                <w:highlight w:val="none"/>
              </w:rPr>
              <w:t>生活污水</w:t>
            </w:r>
            <w:bookmarkEnd w:id="6526"/>
            <w:bookmarkEnd w:id="6527"/>
            <w:bookmarkEnd w:id="6528"/>
            <w:bookmarkEnd w:id="6529"/>
            <w:bookmarkEnd w:id="6530"/>
          </w:p>
        </w:tc>
        <w:tc>
          <w:tcPr>
            <w:tcW w:w="2216" w:type="pct"/>
            <w:tcBorders>
              <w:tl2br w:val="nil"/>
              <w:tr2bl w:val="nil"/>
            </w:tcBorders>
            <w:vAlign w:val="center"/>
          </w:tcPr>
          <w:p w14:paraId="197E8364">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31" w:name="_Toc8240"/>
            <w:bookmarkStart w:id="6532" w:name="_Toc10460"/>
            <w:bookmarkStart w:id="6533" w:name="_Toc16094"/>
            <w:bookmarkStart w:id="6534" w:name="_Toc10206"/>
            <w:bookmarkStart w:id="6535" w:name="_Toc2084"/>
            <w:r>
              <w:rPr>
                <w:rFonts w:hint="eastAsia" w:cs="Times New Roman"/>
                <w:color w:val="auto"/>
                <w:sz w:val="21"/>
                <w:szCs w:val="21"/>
                <w:highlight w:val="none"/>
                <w:lang w:eastAsia="zh-CN"/>
              </w:rPr>
              <w:t>旱厕</w:t>
            </w:r>
            <w:bookmarkEnd w:id="6531"/>
            <w:bookmarkEnd w:id="6532"/>
            <w:r>
              <w:rPr>
                <w:rFonts w:hint="eastAsia" w:cs="Times New Roman"/>
                <w:color w:val="auto"/>
                <w:sz w:val="21"/>
                <w:szCs w:val="21"/>
                <w:highlight w:val="none"/>
                <w:lang w:eastAsia="zh-CN"/>
              </w:rPr>
              <w:t>清掏</w:t>
            </w:r>
            <w:bookmarkEnd w:id="6533"/>
            <w:bookmarkEnd w:id="6534"/>
            <w:bookmarkEnd w:id="6535"/>
          </w:p>
        </w:tc>
        <w:tc>
          <w:tcPr>
            <w:tcW w:w="1150" w:type="dxa"/>
            <w:tcBorders>
              <w:tl2br w:val="nil"/>
              <w:tr2bl w:val="nil"/>
            </w:tcBorders>
            <w:vAlign w:val="center"/>
          </w:tcPr>
          <w:p w14:paraId="72EC5DF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36" w:name="_Toc4317"/>
            <w:bookmarkStart w:id="6537" w:name="_Toc4235"/>
            <w:bookmarkStart w:id="6538" w:name="_Toc9872"/>
            <w:r>
              <w:rPr>
                <w:rFonts w:hint="default" w:ascii="Times New Roman" w:hAnsi="Times New Roman" w:eastAsia="宋体" w:cs="Times New Roman"/>
                <w:color w:val="auto"/>
                <w:sz w:val="21"/>
                <w:szCs w:val="21"/>
                <w:highlight w:val="none"/>
                <w:lang w:val="en-US" w:eastAsia="zh-CN"/>
              </w:rPr>
              <w:t>0.4</w:t>
            </w:r>
            <w:bookmarkEnd w:id="6536"/>
            <w:bookmarkEnd w:id="6537"/>
            <w:bookmarkEnd w:id="6538"/>
          </w:p>
        </w:tc>
        <w:tc>
          <w:tcPr>
            <w:tcW w:w="1102" w:type="dxa"/>
            <w:tcBorders>
              <w:tl2br w:val="nil"/>
              <w:tr2bl w:val="nil"/>
            </w:tcBorders>
            <w:vAlign w:val="center"/>
          </w:tcPr>
          <w:p w14:paraId="4932E8C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39" w:name="_Toc6254"/>
            <w:bookmarkStart w:id="6540" w:name="_Toc32357"/>
            <w:bookmarkStart w:id="6541" w:name="_Toc5995"/>
            <w:r>
              <w:rPr>
                <w:rFonts w:hint="default" w:ascii="Times New Roman" w:hAnsi="Times New Roman" w:eastAsia="宋体" w:cs="Times New Roman"/>
                <w:color w:val="auto"/>
                <w:sz w:val="21"/>
                <w:szCs w:val="21"/>
                <w:highlight w:val="none"/>
                <w:lang w:val="en-US" w:eastAsia="zh-CN"/>
              </w:rPr>
              <w:t>2.97%</w:t>
            </w:r>
            <w:bookmarkEnd w:id="6539"/>
            <w:bookmarkEnd w:id="6540"/>
            <w:bookmarkEnd w:id="6541"/>
          </w:p>
        </w:tc>
      </w:tr>
      <w:tr w14:paraId="238A6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9" w:type="pct"/>
            <w:vMerge w:val="continue"/>
            <w:tcBorders>
              <w:tl2br w:val="nil"/>
              <w:tr2bl w:val="nil"/>
            </w:tcBorders>
            <w:vAlign w:val="center"/>
          </w:tcPr>
          <w:p w14:paraId="7684EFB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456" w:type="pct"/>
            <w:tcBorders>
              <w:tl2br w:val="nil"/>
              <w:tr2bl w:val="nil"/>
            </w:tcBorders>
            <w:vAlign w:val="center"/>
          </w:tcPr>
          <w:p w14:paraId="5214A8ED">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42" w:name="_Toc28025"/>
            <w:bookmarkStart w:id="6543" w:name="_Toc3777"/>
            <w:bookmarkStart w:id="6544" w:name="_Toc23128"/>
            <w:bookmarkStart w:id="6545" w:name="_Toc6283"/>
            <w:bookmarkStart w:id="6546" w:name="_Toc1191"/>
            <w:r>
              <w:rPr>
                <w:rFonts w:hint="default" w:ascii="Times New Roman" w:hAnsi="Times New Roman" w:cs="Times New Roman"/>
                <w:color w:val="auto"/>
                <w:sz w:val="21"/>
                <w:szCs w:val="21"/>
                <w:highlight w:val="none"/>
              </w:rPr>
              <w:t>噪声治理</w:t>
            </w:r>
            <w:bookmarkEnd w:id="6542"/>
            <w:bookmarkEnd w:id="6543"/>
            <w:bookmarkEnd w:id="6544"/>
            <w:bookmarkEnd w:id="6545"/>
            <w:bookmarkEnd w:id="6546"/>
          </w:p>
        </w:tc>
        <w:tc>
          <w:tcPr>
            <w:tcW w:w="796" w:type="pct"/>
            <w:tcBorders>
              <w:tl2br w:val="nil"/>
              <w:tr2bl w:val="nil"/>
            </w:tcBorders>
            <w:vAlign w:val="center"/>
          </w:tcPr>
          <w:p w14:paraId="2156C7D1">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47" w:name="_Toc16348"/>
            <w:bookmarkStart w:id="6548" w:name="_Toc1560"/>
            <w:bookmarkStart w:id="6549" w:name="_Toc7252"/>
            <w:bookmarkStart w:id="6550" w:name="_Toc26085"/>
            <w:bookmarkStart w:id="6551" w:name="_Toc18082"/>
            <w:r>
              <w:rPr>
                <w:rFonts w:hint="default" w:ascii="Times New Roman" w:hAnsi="Times New Roman" w:cs="Times New Roman"/>
                <w:color w:val="auto"/>
                <w:sz w:val="21"/>
                <w:szCs w:val="21"/>
                <w:highlight w:val="none"/>
              </w:rPr>
              <w:t>施工机械、作业、施工车辆噪声</w:t>
            </w:r>
            <w:bookmarkEnd w:id="6547"/>
            <w:bookmarkEnd w:id="6548"/>
            <w:bookmarkEnd w:id="6549"/>
            <w:bookmarkEnd w:id="6550"/>
            <w:bookmarkEnd w:id="6551"/>
          </w:p>
        </w:tc>
        <w:tc>
          <w:tcPr>
            <w:tcW w:w="2216" w:type="pct"/>
            <w:tcBorders>
              <w:tl2br w:val="nil"/>
              <w:tr2bl w:val="nil"/>
            </w:tcBorders>
            <w:vAlign w:val="center"/>
          </w:tcPr>
          <w:p w14:paraId="157974E3">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52" w:name="_Toc25474"/>
            <w:bookmarkStart w:id="6553" w:name="_Toc18595"/>
            <w:bookmarkStart w:id="6554" w:name="_Toc30012"/>
            <w:bookmarkStart w:id="6555" w:name="_Toc11489"/>
            <w:bookmarkStart w:id="6556" w:name="_Toc20708"/>
            <w:r>
              <w:rPr>
                <w:rFonts w:hint="default" w:ascii="Times New Roman" w:hAnsi="Times New Roman" w:cs="Times New Roman"/>
                <w:color w:val="auto"/>
                <w:sz w:val="21"/>
                <w:szCs w:val="21"/>
                <w:highlight w:val="none"/>
              </w:rPr>
              <w:t>警示牌、限速牌、施工机械加减震基座等降噪措施</w:t>
            </w:r>
            <w:bookmarkEnd w:id="6552"/>
            <w:bookmarkEnd w:id="6553"/>
            <w:bookmarkEnd w:id="6554"/>
            <w:bookmarkEnd w:id="6555"/>
            <w:bookmarkEnd w:id="6556"/>
          </w:p>
        </w:tc>
        <w:tc>
          <w:tcPr>
            <w:tcW w:w="1150" w:type="dxa"/>
            <w:tcBorders>
              <w:tl2br w:val="nil"/>
              <w:tr2bl w:val="nil"/>
            </w:tcBorders>
            <w:vAlign w:val="center"/>
          </w:tcPr>
          <w:p w14:paraId="5F7A2C96">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57" w:name="_Toc16560"/>
            <w:bookmarkStart w:id="6558" w:name="_Toc5920"/>
            <w:bookmarkStart w:id="6559" w:name="_Toc22007"/>
            <w:r>
              <w:rPr>
                <w:rFonts w:hint="default" w:ascii="Times New Roman" w:hAnsi="Times New Roman" w:eastAsia="宋体" w:cs="Times New Roman"/>
                <w:color w:val="auto"/>
                <w:sz w:val="21"/>
                <w:szCs w:val="21"/>
                <w:highlight w:val="none"/>
                <w:lang w:val="en-US" w:eastAsia="zh-CN"/>
              </w:rPr>
              <w:t>0.2</w:t>
            </w:r>
            <w:bookmarkEnd w:id="6557"/>
            <w:bookmarkEnd w:id="6558"/>
            <w:bookmarkEnd w:id="6559"/>
          </w:p>
        </w:tc>
        <w:tc>
          <w:tcPr>
            <w:tcW w:w="1102" w:type="dxa"/>
            <w:tcBorders>
              <w:tl2br w:val="nil"/>
              <w:tr2bl w:val="nil"/>
            </w:tcBorders>
            <w:vAlign w:val="center"/>
          </w:tcPr>
          <w:p w14:paraId="615EDB45">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60" w:name="_Toc31196"/>
            <w:bookmarkStart w:id="6561" w:name="_Toc10226"/>
            <w:bookmarkStart w:id="6562" w:name="_Toc22012"/>
            <w:r>
              <w:rPr>
                <w:rFonts w:hint="default" w:ascii="Times New Roman" w:hAnsi="Times New Roman" w:eastAsia="宋体" w:cs="Times New Roman"/>
                <w:color w:val="auto"/>
                <w:sz w:val="21"/>
                <w:szCs w:val="21"/>
                <w:highlight w:val="none"/>
                <w:lang w:val="en-US" w:eastAsia="zh-CN"/>
              </w:rPr>
              <w:t>1.49%</w:t>
            </w:r>
            <w:bookmarkEnd w:id="6560"/>
            <w:bookmarkEnd w:id="6561"/>
            <w:bookmarkEnd w:id="6562"/>
          </w:p>
        </w:tc>
      </w:tr>
      <w:tr w14:paraId="52649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9" w:type="pct"/>
            <w:vMerge w:val="continue"/>
            <w:tcBorders>
              <w:tl2br w:val="nil"/>
              <w:tr2bl w:val="nil"/>
            </w:tcBorders>
            <w:vAlign w:val="center"/>
          </w:tcPr>
          <w:p w14:paraId="3CED1DB1">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456" w:type="pct"/>
            <w:vMerge w:val="restart"/>
            <w:tcBorders>
              <w:tl2br w:val="nil"/>
              <w:tr2bl w:val="nil"/>
            </w:tcBorders>
            <w:vAlign w:val="center"/>
          </w:tcPr>
          <w:p w14:paraId="40D867ED">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63" w:name="_Toc17485"/>
            <w:bookmarkStart w:id="6564" w:name="_Toc17407"/>
            <w:bookmarkStart w:id="6565" w:name="_Toc7623"/>
            <w:bookmarkStart w:id="6566" w:name="_Toc8589"/>
            <w:bookmarkStart w:id="6567" w:name="_Toc26457"/>
            <w:r>
              <w:rPr>
                <w:rFonts w:hint="default" w:ascii="Times New Roman" w:hAnsi="Times New Roman" w:cs="Times New Roman"/>
                <w:color w:val="auto"/>
                <w:sz w:val="21"/>
                <w:szCs w:val="21"/>
                <w:highlight w:val="none"/>
              </w:rPr>
              <w:t>固废处置</w:t>
            </w:r>
            <w:bookmarkEnd w:id="6563"/>
            <w:bookmarkEnd w:id="6564"/>
            <w:bookmarkEnd w:id="6565"/>
            <w:bookmarkEnd w:id="6566"/>
            <w:bookmarkEnd w:id="6567"/>
          </w:p>
        </w:tc>
        <w:tc>
          <w:tcPr>
            <w:tcW w:w="796" w:type="pct"/>
            <w:tcBorders>
              <w:tl2br w:val="nil"/>
              <w:tr2bl w:val="nil"/>
            </w:tcBorders>
            <w:vAlign w:val="center"/>
          </w:tcPr>
          <w:p w14:paraId="1006798A">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68" w:name="_Toc18218"/>
            <w:bookmarkStart w:id="6569" w:name="_Toc28875"/>
            <w:bookmarkStart w:id="6570" w:name="_Toc10876"/>
            <w:bookmarkStart w:id="6571" w:name="_Toc24587"/>
            <w:bookmarkStart w:id="6572" w:name="_Toc12977"/>
            <w:r>
              <w:rPr>
                <w:rFonts w:hint="default" w:ascii="Times New Roman" w:hAnsi="Times New Roman" w:cs="Times New Roman"/>
                <w:color w:val="auto"/>
                <w:sz w:val="21"/>
                <w:szCs w:val="21"/>
                <w:highlight w:val="none"/>
              </w:rPr>
              <w:t>施工生活</w:t>
            </w:r>
            <w:bookmarkEnd w:id="6568"/>
            <w:bookmarkEnd w:id="6569"/>
            <w:bookmarkEnd w:id="6570"/>
          </w:p>
          <w:p w14:paraId="6D0FEACA">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73" w:name="_Toc23292"/>
            <w:bookmarkStart w:id="6574" w:name="_Toc28499"/>
            <w:bookmarkStart w:id="6575" w:name="_Toc18649"/>
            <w:r>
              <w:rPr>
                <w:rFonts w:hint="default" w:ascii="Times New Roman" w:hAnsi="Times New Roman" w:cs="Times New Roman"/>
                <w:color w:val="auto"/>
                <w:sz w:val="21"/>
                <w:szCs w:val="21"/>
                <w:highlight w:val="none"/>
              </w:rPr>
              <w:t>垃圾</w:t>
            </w:r>
            <w:bookmarkEnd w:id="6571"/>
            <w:bookmarkEnd w:id="6572"/>
            <w:bookmarkEnd w:id="6573"/>
            <w:bookmarkEnd w:id="6574"/>
            <w:bookmarkEnd w:id="6575"/>
          </w:p>
        </w:tc>
        <w:tc>
          <w:tcPr>
            <w:tcW w:w="2216" w:type="pct"/>
            <w:tcBorders>
              <w:tl2br w:val="nil"/>
              <w:tr2bl w:val="nil"/>
            </w:tcBorders>
            <w:vAlign w:val="center"/>
          </w:tcPr>
          <w:p w14:paraId="64BF6486">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76" w:name="_Toc506"/>
            <w:bookmarkStart w:id="6577" w:name="_Toc5954"/>
            <w:bookmarkStart w:id="6578" w:name="_Toc3364"/>
            <w:bookmarkStart w:id="6579" w:name="_Toc11077"/>
            <w:bookmarkStart w:id="6580" w:name="_Toc11994"/>
            <w:r>
              <w:rPr>
                <w:rFonts w:hint="default" w:ascii="Times New Roman" w:hAnsi="Times New Roman" w:cs="Times New Roman"/>
                <w:color w:val="auto"/>
                <w:sz w:val="21"/>
                <w:szCs w:val="21"/>
                <w:highlight w:val="none"/>
              </w:rPr>
              <w:t>垃圾桶</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个、生活垃圾收集及清运</w:t>
            </w:r>
            <w:bookmarkEnd w:id="6576"/>
            <w:bookmarkEnd w:id="6577"/>
            <w:bookmarkEnd w:id="6578"/>
            <w:bookmarkEnd w:id="6579"/>
            <w:bookmarkEnd w:id="6580"/>
          </w:p>
        </w:tc>
        <w:tc>
          <w:tcPr>
            <w:tcW w:w="1150" w:type="dxa"/>
            <w:tcBorders>
              <w:tl2br w:val="nil"/>
              <w:tr2bl w:val="nil"/>
            </w:tcBorders>
            <w:vAlign w:val="center"/>
          </w:tcPr>
          <w:p w14:paraId="7266DDF4">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81" w:name="_Toc3299"/>
            <w:bookmarkStart w:id="6582" w:name="_Toc20856"/>
            <w:bookmarkStart w:id="6583" w:name="_Toc4190"/>
            <w:r>
              <w:rPr>
                <w:rFonts w:hint="default" w:ascii="Times New Roman" w:hAnsi="Times New Roman" w:eastAsia="宋体" w:cs="Times New Roman"/>
                <w:color w:val="auto"/>
                <w:sz w:val="21"/>
                <w:szCs w:val="21"/>
                <w:highlight w:val="none"/>
                <w:lang w:val="en-US" w:eastAsia="zh-CN"/>
              </w:rPr>
              <w:t>1.5</w:t>
            </w:r>
            <w:bookmarkEnd w:id="6581"/>
            <w:bookmarkEnd w:id="6582"/>
            <w:bookmarkEnd w:id="6583"/>
          </w:p>
        </w:tc>
        <w:tc>
          <w:tcPr>
            <w:tcW w:w="1102" w:type="dxa"/>
            <w:tcBorders>
              <w:tl2br w:val="nil"/>
              <w:tr2bl w:val="nil"/>
            </w:tcBorders>
            <w:vAlign w:val="center"/>
          </w:tcPr>
          <w:p w14:paraId="11E8BA0D">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84" w:name="_Toc20933"/>
            <w:bookmarkStart w:id="6585" w:name="_Toc11693"/>
            <w:bookmarkStart w:id="6586" w:name="_Toc29484"/>
            <w:r>
              <w:rPr>
                <w:rFonts w:hint="default" w:ascii="Times New Roman" w:hAnsi="Times New Roman" w:eastAsia="宋体" w:cs="Times New Roman"/>
                <w:color w:val="auto"/>
                <w:sz w:val="21"/>
                <w:szCs w:val="21"/>
                <w:highlight w:val="none"/>
                <w:lang w:val="en-US" w:eastAsia="zh-CN"/>
              </w:rPr>
              <w:t>11.14%</w:t>
            </w:r>
            <w:bookmarkEnd w:id="6584"/>
            <w:bookmarkEnd w:id="6585"/>
            <w:bookmarkEnd w:id="6586"/>
          </w:p>
        </w:tc>
      </w:tr>
      <w:tr w14:paraId="3716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9" w:type="pct"/>
            <w:vMerge w:val="continue"/>
            <w:tcBorders>
              <w:tl2br w:val="nil"/>
              <w:tr2bl w:val="nil"/>
            </w:tcBorders>
            <w:vAlign w:val="center"/>
          </w:tcPr>
          <w:p w14:paraId="382FA337">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456" w:type="pct"/>
            <w:vMerge w:val="continue"/>
            <w:tcBorders>
              <w:tl2br w:val="nil"/>
              <w:tr2bl w:val="nil"/>
            </w:tcBorders>
            <w:vAlign w:val="center"/>
          </w:tcPr>
          <w:p w14:paraId="72A5AF2D">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796" w:type="pct"/>
            <w:tcBorders>
              <w:tl2br w:val="nil"/>
              <w:tr2bl w:val="nil"/>
            </w:tcBorders>
            <w:vAlign w:val="center"/>
          </w:tcPr>
          <w:p w14:paraId="0ACD10A7">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587" w:name="_Toc4859"/>
            <w:bookmarkStart w:id="6588" w:name="_Toc20574"/>
            <w:bookmarkStart w:id="6589" w:name="_Toc15275"/>
            <w:bookmarkStart w:id="6590" w:name="_Toc12007"/>
            <w:bookmarkStart w:id="6591" w:name="_Toc1968"/>
            <w:r>
              <w:rPr>
                <w:rFonts w:hint="default" w:ascii="Times New Roman" w:hAnsi="Times New Roman" w:cs="Times New Roman"/>
                <w:color w:val="auto"/>
                <w:sz w:val="21"/>
                <w:szCs w:val="21"/>
                <w:highlight w:val="none"/>
              </w:rPr>
              <w:t>建筑垃圾</w:t>
            </w:r>
            <w:bookmarkEnd w:id="6587"/>
            <w:bookmarkEnd w:id="6588"/>
            <w:bookmarkEnd w:id="6589"/>
            <w:bookmarkEnd w:id="6590"/>
            <w:bookmarkEnd w:id="6591"/>
          </w:p>
        </w:tc>
        <w:tc>
          <w:tcPr>
            <w:tcW w:w="2216" w:type="pct"/>
            <w:tcBorders>
              <w:tl2br w:val="nil"/>
              <w:tr2bl w:val="nil"/>
            </w:tcBorders>
            <w:vAlign w:val="center"/>
          </w:tcPr>
          <w:p w14:paraId="1D78EE99">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92" w:name="_Toc8373"/>
            <w:bookmarkStart w:id="6593" w:name="_Toc9295"/>
            <w:bookmarkStart w:id="6594" w:name="_Toc2901"/>
            <w:bookmarkStart w:id="6595" w:name="_Toc641"/>
            <w:bookmarkStart w:id="6596" w:name="_Toc9577"/>
            <w:r>
              <w:rPr>
                <w:rFonts w:hint="default" w:ascii="Times New Roman" w:hAnsi="Times New Roman" w:cs="Times New Roman"/>
                <w:color w:val="auto"/>
                <w:sz w:val="21"/>
                <w:szCs w:val="21"/>
                <w:highlight w:val="none"/>
                <w:lang w:val="en-US" w:eastAsia="zh-CN"/>
              </w:rPr>
              <w:t>集中收集运至建筑垃圾消纳场</w:t>
            </w:r>
            <w:bookmarkEnd w:id="6592"/>
            <w:bookmarkEnd w:id="6593"/>
            <w:bookmarkEnd w:id="6594"/>
            <w:bookmarkEnd w:id="6595"/>
            <w:bookmarkEnd w:id="6596"/>
          </w:p>
        </w:tc>
        <w:tc>
          <w:tcPr>
            <w:tcW w:w="1150" w:type="dxa"/>
            <w:tcBorders>
              <w:tl2br w:val="nil"/>
              <w:tr2bl w:val="nil"/>
            </w:tcBorders>
            <w:vAlign w:val="center"/>
          </w:tcPr>
          <w:p w14:paraId="57577BC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597" w:name="_Toc26173"/>
            <w:bookmarkStart w:id="6598" w:name="_Toc828"/>
            <w:bookmarkStart w:id="6599" w:name="_Toc10237"/>
            <w:r>
              <w:rPr>
                <w:rFonts w:hint="default" w:ascii="Times New Roman" w:hAnsi="Times New Roman" w:eastAsia="宋体" w:cs="Times New Roman"/>
                <w:color w:val="auto"/>
                <w:sz w:val="21"/>
                <w:szCs w:val="21"/>
                <w:highlight w:val="none"/>
                <w:lang w:val="en-US" w:eastAsia="zh-CN"/>
              </w:rPr>
              <w:t>0.5</w:t>
            </w:r>
            <w:bookmarkEnd w:id="6597"/>
            <w:bookmarkEnd w:id="6598"/>
            <w:bookmarkEnd w:id="6599"/>
          </w:p>
        </w:tc>
        <w:tc>
          <w:tcPr>
            <w:tcW w:w="1102" w:type="dxa"/>
            <w:tcBorders>
              <w:tl2br w:val="nil"/>
              <w:tr2bl w:val="nil"/>
            </w:tcBorders>
            <w:vAlign w:val="center"/>
          </w:tcPr>
          <w:p w14:paraId="66A565D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600" w:name="_Toc27093"/>
            <w:bookmarkStart w:id="6601" w:name="_Toc22782"/>
            <w:bookmarkStart w:id="6602" w:name="_Toc3192"/>
            <w:r>
              <w:rPr>
                <w:rFonts w:hint="default" w:ascii="Times New Roman" w:hAnsi="Times New Roman" w:eastAsia="宋体" w:cs="Times New Roman"/>
                <w:color w:val="auto"/>
                <w:sz w:val="21"/>
                <w:szCs w:val="21"/>
                <w:highlight w:val="none"/>
                <w:lang w:val="en-US" w:eastAsia="zh-CN"/>
              </w:rPr>
              <w:t>3.71%</w:t>
            </w:r>
            <w:bookmarkEnd w:id="6600"/>
            <w:bookmarkEnd w:id="6601"/>
            <w:bookmarkEnd w:id="6602"/>
          </w:p>
        </w:tc>
      </w:tr>
      <w:tr w14:paraId="004BC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9" w:type="pct"/>
            <w:vMerge w:val="continue"/>
            <w:tcBorders>
              <w:tl2br w:val="nil"/>
              <w:tr2bl w:val="nil"/>
            </w:tcBorders>
            <w:vAlign w:val="center"/>
          </w:tcPr>
          <w:p w14:paraId="5580EF03">
            <w:pPr>
              <w:pStyle w:val="29"/>
              <w:suppressLineNumbers w:val="0"/>
              <w:bidi w:val="0"/>
              <w:spacing w:beforeAutospacing="0" w:afterAutospacing="0"/>
              <w:ind w:left="0" w:right="0"/>
              <w:jc w:val="center"/>
              <w:outlineLvl w:val="9"/>
              <w:rPr>
                <w:rFonts w:hint="default" w:ascii="Times New Roman" w:hAnsi="Times New Roman" w:cs="Times New Roman"/>
                <w:color w:val="auto"/>
                <w:sz w:val="21"/>
                <w:szCs w:val="21"/>
                <w:highlight w:val="none"/>
              </w:rPr>
            </w:pPr>
          </w:p>
        </w:tc>
        <w:tc>
          <w:tcPr>
            <w:tcW w:w="1252" w:type="pct"/>
            <w:gridSpan w:val="2"/>
            <w:tcBorders>
              <w:tl2br w:val="nil"/>
              <w:tr2bl w:val="nil"/>
            </w:tcBorders>
            <w:vAlign w:val="center"/>
          </w:tcPr>
          <w:p w14:paraId="62736A0E">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603" w:name="_Toc25298"/>
            <w:bookmarkStart w:id="6604" w:name="_Toc4745"/>
            <w:bookmarkStart w:id="6605" w:name="_Toc6817"/>
            <w:bookmarkStart w:id="6606" w:name="_Toc20831"/>
            <w:bookmarkStart w:id="6607" w:name="_Toc31637"/>
            <w:r>
              <w:rPr>
                <w:rFonts w:hint="default" w:ascii="Times New Roman" w:hAnsi="Times New Roman" w:cs="Times New Roman"/>
                <w:color w:val="auto"/>
                <w:sz w:val="21"/>
                <w:szCs w:val="21"/>
                <w:highlight w:val="none"/>
              </w:rPr>
              <w:t>生态</w:t>
            </w:r>
            <w:bookmarkEnd w:id="6603"/>
            <w:bookmarkEnd w:id="6604"/>
            <w:bookmarkEnd w:id="6605"/>
            <w:bookmarkEnd w:id="6606"/>
            <w:bookmarkEnd w:id="6607"/>
          </w:p>
        </w:tc>
        <w:tc>
          <w:tcPr>
            <w:tcW w:w="2216" w:type="pct"/>
            <w:tcBorders>
              <w:tl2br w:val="nil"/>
              <w:tr2bl w:val="nil"/>
            </w:tcBorders>
            <w:vAlign w:val="center"/>
          </w:tcPr>
          <w:p w14:paraId="1B7F41F1">
            <w:pPr>
              <w:pStyle w:val="29"/>
              <w:suppressLineNumbers w:val="0"/>
              <w:bidi w:val="0"/>
              <w:spacing w:beforeAutospacing="0" w:afterAutospacing="0"/>
              <w:ind w:left="0" w:right="0"/>
              <w:jc w:val="center"/>
              <w:rPr>
                <w:rFonts w:hint="eastAsia" w:ascii="Times New Roman" w:hAnsi="Times New Roman" w:eastAsia="宋体" w:cs="Times New Roman"/>
                <w:color w:val="auto"/>
                <w:sz w:val="21"/>
                <w:szCs w:val="21"/>
                <w:highlight w:val="none"/>
                <w:lang w:val="en-US" w:eastAsia="zh-CN"/>
              </w:rPr>
            </w:pPr>
            <w:bookmarkStart w:id="6608" w:name="_Toc23564"/>
            <w:bookmarkStart w:id="6609" w:name="_Toc20638"/>
            <w:bookmarkStart w:id="6610" w:name="_Toc23858"/>
            <w:bookmarkStart w:id="6611" w:name="_Toc29957"/>
            <w:bookmarkStart w:id="6612" w:name="_Toc7219"/>
            <w:r>
              <w:rPr>
                <w:rFonts w:hint="default" w:ascii="Times New Roman" w:hAnsi="Times New Roman" w:cs="Times New Roman"/>
                <w:color w:val="auto"/>
                <w:sz w:val="21"/>
                <w:szCs w:val="21"/>
                <w:highlight w:val="none"/>
              </w:rPr>
              <w:t>表土恢复，临时占地土地平整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撒播种草，</w:t>
            </w:r>
            <w:bookmarkEnd w:id="6608"/>
            <w:bookmarkEnd w:id="6609"/>
            <w:r>
              <w:rPr>
                <w:rFonts w:hint="eastAsia" w:cs="Times New Roman"/>
                <w:color w:val="auto"/>
                <w:sz w:val="21"/>
                <w:szCs w:val="21"/>
                <w:highlight w:val="none"/>
                <w:lang w:eastAsia="zh-CN"/>
              </w:rPr>
              <w:t>栽种乔木</w:t>
            </w:r>
            <w:bookmarkEnd w:id="6610"/>
            <w:bookmarkEnd w:id="6611"/>
            <w:bookmarkEnd w:id="6612"/>
          </w:p>
        </w:tc>
        <w:tc>
          <w:tcPr>
            <w:tcW w:w="1150" w:type="dxa"/>
            <w:tcBorders>
              <w:tl2br w:val="nil"/>
              <w:tr2bl w:val="nil"/>
            </w:tcBorders>
            <w:vAlign w:val="center"/>
          </w:tcPr>
          <w:p w14:paraId="0D30DCA1">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613" w:name="_Toc22788"/>
            <w:bookmarkStart w:id="6614" w:name="_Toc14007"/>
            <w:bookmarkStart w:id="6615" w:name="_Toc12237"/>
            <w:r>
              <w:rPr>
                <w:rFonts w:hint="default" w:ascii="Times New Roman" w:hAnsi="Times New Roman" w:eastAsia="宋体" w:cs="Times New Roman"/>
                <w:color w:val="auto"/>
                <w:sz w:val="21"/>
                <w:szCs w:val="21"/>
                <w:highlight w:val="none"/>
                <w:lang w:val="en-US" w:eastAsia="zh-CN"/>
              </w:rPr>
              <w:t>7.86</w:t>
            </w:r>
            <w:bookmarkEnd w:id="6613"/>
            <w:bookmarkEnd w:id="6614"/>
            <w:bookmarkEnd w:id="6615"/>
          </w:p>
        </w:tc>
        <w:tc>
          <w:tcPr>
            <w:tcW w:w="1102" w:type="dxa"/>
            <w:tcBorders>
              <w:tl2br w:val="nil"/>
              <w:tr2bl w:val="nil"/>
            </w:tcBorders>
            <w:vAlign w:val="center"/>
          </w:tcPr>
          <w:p w14:paraId="0FA4A8EC">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616" w:name="_Toc25407"/>
            <w:bookmarkStart w:id="6617" w:name="_Toc10924"/>
            <w:bookmarkStart w:id="6618" w:name="_Toc11621"/>
            <w:r>
              <w:rPr>
                <w:rFonts w:hint="default" w:ascii="Times New Roman" w:hAnsi="Times New Roman" w:eastAsia="宋体" w:cs="Times New Roman"/>
                <w:color w:val="auto"/>
                <w:sz w:val="21"/>
                <w:szCs w:val="21"/>
                <w:highlight w:val="none"/>
                <w:lang w:val="en-US" w:eastAsia="zh-CN"/>
              </w:rPr>
              <w:t>58.40%</w:t>
            </w:r>
            <w:bookmarkEnd w:id="6616"/>
            <w:bookmarkEnd w:id="6617"/>
            <w:bookmarkEnd w:id="6618"/>
          </w:p>
        </w:tc>
      </w:tr>
      <w:tr w14:paraId="637D7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9" w:type="pct"/>
            <w:tcBorders>
              <w:tl2br w:val="nil"/>
              <w:tr2bl w:val="nil"/>
            </w:tcBorders>
            <w:vAlign w:val="center"/>
          </w:tcPr>
          <w:p w14:paraId="447FDD9A">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619" w:name="_Toc9023"/>
            <w:bookmarkStart w:id="6620" w:name="_Toc32347"/>
            <w:bookmarkStart w:id="6621" w:name="_Toc14330"/>
            <w:bookmarkStart w:id="6622" w:name="_Toc32477"/>
            <w:bookmarkStart w:id="6623" w:name="_Toc16224"/>
            <w:r>
              <w:rPr>
                <w:rFonts w:hint="default" w:ascii="Times New Roman" w:hAnsi="Times New Roman" w:cs="Times New Roman"/>
                <w:color w:val="auto"/>
                <w:sz w:val="21"/>
                <w:szCs w:val="21"/>
                <w:highlight w:val="none"/>
              </w:rPr>
              <w:t>运营期</w:t>
            </w:r>
            <w:bookmarkEnd w:id="6619"/>
            <w:bookmarkEnd w:id="6620"/>
            <w:bookmarkEnd w:id="6621"/>
            <w:bookmarkEnd w:id="6622"/>
            <w:bookmarkEnd w:id="6623"/>
          </w:p>
        </w:tc>
        <w:tc>
          <w:tcPr>
            <w:tcW w:w="1252" w:type="pct"/>
            <w:gridSpan w:val="2"/>
            <w:tcBorders>
              <w:tl2br w:val="nil"/>
              <w:tr2bl w:val="nil"/>
            </w:tcBorders>
            <w:vAlign w:val="center"/>
          </w:tcPr>
          <w:p w14:paraId="106D5236">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624" w:name="_Toc8882"/>
            <w:bookmarkStart w:id="6625" w:name="_Toc21364"/>
            <w:bookmarkStart w:id="6626" w:name="_Toc2261"/>
            <w:bookmarkStart w:id="6627" w:name="_Toc11991"/>
            <w:bookmarkStart w:id="6628" w:name="_Toc22506"/>
            <w:r>
              <w:rPr>
                <w:rFonts w:hint="default" w:ascii="Times New Roman" w:hAnsi="Times New Roman" w:cs="Times New Roman"/>
                <w:color w:val="auto"/>
                <w:sz w:val="21"/>
                <w:szCs w:val="21"/>
                <w:highlight w:val="none"/>
              </w:rPr>
              <w:t>环境监测</w:t>
            </w:r>
            <w:bookmarkEnd w:id="6624"/>
            <w:bookmarkEnd w:id="6625"/>
            <w:bookmarkEnd w:id="6626"/>
            <w:bookmarkEnd w:id="6627"/>
            <w:bookmarkEnd w:id="6628"/>
          </w:p>
        </w:tc>
        <w:tc>
          <w:tcPr>
            <w:tcW w:w="2216" w:type="pct"/>
            <w:tcBorders>
              <w:tl2br w:val="nil"/>
              <w:tr2bl w:val="nil"/>
            </w:tcBorders>
            <w:vAlign w:val="center"/>
          </w:tcPr>
          <w:p w14:paraId="52E41647">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629" w:name="_Toc811"/>
            <w:bookmarkStart w:id="6630" w:name="_Toc26590"/>
            <w:bookmarkStart w:id="6631" w:name="_Toc8730"/>
            <w:bookmarkStart w:id="6632" w:name="_Toc13105"/>
            <w:bookmarkStart w:id="6633" w:name="_Toc6195"/>
            <w:r>
              <w:rPr>
                <w:rFonts w:hint="default" w:ascii="Times New Roman" w:hAnsi="Times New Roman" w:cs="Times New Roman"/>
                <w:color w:val="auto"/>
                <w:sz w:val="21"/>
                <w:szCs w:val="21"/>
                <w:highlight w:val="none"/>
              </w:rPr>
              <w:t>运营期环境及生态监测</w:t>
            </w:r>
            <w:bookmarkEnd w:id="6629"/>
            <w:bookmarkEnd w:id="6630"/>
            <w:bookmarkEnd w:id="6631"/>
            <w:bookmarkEnd w:id="6632"/>
            <w:bookmarkEnd w:id="6633"/>
          </w:p>
        </w:tc>
        <w:tc>
          <w:tcPr>
            <w:tcW w:w="1150" w:type="dxa"/>
            <w:tcBorders>
              <w:tl2br w:val="nil"/>
              <w:tr2bl w:val="nil"/>
            </w:tcBorders>
            <w:vAlign w:val="center"/>
          </w:tcPr>
          <w:p w14:paraId="5447D738">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634" w:name="_Toc20337"/>
            <w:bookmarkStart w:id="6635" w:name="_Toc32711"/>
            <w:bookmarkStart w:id="6636" w:name="_Toc29559"/>
            <w:r>
              <w:rPr>
                <w:rFonts w:hint="default" w:ascii="Times New Roman" w:hAnsi="Times New Roman" w:eastAsia="宋体" w:cs="Times New Roman"/>
                <w:color w:val="auto"/>
                <w:sz w:val="21"/>
                <w:szCs w:val="21"/>
                <w:highlight w:val="none"/>
                <w:lang w:val="en-US" w:eastAsia="zh-CN"/>
              </w:rPr>
              <w:t>0.5</w:t>
            </w:r>
            <w:bookmarkEnd w:id="6634"/>
            <w:bookmarkEnd w:id="6635"/>
            <w:bookmarkEnd w:id="6636"/>
          </w:p>
        </w:tc>
        <w:tc>
          <w:tcPr>
            <w:tcW w:w="1102" w:type="dxa"/>
            <w:tcBorders>
              <w:tl2br w:val="nil"/>
              <w:tr2bl w:val="nil"/>
            </w:tcBorders>
            <w:vAlign w:val="center"/>
          </w:tcPr>
          <w:p w14:paraId="77C1BE6D">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637" w:name="_Toc19160"/>
            <w:bookmarkStart w:id="6638" w:name="_Toc27144"/>
            <w:bookmarkStart w:id="6639" w:name="_Toc17029"/>
            <w:r>
              <w:rPr>
                <w:rFonts w:hint="default" w:ascii="Times New Roman" w:hAnsi="Times New Roman" w:eastAsia="宋体" w:cs="Times New Roman"/>
                <w:color w:val="auto"/>
                <w:sz w:val="21"/>
                <w:szCs w:val="21"/>
                <w:highlight w:val="none"/>
                <w:lang w:val="en-US" w:eastAsia="zh-CN"/>
              </w:rPr>
              <w:t>3.71%</w:t>
            </w:r>
            <w:bookmarkEnd w:id="6637"/>
            <w:bookmarkEnd w:id="6638"/>
            <w:bookmarkEnd w:id="6639"/>
          </w:p>
        </w:tc>
      </w:tr>
      <w:tr w14:paraId="3DD23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728" w:type="pct"/>
            <w:gridSpan w:val="4"/>
            <w:tcBorders>
              <w:tl2br w:val="nil"/>
              <w:tr2bl w:val="nil"/>
            </w:tcBorders>
            <w:vAlign w:val="center"/>
          </w:tcPr>
          <w:p w14:paraId="79621C45">
            <w:pPr>
              <w:pStyle w:val="29"/>
              <w:suppressLineNumbers w:val="0"/>
              <w:bidi w:val="0"/>
              <w:spacing w:beforeAutospacing="0" w:afterAutospacing="0"/>
              <w:ind w:left="0" w:right="0"/>
              <w:jc w:val="center"/>
              <w:rPr>
                <w:rFonts w:hint="default" w:ascii="Times New Roman" w:hAnsi="Times New Roman" w:cs="Times New Roman"/>
                <w:color w:val="auto"/>
                <w:sz w:val="21"/>
                <w:szCs w:val="21"/>
                <w:highlight w:val="none"/>
              </w:rPr>
            </w:pPr>
            <w:bookmarkStart w:id="6640" w:name="_Toc7286"/>
            <w:bookmarkStart w:id="6641" w:name="_Toc31724"/>
            <w:bookmarkStart w:id="6642" w:name="_Toc31182"/>
            <w:bookmarkStart w:id="6643" w:name="_Toc26385"/>
            <w:bookmarkStart w:id="6644" w:name="_Toc21949"/>
            <w:r>
              <w:rPr>
                <w:rFonts w:hint="default" w:ascii="Times New Roman" w:hAnsi="Times New Roman" w:cs="Times New Roman"/>
                <w:color w:val="auto"/>
                <w:sz w:val="21"/>
                <w:szCs w:val="21"/>
                <w:highlight w:val="none"/>
              </w:rPr>
              <w:t>合计</w:t>
            </w:r>
            <w:bookmarkEnd w:id="6640"/>
            <w:bookmarkEnd w:id="6641"/>
            <w:bookmarkEnd w:id="6642"/>
            <w:bookmarkEnd w:id="6643"/>
            <w:bookmarkEnd w:id="6644"/>
          </w:p>
        </w:tc>
        <w:tc>
          <w:tcPr>
            <w:tcW w:w="1150" w:type="dxa"/>
            <w:tcBorders>
              <w:tl2br w:val="nil"/>
              <w:tr2bl w:val="nil"/>
            </w:tcBorders>
            <w:vAlign w:val="center"/>
          </w:tcPr>
          <w:p w14:paraId="7D1DDC4F">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645" w:name="_Toc20303"/>
            <w:bookmarkStart w:id="6646" w:name="_Toc18233"/>
            <w:bookmarkStart w:id="6647" w:name="_Toc6517"/>
            <w:r>
              <w:rPr>
                <w:rFonts w:hint="default" w:ascii="Times New Roman" w:hAnsi="Times New Roman" w:eastAsia="宋体" w:cs="Times New Roman"/>
                <w:color w:val="auto"/>
                <w:sz w:val="21"/>
                <w:szCs w:val="21"/>
                <w:highlight w:val="none"/>
                <w:lang w:val="en-US" w:eastAsia="zh-CN"/>
              </w:rPr>
              <w:t>13.46</w:t>
            </w:r>
            <w:bookmarkEnd w:id="6645"/>
            <w:bookmarkEnd w:id="6646"/>
            <w:bookmarkEnd w:id="6647"/>
          </w:p>
        </w:tc>
        <w:tc>
          <w:tcPr>
            <w:tcW w:w="1102" w:type="dxa"/>
            <w:tcBorders>
              <w:tl2br w:val="nil"/>
              <w:tr2bl w:val="nil"/>
            </w:tcBorders>
            <w:vAlign w:val="center"/>
          </w:tcPr>
          <w:p w14:paraId="560AE413">
            <w:pPr>
              <w:pStyle w:val="29"/>
              <w:suppressLineNumbers w:val="0"/>
              <w:bidi w:val="0"/>
              <w:spacing w:beforeAutospacing="0" w:afterAutospacing="0"/>
              <w:ind w:left="0" w:right="0"/>
              <w:jc w:val="center"/>
              <w:rPr>
                <w:rFonts w:hint="default" w:ascii="Times New Roman" w:hAnsi="Times New Roman" w:eastAsia="宋体" w:cs="Times New Roman"/>
                <w:color w:val="auto"/>
                <w:sz w:val="21"/>
                <w:szCs w:val="21"/>
                <w:highlight w:val="none"/>
                <w:lang w:val="en-US" w:eastAsia="zh-CN"/>
              </w:rPr>
            </w:pPr>
            <w:bookmarkStart w:id="6648" w:name="_Toc12840"/>
            <w:bookmarkStart w:id="6649" w:name="_Toc9440"/>
            <w:bookmarkStart w:id="6650" w:name="_Toc8014"/>
            <w:r>
              <w:rPr>
                <w:rFonts w:hint="default" w:ascii="Times New Roman" w:hAnsi="Times New Roman" w:eastAsia="宋体" w:cs="Times New Roman"/>
                <w:color w:val="auto"/>
                <w:sz w:val="21"/>
                <w:szCs w:val="21"/>
                <w:highlight w:val="none"/>
                <w:lang w:val="en-US" w:eastAsia="zh-CN"/>
              </w:rPr>
              <w:t>100.00%</w:t>
            </w:r>
            <w:bookmarkEnd w:id="6648"/>
            <w:bookmarkEnd w:id="6649"/>
            <w:bookmarkEnd w:id="6650"/>
          </w:p>
        </w:tc>
      </w:tr>
    </w:tbl>
    <w:p w14:paraId="41F284EA">
      <w:pPr>
        <w:pStyle w:val="4"/>
        <w:bidi w:val="0"/>
        <w:rPr>
          <w:rFonts w:hint="default" w:ascii="Times New Roman" w:hAnsi="Times New Roman" w:cs="Times New Roman"/>
          <w:color w:val="auto"/>
          <w:sz w:val="28"/>
          <w:szCs w:val="28"/>
          <w:highlight w:val="none"/>
          <w:lang w:val="en-US" w:eastAsia="zh-CN"/>
        </w:rPr>
      </w:pPr>
      <w:bookmarkStart w:id="6651" w:name="_Toc19413"/>
      <w:bookmarkStart w:id="6652" w:name="_Toc4188"/>
      <w:bookmarkStart w:id="6653" w:name="_Toc6613"/>
      <w:bookmarkStart w:id="6654" w:name="_Toc8395"/>
      <w:r>
        <w:rPr>
          <w:rFonts w:hint="default" w:ascii="Times New Roman" w:hAnsi="Times New Roman" w:cs="Times New Roman"/>
          <w:color w:val="auto"/>
          <w:sz w:val="28"/>
          <w:szCs w:val="28"/>
          <w:highlight w:val="none"/>
          <w:lang w:val="en-US" w:eastAsia="zh-CN"/>
        </w:rPr>
        <w:t>9.2经济效益</w:t>
      </w:r>
      <w:bookmarkEnd w:id="6651"/>
      <w:bookmarkEnd w:id="6652"/>
      <w:bookmarkEnd w:id="6653"/>
      <w:bookmarkEnd w:id="6654"/>
    </w:p>
    <w:p w14:paraId="715FE1DF">
      <w:pPr>
        <w:spacing w:line="360" w:lineRule="auto"/>
        <w:ind w:firstLine="480" w:firstLineChars="200"/>
        <w:rPr>
          <w:color w:val="auto"/>
          <w:sz w:val="24"/>
          <w:highlight w:val="none"/>
        </w:rPr>
      </w:pPr>
      <w:bookmarkStart w:id="6655" w:name="_Toc21050"/>
      <w:bookmarkStart w:id="6656" w:name="_Toc1170"/>
      <w:r>
        <w:rPr>
          <w:color w:val="auto"/>
          <w:sz w:val="24"/>
          <w:highlight w:val="none"/>
        </w:rPr>
        <w:t>本工程经济效益</w:t>
      </w:r>
      <w:r>
        <w:rPr>
          <w:rFonts w:hint="eastAsia"/>
          <w:color w:val="auto"/>
          <w:sz w:val="24"/>
          <w:highlight w:val="none"/>
          <w:lang w:eastAsia="zh-CN"/>
        </w:rPr>
        <w:t>主要</w:t>
      </w:r>
      <w:r>
        <w:rPr>
          <w:color w:val="auto"/>
          <w:sz w:val="24"/>
          <w:highlight w:val="none"/>
        </w:rPr>
        <w:t>包括直接效益和间接效益。直接效益为通过对工程区河道整治工程的实施，可使河道可以抗御标准内洪水，改善河道现状，恢复和强化河道行洪功能，稳定河势，改善区域环境，适应河道的自然性、安全性和生态性的要求。间接效益包括社会效益和环境效益。</w:t>
      </w:r>
    </w:p>
    <w:p w14:paraId="370BEBE9">
      <w:pPr>
        <w:pStyle w:val="4"/>
        <w:bidi w:val="0"/>
        <w:rPr>
          <w:rFonts w:hint="default" w:ascii="Times New Roman" w:hAnsi="Times New Roman" w:cs="Times New Roman"/>
          <w:color w:val="auto"/>
          <w:sz w:val="28"/>
          <w:szCs w:val="28"/>
          <w:highlight w:val="none"/>
        </w:rPr>
      </w:pPr>
      <w:bookmarkStart w:id="6657" w:name="_Toc23852"/>
      <w:bookmarkStart w:id="6658" w:name="_Toc24128"/>
      <w:r>
        <w:rPr>
          <w:rFonts w:hint="default" w:ascii="Times New Roman" w:hAnsi="Times New Roman" w:cs="Times New Roman"/>
          <w:color w:val="auto"/>
          <w:sz w:val="28"/>
          <w:szCs w:val="28"/>
          <w:highlight w:val="none"/>
          <w:lang w:val="en-US" w:eastAsia="zh-CN"/>
        </w:rPr>
        <w:t>9.3</w:t>
      </w:r>
      <w:r>
        <w:rPr>
          <w:rFonts w:hint="default" w:ascii="Times New Roman" w:hAnsi="Times New Roman" w:cs="Times New Roman"/>
          <w:color w:val="auto"/>
          <w:sz w:val="28"/>
          <w:szCs w:val="28"/>
          <w:highlight w:val="none"/>
        </w:rPr>
        <w:t>社会效益分析</w:t>
      </w:r>
      <w:bookmarkEnd w:id="6655"/>
      <w:bookmarkEnd w:id="6656"/>
      <w:bookmarkEnd w:id="6657"/>
      <w:bookmarkEnd w:id="6658"/>
    </w:p>
    <w:p w14:paraId="1AF50250">
      <w:pPr>
        <w:spacing w:line="360" w:lineRule="auto"/>
        <w:ind w:firstLine="480" w:firstLineChars="200"/>
        <w:rPr>
          <w:color w:val="auto"/>
          <w:sz w:val="24"/>
          <w:highlight w:val="none"/>
        </w:rPr>
      </w:pPr>
      <w:bookmarkStart w:id="6659" w:name="_Toc13974"/>
      <w:bookmarkStart w:id="6660" w:name="_Toc22654"/>
      <w:r>
        <w:rPr>
          <w:color w:val="auto"/>
          <w:sz w:val="24"/>
          <w:highlight w:val="none"/>
        </w:rPr>
        <w:t>旅游资源开发与旅游区自然生态环境保护、</w:t>
      </w:r>
      <w:r>
        <w:rPr>
          <w:rFonts w:hint="eastAsia"/>
          <w:color w:val="auto"/>
          <w:sz w:val="24"/>
          <w:highlight w:val="none"/>
          <w:lang w:eastAsia="zh-CN"/>
        </w:rPr>
        <w:t>健全</w:t>
      </w:r>
      <w:r>
        <w:rPr>
          <w:color w:val="auto"/>
          <w:sz w:val="24"/>
          <w:highlight w:val="none"/>
        </w:rPr>
        <w:t>基础设施建设并举，是旅游业可持续发展的前提条件，也是旅游资源发挥其长远商业价值所必需的，而生态观光旅游业是一个综合性的服务行业，产业链条非常长，可以和农林产业紧密结合，茹河河道基础设施建设的目的就是要调整当地的产业结构，实现整合山区资源，以生态观光旅游带动农林产业以及民俗旅游产业的局面，促进乡村逐渐退出以外出打工产业为主体的局面。同时由于当地农户能切实参与经济活动，在促进当地就业的同时也能提高他们的收入，改善当地居民的生活质量。开辟新的就业渠道，吸纳农村剩余劳动力，提高山区农民整体素质，增强当地与区内外、国内外的联系与协作，进一步扩大对外开放和招商引资的力度。</w:t>
      </w:r>
    </w:p>
    <w:p w14:paraId="21804ADC">
      <w:pPr>
        <w:pStyle w:val="4"/>
        <w:bidi w:val="0"/>
        <w:rPr>
          <w:rFonts w:hint="default" w:ascii="Times New Roman" w:hAnsi="Times New Roman" w:cs="Times New Roman"/>
          <w:color w:val="auto"/>
          <w:sz w:val="28"/>
          <w:szCs w:val="28"/>
          <w:highlight w:val="none"/>
        </w:rPr>
      </w:pPr>
      <w:bookmarkStart w:id="6661" w:name="_Toc21268"/>
      <w:bookmarkStart w:id="6662" w:name="_Toc4063"/>
      <w:r>
        <w:rPr>
          <w:rFonts w:hint="default" w:ascii="Times New Roman" w:hAnsi="Times New Roman" w:cs="Times New Roman"/>
          <w:color w:val="auto"/>
          <w:sz w:val="28"/>
          <w:szCs w:val="28"/>
          <w:highlight w:val="none"/>
          <w:lang w:val="en-US" w:eastAsia="zh-CN"/>
        </w:rPr>
        <w:t>9.4</w:t>
      </w:r>
      <w:r>
        <w:rPr>
          <w:rFonts w:hint="default" w:ascii="Times New Roman" w:hAnsi="Times New Roman" w:cs="Times New Roman"/>
          <w:color w:val="auto"/>
          <w:sz w:val="28"/>
          <w:szCs w:val="28"/>
          <w:highlight w:val="none"/>
        </w:rPr>
        <w:t>生态效益分析</w:t>
      </w:r>
      <w:bookmarkEnd w:id="6659"/>
      <w:bookmarkEnd w:id="6660"/>
      <w:bookmarkEnd w:id="6661"/>
      <w:bookmarkEnd w:id="6662"/>
    </w:p>
    <w:p w14:paraId="6FE5B120">
      <w:pPr>
        <w:spacing w:line="360" w:lineRule="auto"/>
        <w:ind w:firstLine="480" w:firstLineChars="200"/>
        <w:rPr>
          <w:color w:val="auto"/>
          <w:sz w:val="24"/>
          <w:highlight w:val="none"/>
        </w:rPr>
      </w:pPr>
      <w:bookmarkStart w:id="6663" w:name="_Toc16856"/>
      <w:bookmarkStart w:id="6664" w:name="_Toc7588"/>
      <w:r>
        <w:rPr>
          <w:color w:val="auto"/>
          <w:sz w:val="24"/>
          <w:highlight w:val="none"/>
        </w:rPr>
        <w:t>随着彭阳县人民生活水平的提高，人们对生态环境质量的要求也越来越高。</w:t>
      </w:r>
      <w:r>
        <w:rPr>
          <w:rFonts w:hint="eastAsia"/>
          <w:color w:val="auto"/>
          <w:sz w:val="24"/>
          <w:highlight w:val="none"/>
        </w:rPr>
        <w:t>小河河道</w:t>
      </w:r>
      <w:r>
        <w:rPr>
          <w:color w:val="auto"/>
          <w:sz w:val="24"/>
          <w:highlight w:val="none"/>
        </w:rPr>
        <w:t>是彭阳县的主要河流，也是彭阳县主要景观河道。本次治理将对河道进行美化</w:t>
      </w:r>
      <w:r>
        <w:rPr>
          <w:rFonts w:hint="eastAsia"/>
          <w:color w:val="auto"/>
          <w:sz w:val="24"/>
          <w:highlight w:val="none"/>
          <w:lang w:eastAsia="zh-CN"/>
        </w:rPr>
        <w:t>，将</w:t>
      </w:r>
      <w:r>
        <w:rPr>
          <w:color w:val="auto"/>
          <w:sz w:val="24"/>
          <w:highlight w:val="none"/>
        </w:rPr>
        <w:t>生态治理与景观工程相结合，使茹河达到</w:t>
      </w:r>
      <w:r>
        <w:rPr>
          <w:rFonts w:hint="eastAsia"/>
          <w:color w:val="auto"/>
          <w:sz w:val="24"/>
          <w:highlight w:val="none"/>
          <w:lang w:eastAsia="zh-CN"/>
        </w:rPr>
        <w:t>“</w:t>
      </w:r>
      <w:r>
        <w:rPr>
          <w:color w:val="auto"/>
          <w:sz w:val="24"/>
          <w:highlight w:val="none"/>
        </w:rPr>
        <w:t>水清、岸绿、景美</w:t>
      </w:r>
      <w:r>
        <w:rPr>
          <w:rFonts w:hint="eastAsia"/>
          <w:color w:val="auto"/>
          <w:sz w:val="24"/>
          <w:highlight w:val="none"/>
          <w:lang w:eastAsia="zh-CN"/>
        </w:rPr>
        <w:t>”</w:t>
      </w:r>
      <w:r>
        <w:rPr>
          <w:color w:val="auto"/>
          <w:sz w:val="24"/>
          <w:highlight w:val="none"/>
        </w:rPr>
        <w:t xml:space="preserve">的治理效果，可有效维持人与自然和谐相处的良好生态环境。 </w:t>
      </w:r>
    </w:p>
    <w:p w14:paraId="56415BFA">
      <w:pPr>
        <w:pStyle w:val="4"/>
        <w:bidi w:val="0"/>
        <w:rPr>
          <w:rFonts w:hint="default" w:ascii="Times New Roman" w:hAnsi="Times New Roman" w:cs="Times New Roman"/>
          <w:color w:val="auto"/>
          <w:sz w:val="28"/>
          <w:szCs w:val="28"/>
          <w:highlight w:val="none"/>
          <w:lang w:val="en-US" w:eastAsia="zh-CN"/>
        </w:rPr>
      </w:pPr>
      <w:bookmarkStart w:id="6665" w:name="_Toc23099"/>
      <w:bookmarkStart w:id="6666" w:name="_Toc26503"/>
      <w:r>
        <w:rPr>
          <w:rFonts w:hint="default" w:ascii="Times New Roman" w:hAnsi="Times New Roman" w:cs="Times New Roman"/>
          <w:color w:val="auto"/>
          <w:sz w:val="28"/>
          <w:szCs w:val="28"/>
          <w:highlight w:val="none"/>
          <w:lang w:val="en-US" w:eastAsia="zh-CN"/>
        </w:rPr>
        <w:t>9.5小结</w:t>
      </w:r>
      <w:bookmarkEnd w:id="6663"/>
      <w:bookmarkEnd w:id="6664"/>
      <w:bookmarkEnd w:id="6665"/>
      <w:bookmarkEnd w:id="6666"/>
    </w:p>
    <w:p w14:paraId="36F01B4B">
      <w:pPr>
        <w:bidi w:val="0"/>
        <w:jc w:val="both"/>
        <w:rPr>
          <w:rFonts w:hint="default" w:ascii="Times New Roman" w:hAnsi="Times New Roman" w:cs="Times New Roman"/>
          <w:color w:val="auto"/>
          <w:sz w:val="24"/>
          <w:szCs w:val="24"/>
          <w:highlight w:val="none"/>
          <w:lang w:val="en-US" w:eastAsia="zh-CN"/>
        </w:rPr>
        <w:sectPr>
          <w:headerReference r:id="rId21" w:type="default"/>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sz w:val="24"/>
          <w:szCs w:val="24"/>
          <w:highlight w:val="none"/>
          <w:lang w:val="en-US" w:eastAsia="zh-CN"/>
        </w:rPr>
        <w:t>通过以上对本工程建设的社会、经济和环境效益分析可知，在落实工程设计和环境影响评价所提出各项污染防治措施的前提下，项目的建设基本能够实现经济效益、社会效益和环境效益相统一的要求，从环境经济的角度而言，项目建设是可行。</w:t>
      </w:r>
    </w:p>
    <w:p w14:paraId="13585650">
      <w:pPr>
        <w:pStyle w:val="3"/>
        <w:bidi w:val="0"/>
        <w:outlineLvl w:val="0"/>
        <w:rPr>
          <w:rFonts w:hint="default" w:ascii="Times New Roman" w:hAnsi="Times New Roman" w:cs="Times New Roman"/>
          <w:color w:val="auto"/>
          <w:sz w:val="28"/>
          <w:szCs w:val="28"/>
          <w:highlight w:val="none"/>
        </w:rPr>
      </w:pPr>
      <w:bookmarkStart w:id="6667" w:name="_Toc23053"/>
      <w:bookmarkStart w:id="6668" w:name="_Toc10179"/>
      <w:bookmarkStart w:id="6669" w:name="_Toc19173"/>
      <w:bookmarkStart w:id="6670" w:name="_Toc11228"/>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环境管理与监测计划</w:t>
      </w:r>
      <w:bookmarkEnd w:id="6432"/>
      <w:bookmarkEnd w:id="6667"/>
      <w:bookmarkEnd w:id="6668"/>
      <w:bookmarkEnd w:id="6669"/>
      <w:bookmarkEnd w:id="6670"/>
    </w:p>
    <w:p w14:paraId="32018550">
      <w:pPr>
        <w:pStyle w:val="4"/>
        <w:bidi w:val="0"/>
        <w:rPr>
          <w:rFonts w:hint="default" w:ascii="Times New Roman" w:hAnsi="Times New Roman" w:cs="Times New Roman"/>
          <w:color w:val="auto"/>
          <w:sz w:val="28"/>
          <w:szCs w:val="28"/>
          <w:highlight w:val="none"/>
        </w:rPr>
      </w:pPr>
      <w:bookmarkStart w:id="6671" w:name="_Toc20147"/>
      <w:bookmarkStart w:id="6672" w:name="_Toc32116"/>
      <w:bookmarkStart w:id="6673" w:name="_Toc27970"/>
      <w:bookmarkStart w:id="6674" w:name="_Toc3289"/>
      <w:bookmarkStart w:id="6675" w:name="_Toc7901"/>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rPr>
        <w:t>.1环境管理</w:t>
      </w:r>
      <w:bookmarkEnd w:id="6671"/>
      <w:bookmarkEnd w:id="6672"/>
      <w:bookmarkEnd w:id="6673"/>
      <w:bookmarkEnd w:id="6674"/>
      <w:bookmarkEnd w:id="6675"/>
    </w:p>
    <w:p w14:paraId="273255CC">
      <w:pPr>
        <w:pStyle w:val="6"/>
        <w:bidi w:val="0"/>
        <w:rPr>
          <w:rFonts w:hint="default" w:ascii="Times New Roman" w:hAnsi="Times New Roman" w:cs="Times New Roman"/>
          <w:color w:val="auto"/>
          <w:sz w:val="28"/>
          <w:szCs w:val="28"/>
          <w:highlight w:val="none"/>
        </w:rPr>
      </w:pPr>
      <w:bookmarkStart w:id="6676" w:name="_Toc22492_WPSOffice_Level2"/>
      <w:bookmarkStart w:id="6677" w:name="_Toc24605"/>
      <w:bookmarkStart w:id="6678" w:name="_Toc31636"/>
      <w:bookmarkStart w:id="6679" w:name="_Toc16074_WPSOffice_Level2"/>
      <w:bookmarkStart w:id="6680" w:name="_Toc8901_WPSOffice_Level2"/>
      <w:bookmarkStart w:id="6681" w:name="_Toc19164_WPSOffice_Level2"/>
      <w:bookmarkStart w:id="6682" w:name="_Toc20289"/>
      <w:bookmarkStart w:id="6683" w:name="_Toc2749_WPSOffice_Level2"/>
      <w:bookmarkStart w:id="6684" w:name="_Toc23037"/>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rPr>
        <w:t>.1.1环境管理的目的</w:t>
      </w:r>
      <w:bookmarkEnd w:id="6676"/>
      <w:bookmarkEnd w:id="6677"/>
      <w:bookmarkEnd w:id="6678"/>
      <w:bookmarkEnd w:id="6679"/>
      <w:bookmarkEnd w:id="6680"/>
      <w:bookmarkEnd w:id="6681"/>
      <w:bookmarkEnd w:id="6682"/>
      <w:bookmarkEnd w:id="6683"/>
      <w:bookmarkEnd w:id="6684"/>
    </w:p>
    <w:p w14:paraId="040013E0">
      <w:pPr>
        <w:pStyle w:val="11"/>
        <w:kinsoku w:val="0"/>
        <w:overflowPunct w:val="0"/>
        <w:spacing w:before="0"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环境管理是工程建设管理的重要组成部分，通过环境管理，使本工程的建设符合国家有关环境保护设施与主体工程同时设计、同时施工、同时投产使用的</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三同时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制度，使各项环境保护措施得以在地方</w:t>
      </w:r>
      <w:r>
        <w:rPr>
          <w:rFonts w:hint="default" w:ascii="Times New Roman" w:hAnsi="Times New Roman" w:eastAsia="宋体" w:cs="Times New Roman"/>
          <w:color w:val="auto"/>
          <w:sz w:val="24"/>
          <w:szCs w:val="24"/>
          <w:highlight w:val="none"/>
          <w:lang w:eastAsia="zh-CN"/>
        </w:rPr>
        <w:t>生态环境</w:t>
      </w:r>
      <w:r>
        <w:rPr>
          <w:rFonts w:hint="default" w:ascii="Times New Roman" w:hAnsi="Times New Roman" w:eastAsia="宋体" w:cs="Times New Roman"/>
          <w:color w:val="auto"/>
          <w:sz w:val="24"/>
          <w:szCs w:val="24"/>
          <w:highlight w:val="none"/>
        </w:rPr>
        <w:t>部门的监督下顺利实施，责任明确，措施落实，使工程建设对环境带来的不利影响减轻到最低程度，达到经济效益和环境效益的协调发展。</w:t>
      </w:r>
    </w:p>
    <w:p w14:paraId="3B2E8FF2">
      <w:pPr>
        <w:pStyle w:val="6"/>
        <w:bidi w:val="0"/>
        <w:rPr>
          <w:rFonts w:hint="default" w:ascii="Times New Roman" w:hAnsi="Times New Roman" w:cs="Times New Roman"/>
          <w:color w:val="auto"/>
          <w:sz w:val="28"/>
          <w:szCs w:val="28"/>
          <w:highlight w:val="none"/>
        </w:rPr>
      </w:pPr>
      <w:bookmarkStart w:id="6685" w:name="_Toc29423_WPSOffice_Level2"/>
      <w:bookmarkStart w:id="6686" w:name="_Toc5585"/>
      <w:bookmarkStart w:id="6687" w:name="_Toc18790_WPSOffice_Level2"/>
      <w:bookmarkStart w:id="6688" w:name="_Toc11620_WPSOffice_Level2"/>
      <w:bookmarkStart w:id="6689" w:name="_Toc23310"/>
      <w:bookmarkStart w:id="6690" w:name="_Toc23118"/>
      <w:bookmarkStart w:id="6691" w:name="_Toc32682_WPSOffice_Level2"/>
      <w:bookmarkStart w:id="6692" w:name="_Toc8009"/>
      <w:bookmarkStart w:id="6693" w:name="_Toc7696_WPSOffice_Level2"/>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rPr>
        <w:t>.1.2环境管理体系</w:t>
      </w:r>
      <w:bookmarkEnd w:id="6685"/>
      <w:bookmarkEnd w:id="6686"/>
      <w:bookmarkEnd w:id="6687"/>
      <w:bookmarkEnd w:id="6688"/>
      <w:bookmarkEnd w:id="6689"/>
      <w:bookmarkEnd w:id="6690"/>
      <w:bookmarkEnd w:id="6691"/>
      <w:bookmarkEnd w:id="6692"/>
      <w:bookmarkEnd w:id="6693"/>
    </w:p>
    <w:p w14:paraId="71FF8BF0">
      <w:pPr>
        <w:pStyle w:val="11"/>
        <w:kinsoku w:val="0"/>
        <w:overflowPunct w:val="0"/>
        <w:spacing w:before="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环境管理工作应贯彻工程施工期和营运期。因此，必须建立具有良好业务基础和管理能力的专门性管理机构，配备必要的环保管理人员，在管理过程中应以国家相关</w:t>
      </w:r>
      <w:r>
        <w:rPr>
          <w:rFonts w:hint="eastAsia" w:cs="Times New Roman"/>
          <w:color w:val="auto"/>
          <w:sz w:val="24"/>
          <w:szCs w:val="24"/>
          <w:highlight w:val="none"/>
          <w:lang w:eastAsia="zh-CN"/>
        </w:rPr>
        <w:t>法律法规</w:t>
      </w:r>
      <w:r>
        <w:rPr>
          <w:rFonts w:hint="default" w:ascii="Times New Roman" w:hAnsi="Times New Roman" w:eastAsia="宋体" w:cs="Times New Roman"/>
          <w:color w:val="auto"/>
          <w:sz w:val="24"/>
          <w:szCs w:val="24"/>
          <w:highlight w:val="none"/>
        </w:rPr>
        <w:t>为依据，确定工程环境保护工作需达到的相应标准和要求，对工程环境保护措施进行优化、组织和实施，达到国家建设项目环境保护要求和地方生态环境管理部门要求。</w:t>
      </w:r>
    </w:p>
    <w:p w14:paraId="1DE03F54">
      <w:pPr>
        <w:pStyle w:val="6"/>
        <w:bidi w:val="0"/>
        <w:rPr>
          <w:rFonts w:hint="default" w:ascii="Times New Roman" w:hAnsi="Times New Roman" w:cs="Times New Roman"/>
          <w:color w:val="auto"/>
          <w:sz w:val="28"/>
          <w:szCs w:val="28"/>
          <w:highlight w:val="none"/>
          <w:lang w:eastAsia="zh-CN"/>
        </w:rPr>
      </w:pPr>
      <w:bookmarkStart w:id="6694" w:name="_Toc3910_WPSOffice_Level2"/>
      <w:bookmarkStart w:id="6695" w:name="_Toc15058_WPSOffice_Level2"/>
      <w:bookmarkStart w:id="6696" w:name="_Toc14202_WPSOffice_Level2"/>
      <w:bookmarkStart w:id="6697" w:name="_Toc9926_WPSOffice_Level2"/>
      <w:bookmarkStart w:id="6698" w:name="_Toc2576"/>
      <w:bookmarkStart w:id="6699" w:name="_Toc18925_WPSOffice_Level2"/>
      <w:bookmarkStart w:id="6700" w:name="_Toc2479"/>
      <w:bookmarkStart w:id="6701" w:name="_Toc10385"/>
      <w:bookmarkStart w:id="6702" w:name="_Toc25322"/>
      <w:r>
        <w:rPr>
          <w:rFonts w:hint="default" w:ascii="Times New Roman" w:hAnsi="Times New Roman" w:cs="Times New Roman"/>
          <w:color w:val="auto"/>
          <w:sz w:val="28"/>
          <w:szCs w:val="28"/>
          <w:highlight w:val="none"/>
          <w:lang w:eastAsia="zh-CN"/>
        </w:rPr>
        <w:t>10.1.3机构设置</w:t>
      </w:r>
      <w:bookmarkEnd w:id="6694"/>
      <w:bookmarkEnd w:id="6695"/>
      <w:bookmarkEnd w:id="6696"/>
      <w:bookmarkEnd w:id="6697"/>
      <w:bookmarkEnd w:id="6698"/>
      <w:bookmarkEnd w:id="6699"/>
      <w:bookmarkEnd w:id="6700"/>
      <w:bookmarkEnd w:id="6701"/>
      <w:bookmarkEnd w:id="6702"/>
    </w:p>
    <w:p w14:paraId="11CAC3DD">
      <w:pPr>
        <w:spacing w:line="360" w:lineRule="auto"/>
        <w:ind w:firstLine="480" w:firstLineChars="200"/>
        <w:jc w:val="left"/>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根据国家环境保护管理规定，</w:t>
      </w:r>
      <w:r>
        <w:rPr>
          <w:rFonts w:hint="default" w:ascii="Times New Roman" w:hAnsi="Times New Roman" w:cs="Times New Roman"/>
          <w:color w:val="auto"/>
          <w:sz w:val="24"/>
          <w:szCs w:val="24"/>
          <w:highlight w:val="none"/>
          <w:lang w:val="en-US" w:eastAsia="zh-CN"/>
        </w:rPr>
        <w:t>茹河支流河道生态综合治理项目（红茹河土地综合整治单元）—彭阳县茹河（小河段）河道治理工程</w:t>
      </w:r>
      <w:r>
        <w:rPr>
          <w:rFonts w:hint="default" w:ascii="Times New Roman" w:hAnsi="Times New Roman" w:eastAsia="宋体" w:cs="Times New Roman"/>
          <w:color w:val="auto"/>
          <w:sz w:val="24"/>
          <w:szCs w:val="24"/>
          <w:highlight w:val="none"/>
        </w:rPr>
        <w:t>可在工程施工期、运营期组建环境管理机构，建立与培训环保管理干部队伍，以完成工程环境管理任务。</w:t>
      </w:r>
      <w:r>
        <w:rPr>
          <w:rFonts w:hint="default" w:ascii="Times New Roman" w:hAnsi="Times New Roman" w:eastAsia="Times New Roman" w:cs="Times New Roman"/>
          <w:color w:val="auto"/>
          <w:sz w:val="24"/>
          <w:szCs w:val="24"/>
          <w:highlight w:val="none"/>
          <w:lang w:val="zh-CN"/>
        </w:rPr>
        <w:t>根据工程环境管理任务的阶段性，工程施工期和运营期环境保护办公室分别由1名科室主任和卫生防疫、环境监测、水土保持、生态等专业的人员专职或兼职组成。</w:t>
      </w:r>
    </w:p>
    <w:p w14:paraId="61A222F8">
      <w:pPr>
        <w:pStyle w:val="6"/>
        <w:bidi w:val="0"/>
        <w:rPr>
          <w:rFonts w:hint="default" w:ascii="Times New Roman" w:hAnsi="Times New Roman" w:cs="Times New Roman"/>
          <w:color w:val="auto"/>
          <w:sz w:val="28"/>
          <w:szCs w:val="28"/>
          <w:highlight w:val="none"/>
          <w:lang w:val="zh-CN" w:eastAsia="zh-CN"/>
        </w:rPr>
      </w:pPr>
      <w:bookmarkStart w:id="6703" w:name="_Toc8042"/>
      <w:bookmarkStart w:id="6704" w:name="_Toc24966_WPSOffice_Level2"/>
      <w:bookmarkStart w:id="6705" w:name="_Toc30934_WPSOffice_Level2"/>
      <w:bookmarkStart w:id="6706" w:name="_Toc11367"/>
      <w:bookmarkStart w:id="6707" w:name="_Toc15935_WPSOffice_Level2"/>
      <w:bookmarkStart w:id="6708" w:name="_Toc24918"/>
      <w:bookmarkStart w:id="6709" w:name="_Toc12568_WPSOffice_Level2"/>
      <w:bookmarkStart w:id="6710" w:name="_Toc15593"/>
      <w:bookmarkStart w:id="6711" w:name="_Toc4846_WPSOffice_Level2"/>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eastAsia="zh-CN"/>
        </w:rPr>
        <w:t>.1.4环境管理职责</w:t>
      </w:r>
      <w:bookmarkEnd w:id="6703"/>
      <w:bookmarkEnd w:id="6704"/>
      <w:bookmarkEnd w:id="6705"/>
      <w:bookmarkEnd w:id="6706"/>
      <w:bookmarkEnd w:id="6707"/>
      <w:bookmarkEnd w:id="6708"/>
      <w:bookmarkEnd w:id="6709"/>
      <w:bookmarkEnd w:id="6710"/>
      <w:bookmarkEnd w:id="6711"/>
    </w:p>
    <w:p w14:paraId="6FCC8945">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环境管理科室负责制定各项环境管理方面的规章制度、环境保护计划等，并协调和监督各部门的环境管理工作。</w:t>
      </w:r>
    </w:p>
    <w:p w14:paraId="39822721">
      <w:pPr>
        <w:spacing w:line="360" w:lineRule="auto"/>
        <w:ind w:firstLine="480"/>
        <w:rPr>
          <w:rFonts w:hint="default" w:ascii="Times New Roman" w:hAnsi="Times New Roman" w:eastAsia="Times New Roman" w:cs="Times New Roman"/>
          <w:color w:val="auto"/>
          <w:sz w:val="24"/>
          <w:szCs w:val="24"/>
          <w:highlight w:val="none"/>
          <w:lang w:val="zh-CN"/>
        </w:rPr>
      </w:pPr>
      <w:bookmarkStart w:id="6712" w:name="_Toc12565_WPSOffice_Level3"/>
      <w:bookmarkStart w:id="6713" w:name="_Toc8189_WPSOffice_Level3"/>
      <w:bookmarkStart w:id="6714" w:name="_Toc2629_WPSOffice_Level3"/>
      <w:bookmarkStart w:id="6715" w:name="_Toc23461_WPSOffice_Level3"/>
      <w:r>
        <w:rPr>
          <w:rFonts w:hint="default" w:ascii="Times New Roman" w:hAnsi="Times New Roman" w:eastAsia="Times New Roman" w:cs="Times New Roman"/>
          <w:color w:val="auto"/>
          <w:sz w:val="24"/>
          <w:szCs w:val="24"/>
          <w:highlight w:val="none"/>
          <w:lang w:val="zh-CN"/>
        </w:rPr>
        <w:t>（1）施工期</w:t>
      </w:r>
      <w:bookmarkEnd w:id="6712"/>
      <w:bookmarkEnd w:id="6713"/>
      <w:bookmarkEnd w:id="6714"/>
      <w:bookmarkEnd w:id="6715"/>
    </w:p>
    <w:p w14:paraId="2EF12473">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①贯彻执行和宣传国家有关环境保护的方针、政策、法规、条例，结合本工程特点及环境特征，执行相关环境管理的方针、政策；</w:t>
      </w:r>
    </w:p>
    <w:p w14:paraId="4A01780A">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②制订施工期环境保护计划，全面监督、管理施工期环保工作；</w:t>
      </w:r>
    </w:p>
    <w:p w14:paraId="104D14DB">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③负责施工期生态环境保护措施的实施、监督与管理工作，确保各项措施落实；</w:t>
      </w:r>
    </w:p>
    <w:p w14:paraId="52CFCB11">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④负责检查和监督施工期水土保持方案落实情况，及时发现并处理问题；</w:t>
      </w:r>
    </w:p>
    <w:p w14:paraId="07472FFF">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⑤负责制定施工期废水、废气、噪声、固废污染防治措施，并监督各项污染防治措施的落实情况；</w:t>
      </w:r>
    </w:p>
    <w:p w14:paraId="43BCDC41">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⑥负责落实报告书中施工期环保措施及施工期监测计划；</w:t>
      </w:r>
    </w:p>
    <w:p w14:paraId="52F15543">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⑦会同地方环保部门检查、监督工程施工单位或承包商执行环境保护措施的情况，重点是施工过程中对</w:t>
      </w:r>
      <w:r>
        <w:rPr>
          <w:rFonts w:hint="eastAsia" w:eastAsia="Times New Roman" w:cs="Times New Roman"/>
          <w:color w:val="auto"/>
          <w:sz w:val="24"/>
          <w:szCs w:val="24"/>
          <w:highlight w:val="none"/>
          <w:lang w:val="zh-CN"/>
        </w:rPr>
        <w:t>生态环境保护</w:t>
      </w:r>
      <w:r>
        <w:rPr>
          <w:rFonts w:hint="default" w:ascii="Times New Roman" w:hAnsi="Times New Roman" w:eastAsia="Times New Roman" w:cs="Times New Roman"/>
          <w:color w:val="auto"/>
          <w:sz w:val="24"/>
          <w:szCs w:val="24"/>
          <w:highlight w:val="none"/>
          <w:lang w:val="zh-CN"/>
        </w:rPr>
        <w:t>；</w:t>
      </w:r>
    </w:p>
    <w:p w14:paraId="106337F0">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⑧负责环境保护资料和成果的归档工作。</w:t>
      </w:r>
    </w:p>
    <w:p w14:paraId="60340EB6">
      <w:pPr>
        <w:spacing w:line="360" w:lineRule="auto"/>
        <w:ind w:firstLine="480"/>
        <w:rPr>
          <w:rFonts w:hint="default" w:ascii="Times New Roman" w:hAnsi="Times New Roman" w:eastAsia="Times New Roman" w:cs="Times New Roman"/>
          <w:color w:val="auto"/>
          <w:sz w:val="24"/>
          <w:szCs w:val="24"/>
          <w:highlight w:val="none"/>
          <w:lang w:val="zh-CN"/>
        </w:rPr>
      </w:pPr>
      <w:bookmarkStart w:id="6716" w:name="_Toc31426_WPSOffice_Level3"/>
      <w:bookmarkStart w:id="6717" w:name="_Toc21251_WPSOffice_Level3"/>
      <w:bookmarkStart w:id="6718" w:name="_Toc16477_WPSOffice_Level3"/>
      <w:bookmarkStart w:id="6719" w:name="_Toc20258_WPSOffice_Level3"/>
      <w:r>
        <w:rPr>
          <w:rFonts w:hint="default" w:ascii="Times New Roman" w:hAnsi="Times New Roman" w:eastAsia="Times New Roman" w:cs="Times New Roman"/>
          <w:color w:val="auto"/>
          <w:sz w:val="24"/>
          <w:szCs w:val="24"/>
          <w:highlight w:val="none"/>
          <w:lang w:val="zh-CN"/>
        </w:rPr>
        <w:t>（2）运营期</w:t>
      </w:r>
      <w:bookmarkEnd w:id="6716"/>
      <w:bookmarkEnd w:id="6717"/>
      <w:bookmarkEnd w:id="6718"/>
      <w:bookmarkEnd w:id="6719"/>
    </w:p>
    <w:p w14:paraId="7F68F1FF">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①制定工程的环境保护规划和环境保护规章制度，制定环境管理办法和制度；</w:t>
      </w:r>
    </w:p>
    <w:p w14:paraId="60DAB069">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②负责制定运营期水土流失防治计划和措施，并监督各项水土流失防治措施的落实情况；</w:t>
      </w:r>
    </w:p>
    <w:p w14:paraId="2D99FE92">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③负责落实报告书中运营期环保措施及运营期监测计划；</w:t>
      </w:r>
    </w:p>
    <w:p w14:paraId="6B6E0752">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④协助地方环保部门开展工程区内环境保护工作，处理与工程有关的环境问题。</w:t>
      </w:r>
    </w:p>
    <w:p w14:paraId="238ACC26">
      <w:pPr>
        <w:pStyle w:val="6"/>
        <w:bidi w:val="0"/>
        <w:rPr>
          <w:rFonts w:hint="default" w:ascii="Times New Roman" w:hAnsi="Times New Roman" w:cs="Times New Roman"/>
          <w:color w:val="auto"/>
          <w:sz w:val="28"/>
          <w:szCs w:val="28"/>
          <w:highlight w:val="none"/>
          <w:lang w:val="zh-CN" w:eastAsia="zh-CN"/>
        </w:rPr>
      </w:pPr>
      <w:bookmarkStart w:id="6720" w:name="_Toc16476_WPSOffice_Level2"/>
      <w:bookmarkStart w:id="6721" w:name="_Toc13176_WPSOffice_Level2"/>
      <w:bookmarkStart w:id="6722" w:name="_Toc16029"/>
      <w:bookmarkStart w:id="6723" w:name="_Toc8978_WPSOffice_Level2"/>
      <w:bookmarkStart w:id="6724" w:name="_Toc5345_WPSOffice_Level2"/>
      <w:bookmarkStart w:id="6725" w:name="_Toc14690"/>
      <w:bookmarkStart w:id="6726" w:name="_Toc15302_WPSOffice_Level2"/>
      <w:bookmarkStart w:id="6727" w:name="_Toc12552"/>
      <w:bookmarkStart w:id="6728" w:name="_Toc20997"/>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eastAsia="zh-CN"/>
        </w:rPr>
        <w:t>.1.5环境保护管理的总体指导原则</w:t>
      </w:r>
      <w:bookmarkEnd w:id="6720"/>
      <w:bookmarkEnd w:id="6721"/>
      <w:bookmarkEnd w:id="6722"/>
      <w:bookmarkEnd w:id="6723"/>
      <w:bookmarkEnd w:id="6724"/>
      <w:bookmarkEnd w:id="6725"/>
      <w:bookmarkEnd w:id="6726"/>
      <w:bookmarkEnd w:id="6727"/>
      <w:bookmarkEnd w:id="6728"/>
    </w:p>
    <w:p w14:paraId="685D22DA">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eastAsia="zh-CN"/>
        </w:rPr>
        <w:t>茹河支流河道生态综合治理项目（红茹河土地综合整治单元）—彭阳县茹河（小河段）河道治理工程</w:t>
      </w:r>
      <w:r>
        <w:rPr>
          <w:rFonts w:hint="default" w:ascii="Times New Roman" w:hAnsi="Times New Roman" w:eastAsia="Times New Roman" w:cs="Times New Roman"/>
          <w:color w:val="auto"/>
          <w:sz w:val="24"/>
          <w:szCs w:val="24"/>
          <w:highlight w:val="none"/>
          <w:lang w:val="zh-CN"/>
        </w:rPr>
        <w:t>设立了环境管理机构，全面负责工程的环境保护管理工作，接受地方环境保护主管部门的监督，调整和制订环境规划保护目标，负责环境管理工作。总体指导原则为：</w:t>
      </w:r>
    </w:p>
    <w:p w14:paraId="5617F464">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（1）工程的设计应得到充分论证，使项目实施后尽可能地避免或减少在工程建设和运行中对环境带来的不利影响。</w:t>
      </w:r>
    </w:p>
    <w:p w14:paraId="136EE479">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（2）环境保护措施应包括施工期和运行后的保护措施，并对常规情况和突发情况分别提出不同的保护措施和挽回不利影响的方法。</w:t>
      </w:r>
    </w:p>
    <w:p w14:paraId="0FC76D01">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（3）环境管理计划应定出</w:t>
      </w:r>
      <w:r>
        <w:rPr>
          <w:rFonts w:hint="eastAsia" w:eastAsia="Times New Roman" w:cs="Times New Roman"/>
          <w:color w:val="auto"/>
          <w:sz w:val="24"/>
          <w:szCs w:val="24"/>
          <w:highlight w:val="none"/>
          <w:lang w:val="zh-CN"/>
        </w:rPr>
        <w:t>机构</w:t>
      </w:r>
      <w:r>
        <w:rPr>
          <w:rFonts w:hint="default" w:ascii="Times New Roman" w:hAnsi="Times New Roman" w:eastAsia="Times New Roman" w:cs="Times New Roman"/>
          <w:color w:val="auto"/>
          <w:sz w:val="24"/>
          <w:szCs w:val="24"/>
          <w:highlight w:val="none"/>
          <w:lang w:val="zh-CN"/>
        </w:rPr>
        <w:t>的安排以及执行各种防治措施的职责、实施进度、监测内容和报告程序以及资金投入和来源等内容。</w:t>
      </w:r>
    </w:p>
    <w:p w14:paraId="0D6BB1E5">
      <w:pPr>
        <w:pStyle w:val="6"/>
        <w:bidi w:val="0"/>
        <w:rPr>
          <w:rFonts w:hint="default" w:ascii="Times New Roman" w:hAnsi="Times New Roman" w:cs="Times New Roman"/>
          <w:color w:val="auto"/>
          <w:sz w:val="28"/>
          <w:szCs w:val="28"/>
          <w:highlight w:val="none"/>
          <w:lang w:val="zh-CN" w:eastAsia="zh-CN"/>
        </w:rPr>
      </w:pPr>
      <w:bookmarkStart w:id="6729" w:name="_Toc22962_WPSOffice_Level2"/>
      <w:bookmarkStart w:id="6730" w:name="_Toc1935_WPSOffice_Level2"/>
      <w:bookmarkStart w:id="6731" w:name="_Toc5530_WPSOffice_Level2"/>
      <w:bookmarkStart w:id="6732" w:name="_Toc28561_WPSOffice_Level2"/>
      <w:bookmarkStart w:id="6733" w:name="_Toc14060"/>
      <w:bookmarkStart w:id="6734" w:name="_Toc8166"/>
      <w:bookmarkStart w:id="6735" w:name="_Toc16404"/>
      <w:bookmarkStart w:id="6736" w:name="_Toc25353_WPSOffice_Level2"/>
      <w:bookmarkStart w:id="6737" w:name="_Toc3124"/>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eastAsia="zh-CN"/>
        </w:rPr>
        <w:t>.1.6环境管理实施计划</w:t>
      </w:r>
      <w:bookmarkEnd w:id="6729"/>
      <w:bookmarkEnd w:id="6730"/>
      <w:bookmarkEnd w:id="6731"/>
      <w:bookmarkEnd w:id="6732"/>
      <w:bookmarkEnd w:id="6733"/>
      <w:bookmarkEnd w:id="6734"/>
      <w:bookmarkEnd w:id="6735"/>
      <w:bookmarkEnd w:id="6736"/>
      <w:bookmarkEnd w:id="6737"/>
    </w:p>
    <w:p w14:paraId="66878DFB">
      <w:pPr>
        <w:pStyle w:val="7"/>
        <w:bidi w:val="0"/>
        <w:rPr>
          <w:rFonts w:hint="default" w:ascii="Times New Roman" w:hAnsi="Times New Roman" w:cs="Times New Roman"/>
          <w:color w:val="auto"/>
          <w:sz w:val="28"/>
          <w:szCs w:val="28"/>
          <w:highlight w:val="none"/>
          <w:lang w:val="zh-CN"/>
        </w:rPr>
      </w:pPr>
      <w:bookmarkStart w:id="6738" w:name="_Toc21775_WPSOffice_Level3"/>
      <w:bookmarkStart w:id="6739" w:name="_Toc13065_WPSOffice_Level3"/>
      <w:bookmarkStart w:id="6740" w:name="_Toc32237_WPSOffice_Level3"/>
      <w:bookmarkStart w:id="6741" w:name="_Toc20494_WPSOffice_Level3"/>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.1.6.1施工期环境管理监测计划</w:t>
      </w:r>
      <w:bookmarkEnd w:id="6738"/>
      <w:bookmarkEnd w:id="6739"/>
      <w:bookmarkEnd w:id="6740"/>
      <w:bookmarkEnd w:id="6741"/>
    </w:p>
    <w:p w14:paraId="38DC734C">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（1）对施工队伍执行职责管理，要求施工队伍按要求文明施工，并做好监督、检查和教育工作；</w:t>
      </w:r>
    </w:p>
    <w:p w14:paraId="345B310F">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（2）按照生态环境主管部门的要求和本报告中有关环境保护对策措施对施工程序和场地布置统一安排；</w:t>
      </w:r>
    </w:p>
    <w:p w14:paraId="30C2D5C8">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（3）土建工程需要土石方的挖掘和运输、管道挖沟等，及时清理弃土，避免二次扬尘。建筑垃圾及多余弃土及时清运，车辆用篷布遮盖，防止沿途散落；</w:t>
      </w:r>
    </w:p>
    <w:p w14:paraId="6AA7E7CF">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（4）施工场地硬化；</w:t>
      </w:r>
    </w:p>
    <w:p w14:paraId="50C32B00">
      <w:pPr>
        <w:spacing w:line="360" w:lineRule="auto"/>
        <w:ind w:firstLine="480"/>
        <w:jc w:val="both"/>
        <w:rPr>
          <w:rFonts w:hint="default" w:ascii="Times New Roman" w:hAnsi="Times New Roman" w:eastAsia="Times New Roman" w:cs="Times New Roman"/>
          <w:color w:val="auto"/>
          <w:sz w:val="28"/>
          <w:szCs w:val="28"/>
          <w:highlight w:val="none"/>
          <w:lang w:val="zh-CN"/>
        </w:rPr>
      </w:pPr>
      <w:r>
        <w:rPr>
          <w:rFonts w:hint="default" w:ascii="Times New Roman" w:hAnsi="Times New Roman" w:eastAsia="Times New Roman" w:cs="Times New Roman"/>
          <w:color w:val="auto"/>
          <w:sz w:val="24"/>
          <w:szCs w:val="24"/>
          <w:highlight w:val="none"/>
          <w:lang w:val="zh-CN"/>
        </w:rPr>
        <w:t>（5）施工场地车辆出入口设置车辆除尘除泥设施。</w:t>
      </w:r>
    </w:p>
    <w:p w14:paraId="1AE3EE63">
      <w:pPr>
        <w:pStyle w:val="7"/>
        <w:bidi w:val="0"/>
        <w:rPr>
          <w:rFonts w:hint="default" w:ascii="Times New Roman" w:hAnsi="Times New Roman" w:cs="Times New Roman"/>
          <w:color w:val="auto"/>
          <w:sz w:val="28"/>
          <w:szCs w:val="28"/>
          <w:highlight w:val="none"/>
          <w:lang w:val="zh-CN"/>
        </w:rPr>
      </w:pPr>
      <w:bookmarkStart w:id="6742" w:name="_Toc8901_WPSOffice_Level3"/>
      <w:bookmarkStart w:id="6743" w:name="_Toc8814_WPSOffice_Level3"/>
      <w:bookmarkStart w:id="6744" w:name="_Toc19438_WPSOffice_Level3"/>
      <w:bookmarkStart w:id="6745" w:name="_Toc24268_WPSOffice_Level3"/>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.1.6.2运行期环境管理监测计划</w:t>
      </w:r>
      <w:bookmarkEnd w:id="6742"/>
      <w:bookmarkEnd w:id="6743"/>
      <w:bookmarkEnd w:id="6744"/>
      <w:bookmarkEnd w:id="6745"/>
    </w:p>
    <w:p w14:paraId="34A96A36">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（1）建立环境治理设施运行管理制度，环境治理设施不得无故减负荷运行或停运，确保</w:t>
      </w:r>
      <w:r>
        <w:rPr>
          <w:rFonts w:hint="eastAsia" w:eastAsia="Times New Roman" w:cs="Times New Roman"/>
          <w:color w:val="auto"/>
          <w:sz w:val="24"/>
          <w:szCs w:val="24"/>
          <w:highlight w:val="none"/>
          <w:lang w:val="zh-CN"/>
        </w:rPr>
        <w:t>环境治理</w:t>
      </w:r>
      <w:r>
        <w:rPr>
          <w:rFonts w:hint="default" w:ascii="Times New Roman" w:hAnsi="Times New Roman" w:eastAsia="Times New Roman" w:cs="Times New Roman"/>
          <w:color w:val="auto"/>
          <w:sz w:val="24"/>
          <w:szCs w:val="24"/>
          <w:highlight w:val="none"/>
          <w:lang w:val="zh-CN"/>
        </w:rPr>
        <w:t>设施满负荷正常运行；</w:t>
      </w:r>
    </w:p>
    <w:p w14:paraId="71DAA18B">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（2）实行污染物监测及数据反馈制度，按环境监测实施计划的要求，对工程污染物进行监测，并建立数据库，作为评比考核的依据；</w:t>
      </w:r>
    </w:p>
    <w:p w14:paraId="6D468D44">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（3）完善三级管理网络，使环境管理制度落到实处，做到防患于未然；</w:t>
      </w:r>
    </w:p>
    <w:p w14:paraId="2DEC010B">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（4）参加污染事故、污染纠纷的调查、处理及上报工作；</w:t>
      </w:r>
    </w:p>
    <w:p w14:paraId="38B6B977">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（5）定期组织环保管理人员进行业务学习，技术培训，提高管理水平；</w:t>
      </w:r>
    </w:p>
    <w:p w14:paraId="4D495ED6">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（6）加强企业干部职工环境知识的教育与宣传。在教育中增加环保方针、政策、法纪等内容，在科普教育中列进环保与生态内容，教育干部职工树立文明生产的责任心；</w:t>
      </w:r>
    </w:p>
    <w:p w14:paraId="35176AC5">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（7）将环保纳入总体发展计划，力争做到环保与经济效益同步发展。</w:t>
      </w:r>
    </w:p>
    <w:p w14:paraId="08652AA4">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不同阶段环境管理计划见表</w:t>
      </w:r>
      <w:r>
        <w:rPr>
          <w:rFonts w:hint="default" w:ascii="Times New Roman" w:hAnsi="Times New Roman" w:eastAsia="宋体" w:cs="Times New Roman"/>
          <w:color w:val="auto"/>
          <w:sz w:val="24"/>
          <w:szCs w:val="24"/>
          <w:highlight w:val="none"/>
          <w:lang w:eastAsia="zh-CN"/>
        </w:rPr>
        <w:t>10</w:t>
      </w:r>
      <w:r>
        <w:rPr>
          <w:rFonts w:hint="default" w:ascii="Times New Roman" w:hAnsi="Times New Roman" w:eastAsia="Times New Roman" w:cs="Times New Roman"/>
          <w:color w:val="auto"/>
          <w:sz w:val="24"/>
          <w:szCs w:val="24"/>
          <w:highlight w:val="none"/>
          <w:lang w:val="zh-CN"/>
        </w:rPr>
        <w:t>.1-1。</w:t>
      </w:r>
    </w:p>
    <w:p w14:paraId="6B342829">
      <w:pPr>
        <w:snapToGrid w:val="0"/>
        <w:spacing w:before="156" w:beforeLines="50"/>
        <w:ind w:firstLine="480" w:firstLineChars="200"/>
        <w:jc w:val="center"/>
        <w:rPr>
          <w:rFonts w:hint="default" w:ascii="Times New Roman" w:hAnsi="Times New Roman" w:eastAsia="Times New Roman" w:cs="Times New Roman"/>
          <w:b/>
          <w:bCs/>
          <w:color w:val="auto"/>
          <w:sz w:val="24"/>
          <w:szCs w:val="24"/>
          <w:highlight w:val="none"/>
          <w:lang w:val="zh-CN"/>
        </w:rPr>
      </w:pPr>
      <w:r>
        <w:rPr>
          <w:rFonts w:hint="default" w:ascii="Times New Roman" w:hAnsi="Times New Roman" w:eastAsia="Times New Roman" w:cs="Times New Roman"/>
          <w:b/>
          <w:bCs/>
          <w:color w:val="auto"/>
          <w:sz w:val="24"/>
          <w:szCs w:val="24"/>
          <w:highlight w:val="none"/>
          <w:lang w:val="zh-CN"/>
        </w:rPr>
        <w:t>表</w:t>
      </w:r>
      <w:r>
        <w:rPr>
          <w:rFonts w:hint="default" w:ascii="Times New Roman" w:hAnsi="Times New Roman" w:eastAsia="宋体" w:cs="Times New Roman"/>
          <w:b/>
          <w:bCs/>
          <w:color w:val="auto"/>
          <w:sz w:val="24"/>
          <w:szCs w:val="24"/>
          <w:highlight w:val="none"/>
          <w:lang w:eastAsia="zh-CN"/>
        </w:rPr>
        <w:t>10</w:t>
      </w:r>
      <w:r>
        <w:rPr>
          <w:rFonts w:hint="default" w:ascii="Times New Roman" w:hAnsi="Times New Roman" w:eastAsia="Times New Roman" w:cs="Times New Roman"/>
          <w:b/>
          <w:bCs/>
          <w:color w:val="auto"/>
          <w:sz w:val="24"/>
          <w:szCs w:val="24"/>
          <w:highlight w:val="none"/>
          <w:lang w:val="zh-CN"/>
        </w:rPr>
        <w:t>.1-1</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Times New Roman" w:cs="Times New Roman"/>
          <w:b/>
          <w:bCs/>
          <w:color w:val="auto"/>
          <w:sz w:val="24"/>
          <w:szCs w:val="24"/>
          <w:highlight w:val="none"/>
          <w:lang w:val="zh-CN"/>
        </w:rPr>
        <w:t>环境管理工作计划</w:t>
      </w:r>
    </w:p>
    <w:tbl>
      <w:tblPr>
        <w:tblStyle w:val="31"/>
        <w:tblW w:w="885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2"/>
        <w:gridCol w:w="8094"/>
      </w:tblGrid>
      <w:tr w14:paraId="7DB761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tblHeader/>
        </w:trPr>
        <w:tc>
          <w:tcPr>
            <w:tcW w:w="762" w:type="dxa"/>
            <w:tcBorders>
              <w:tl2br w:val="nil"/>
              <w:tr2bl w:val="nil"/>
            </w:tcBorders>
            <w:vAlign w:val="center"/>
          </w:tcPr>
          <w:p w14:paraId="5D83439D">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746" w:name="_Toc23713"/>
            <w:bookmarkStart w:id="6747" w:name="_Toc32172"/>
            <w:bookmarkStart w:id="6748" w:name="_Toc28220"/>
            <w:bookmarkStart w:id="6749" w:name="_Toc23901"/>
            <w:bookmarkStart w:id="6750" w:name="_Toc9705"/>
            <w:r>
              <w:rPr>
                <w:rFonts w:hint="default" w:ascii="Times New Roman" w:hAnsi="Times New Roman" w:cs="Times New Roman"/>
                <w:b/>
                <w:bCs/>
                <w:color w:val="auto"/>
                <w:sz w:val="21"/>
                <w:szCs w:val="21"/>
                <w:highlight w:val="none"/>
              </w:rPr>
              <w:t>工作</w:t>
            </w:r>
            <w:bookmarkEnd w:id="6746"/>
            <w:bookmarkEnd w:id="6747"/>
            <w:bookmarkEnd w:id="6748"/>
            <w:bookmarkEnd w:id="6749"/>
            <w:bookmarkEnd w:id="6750"/>
          </w:p>
          <w:p w14:paraId="6FD9900C">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751" w:name="_Toc19803"/>
            <w:bookmarkStart w:id="6752" w:name="_Toc30209"/>
            <w:bookmarkStart w:id="6753" w:name="_Toc27026"/>
            <w:bookmarkStart w:id="6754" w:name="_Toc10081"/>
            <w:bookmarkStart w:id="6755" w:name="_Toc28827"/>
            <w:r>
              <w:rPr>
                <w:rFonts w:hint="default" w:ascii="Times New Roman" w:hAnsi="Times New Roman" w:cs="Times New Roman"/>
                <w:b/>
                <w:bCs/>
                <w:color w:val="auto"/>
                <w:sz w:val="21"/>
                <w:szCs w:val="21"/>
                <w:highlight w:val="none"/>
              </w:rPr>
              <w:t>阶段</w:t>
            </w:r>
            <w:bookmarkEnd w:id="6751"/>
            <w:bookmarkEnd w:id="6752"/>
            <w:bookmarkEnd w:id="6753"/>
            <w:bookmarkEnd w:id="6754"/>
            <w:bookmarkEnd w:id="6755"/>
          </w:p>
        </w:tc>
        <w:tc>
          <w:tcPr>
            <w:tcW w:w="8094" w:type="dxa"/>
            <w:tcBorders>
              <w:tl2br w:val="nil"/>
              <w:tr2bl w:val="nil"/>
            </w:tcBorders>
            <w:vAlign w:val="center"/>
          </w:tcPr>
          <w:p w14:paraId="7CFFB744">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756" w:name="_Toc8256"/>
            <w:bookmarkStart w:id="6757" w:name="_Toc20805"/>
            <w:bookmarkStart w:id="6758" w:name="_Toc7133"/>
            <w:bookmarkStart w:id="6759" w:name="_Toc29992"/>
            <w:bookmarkStart w:id="6760" w:name="_Toc568"/>
            <w:r>
              <w:rPr>
                <w:rFonts w:hint="default" w:ascii="Times New Roman" w:hAnsi="Times New Roman" w:cs="Times New Roman"/>
                <w:b/>
                <w:bCs/>
                <w:color w:val="auto"/>
                <w:sz w:val="21"/>
                <w:szCs w:val="21"/>
                <w:highlight w:val="none"/>
              </w:rPr>
              <w:t>环境管理主要工作内容</w:t>
            </w:r>
            <w:bookmarkEnd w:id="6756"/>
            <w:bookmarkEnd w:id="6757"/>
            <w:bookmarkEnd w:id="6758"/>
            <w:bookmarkEnd w:id="6759"/>
            <w:bookmarkEnd w:id="6760"/>
          </w:p>
        </w:tc>
      </w:tr>
      <w:tr w14:paraId="5EE5C1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35" w:hRule="atLeast"/>
        </w:trPr>
        <w:tc>
          <w:tcPr>
            <w:tcW w:w="762" w:type="dxa"/>
            <w:tcBorders>
              <w:tl2br w:val="nil"/>
              <w:tr2bl w:val="nil"/>
            </w:tcBorders>
            <w:vAlign w:val="center"/>
          </w:tcPr>
          <w:p w14:paraId="5283AAD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761" w:name="_Toc344"/>
            <w:bookmarkStart w:id="6762" w:name="_Toc17424"/>
            <w:bookmarkStart w:id="6763" w:name="_Toc21679"/>
            <w:bookmarkStart w:id="6764" w:name="_Toc10440"/>
            <w:bookmarkStart w:id="6765" w:name="_Toc8881"/>
            <w:r>
              <w:rPr>
                <w:rFonts w:hint="default" w:ascii="Times New Roman" w:hAnsi="Times New Roman" w:cs="Times New Roman"/>
                <w:color w:val="auto"/>
                <w:sz w:val="21"/>
                <w:szCs w:val="21"/>
                <w:highlight w:val="none"/>
              </w:rPr>
              <w:t>管理机构</w:t>
            </w:r>
            <w:bookmarkEnd w:id="6761"/>
            <w:bookmarkEnd w:id="6762"/>
            <w:bookmarkEnd w:id="6763"/>
            <w:bookmarkEnd w:id="6764"/>
            <w:bookmarkEnd w:id="6765"/>
          </w:p>
          <w:p w14:paraId="5416BBC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766" w:name="_Toc13252"/>
            <w:bookmarkStart w:id="6767" w:name="_Toc9367"/>
            <w:bookmarkStart w:id="6768" w:name="_Toc29473"/>
            <w:bookmarkStart w:id="6769" w:name="_Toc7892"/>
            <w:bookmarkStart w:id="6770" w:name="_Toc27367"/>
            <w:r>
              <w:rPr>
                <w:rFonts w:hint="default" w:ascii="Times New Roman" w:hAnsi="Times New Roman" w:cs="Times New Roman"/>
                <w:color w:val="auto"/>
                <w:sz w:val="21"/>
                <w:szCs w:val="21"/>
                <w:highlight w:val="none"/>
              </w:rPr>
              <w:t>职能</w:t>
            </w:r>
            <w:bookmarkEnd w:id="6766"/>
            <w:bookmarkEnd w:id="6767"/>
            <w:bookmarkEnd w:id="6768"/>
            <w:bookmarkEnd w:id="6769"/>
            <w:bookmarkEnd w:id="6770"/>
          </w:p>
        </w:tc>
        <w:tc>
          <w:tcPr>
            <w:tcW w:w="8094" w:type="dxa"/>
            <w:tcBorders>
              <w:tl2br w:val="nil"/>
              <w:tr2bl w:val="nil"/>
            </w:tcBorders>
            <w:vAlign w:val="center"/>
          </w:tcPr>
          <w:p w14:paraId="4DCF7581">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771" w:name="_Toc18212"/>
            <w:bookmarkStart w:id="6772" w:name="_Toc24357"/>
            <w:bookmarkStart w:id="6773" w:name="_Toc24490"/>
            <w:bookmarkStart w:id="6774" w:name="_Toc28202"/>
            <w:bookmarkStart w:id="6775" w:name="_Toc32749"/>
            <w:r>
              <w:rPr>
                <w:rFonts w:hint="default" w:ascii="Times New Roman" w:hAnsi="Times New Roman" w:cs="Times New Roman"/>
                <w:color w:val="auto"/>
                <w:sz w:val="21"/>
                <w:szCs w:val="21"/>
                <w:highlight w:val="none"/>
              </w:rPr>
              <w:t>根据国家建设项目环境管理规定，认真落实各项环保手续，完成各级主管部门对本企业提出的环境管理要求，对本企业内部各项管理计划的执行及完成情况进行监督、控制，确保环境管理工作真正发挥作用。</w:t>
            </w:r>
            <w:bookmarkEnd w:id="6771"/>
            <w:bookmarkEnd w:id="6772"/>
            <w:bookmarkEnd w:id="6773"/>
            <w:bookmarkEnd w:id="6774"/>
            <w:bookmarkEnd w:id="6775"/>
          </w:p>
        </w:tc>
      </w:tr>
      <w:tr w14:paraId="2651B7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49" w:hRule="atLeast"/>
        </w:trPr>
        <w:tc>
          <w:tcPr>
            <w:tcW w:w="762" w:type="dxa"/>
            <w:tcBorders>
              <w:tl2br w:val="nil"/>
              <w:tr2bl w:val="nil"/>
            </w:tcBorders>
            <w:vAlign w:val="center"/>
          </w:tcPr>
          <w:p w14:paraId="661421F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776" w:name="_Toc14124"/>
            <w:bookmarkStart w:id="6777" w:name="_Toc913"/>
            <w:bookmarkStart w:id="6778" w:name="_Toc28331"/>
            <w:bookmarkStart w:id="6779" w:name="_Toc16591"/>
            <w:bookmarkStart w:id="6780" w:name="_Toc8286"/>
            <w:r>
              <w:rPr>
                <w:rFonts w:hint="default" w:ascii="Times New Roman" w:hAnsi="Times New Roman" w:cs="Times New Roman"/>
                <w:color w:val="auto"/>
                <w:sz w:val="21"/>
                <w:szCs w:val="21"/>
                <w:highlight w:val="none"/>
              </w:rPr>
              <w:t>建设前期</w:t>
            </w:r>
            <w:bookmarkEnd w:id="6776"/>
            <w:bookmarkEnd w:id="6777"/>
            <w:bookmarkEnd w:id="6778"/>
            <w:bookmarkEnd w:id="6779"/>
            <w:bookmarkEnd w:id="6780"/>
          </w:p>
        </w:tc>
        <w:tc>
          <w:tcPr>
            <w:tcW w:w="8094" w:type="dxa"/>
            <w:tcBorders>
              <w:tl2br w:val="nil"/>
              <w:tr2bl w:val="nil"/>
            </w:tcBorders>
            <w:vAlign w:val="center"/>
          </w:tcPr>
          <w:p w14:paraId="51C40B4C">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781" w:name="_Toc31323"/>
            <w:bookmarkStart w:id="6782" w:name="_Toc20520"/>
            <w:bookmarkStart w:id="6783" w:name="_Toc12705"/>
            <w:bookmarkStart w:id="6784" w:name="_Toc25014"/>
            <w:bookmarkStart w:id="6785" w:name="_Toc7546"/>
            <w:r>
              <w:rPr>
                <w:rFonts w:hint="eastAsia" w:cs="Times New Roman"/>
                <w:color w:val="auto"/>
                <w:sz w:val="21"/>
                <w:szCs w:val="21"/>
                <w:highlight w:val="none"/>
                <w:lang w:eastAsia="zh-CN"/>
              </w:rPr>
              <w:t>1.</w:t>
            </w:r>
            <w:r>
              <w:rPr>
                <w:rFonts w:hint="default" w:ascii="Times New Roman" w:hAnsi="Times New Roman" w:cs="Times New Roman"/>
                <w:color w:val="auto"/>
                <w:sz w:val="21"/>
                <w:szCs w:val="21"/>
                <w:highlight w:val="none"/>
              </w:rPr>
              <w:t>与项目可行性同期，委托评价单位进行项目的环境影响评价工作；</w:t>
            </w:r>
            <w:bookmarkEnd w:id="6781"/>
            <w:bookmarkEnd w:id="6782"/>
            <w:bookmarkEnd w:id="6783"/>
            <w:bookmarkEnd w:id="6784"/>
            <w:bookmarkEnd w:id="6785"/>
          </w:p>
          <w:p w14:paraId="23E899BA">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786" w:name="_Toc21514"/>
            <w:bookmarkStart w:id="6787" w:name="_Toc21127"/>
            <w:bookmarkStart w:id="6788" w:name="_Toc25553"/>
            <w:bookmarkStart w:id="6789" w:name="_Toc1102"/>
            <w:bookmarkStart w:id="6790" w:name="_Toc15067"/>
            <w:r>
              <w:rPr>
                <w:rFonts w:hint="eastAsia" w:cs="Times New Roman"/>
                <w:color w:val="auto"/>
                <w:sz w:val="21"/>
                <w:szCs w:val="21"/>
                <w:highlight w:val="none"/>
                <w:lang w:eastAsia="zh-CN"/>
              </w:rPr>
              <w:t>2.</w:t>
            </w:r>
            <w:r>
              <w:rPr>
                <w:rFonts w:hint="default" w:ascii="Times New Roman" w:hAnsi="Times New Roman" w:cs="Times New Roman"/>
                <w:color w:val="auto"/>
                <w:sz w:val="21"/>
                <w:szCs w:val="21"/>
                <w:highlight w:val="none"/>
              </w:rPr>
              <w:t>积极配合可研及环评单位所需进行现场调研；</w:t>
            </w:r>
            <w:bookmarkEnd w:id="6786"/>
            <w:bookmarkEnd w:id="6787"/>
            <w:bookmarkEnd w:id="6788"/>
            <w:bookmarkEnd w:id="6789"/>
            <w:bookmarkEnd w:id="6790"/>
          </w:p>
          <w:p w14:paraId="66608D16">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791" w:name="_Toc22060"/>
            <w:bookmarkStart w:id="6792" w:name="_Toc21278"/>
            <w:bookmarkStart w:id="6793" w:name="_Toc14243"/>
            <w:bookmarkStart w:id="6794" w:name="_Toc8287"/>
            <w:bookmarkStart w:id="6795" w:name="_Toc22802"/>
            <w:r>
              <w:rPr>
                <w:rFonts w:hint="eastAsia" w:cs="Times New Roman"/>
                <w:color w:val="auto"/>
                <w:sz w:val="21"/>
                <w:szCs w:val="21"/>
                <w:highlight w:val="none"/>
                <w:lang w:eastAsia="zh-CN"/>
              </w:rPr>
              <w:t>3.</w:t>
            </w:r>
            <w:r>
              <w:rPr>
                <w:rFonts w:hint="default" w:ascii="Times New Roman" w:hAnsi="Times New Roman" w:cs="Times New Roman"/>
                <w:color w:val="auto"/>
                <w:sz w:val="21"/>
                <w:szCs w:val="21"/>
                <w:highlight w:val="none"/>
              </w:rPr>
              <w:t>针对工程的具体情况，建立企业内部必要的环境管理与监测制度；</w:t>
            </w:r>
            <w:bookmarkEnd w:id="6791"/>
            <w:bookmarkEnd w:id="6792"/>
            <w:bookmarkEnd w:id="6793"/>
            <w:bookmarkEnd w:id="6794"/>
            <w:bookmarkEnd w:id="6795"/>
          </w:p>
          <w:p w14:paraId="29AABCCA">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796" w:name="_Toc26355"/>
            <w:bookmarkStart w:id="6797" w:name="_Toc28079"/>
            <w:bookmarkStart w:id="6798" w:name="_Toc24956"/>
            <w:bookmarkStart w:id="6799" w:name="_Toc27574"/>
            <w:bookmarkStart w:id="6800" w:name="_Toc26169"/>
            <w:r>
              <w:rPr>
                <w:rFonts w:hint="eastAsia" w:cs="Times New Roman"/>
                <w:color w:val="auto"/>
                <w:sz w:val="21"/>
                <w:szCs w:val="21"/>
                <w:highlight w:val="none"/>
                <w:lang w:eastAsia="zh-CN"/>
              </w:rPr>
              <w:t>4.</w:t>
            </w:r>
            <w:r>
              <w:rPr>
                <w:rFonts w:hint="default" w:ascii="Times New Roman" w:hAnsi="Times New Roman" w:cs="Times New Roman"/>
                <w:color w:val="auto"/>
                <w:sz w:val="21"/>
                <w:szCs w:val="21"/>
                <w:highlight w:val="none"/>
              </w:rPr>
              <w:t>对环境管理部门职工进行岗位宣传和培训。</w:t>
            </w:r>
            <w:bookmarkEnd w:id="6796"/>
            <w:bookmarkEnd w:id="6797"/>
            <w:bookmarkEnd w:id="6798"/>
            <w:bookmarkEnd w:id="6799"/>
            <w:bookmarkEnd w:id="6800"/>
          </w:p>
        </w:tc>
      </w:tr>
      <w:tr w14:paraId="433D2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762" w:type="dxa"/>
            <w:tcBorders>
              <w:tl2br w:val="nil"/>
              <w:tr2bl w:val="nil"/>
            </w:tcBorders>
            <w:vAlign w:val="center"/>
          </w:tcPr>
          <w:p w14:paraId="36E918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801" w:name="_Toc13422"/>
            <w:bookmarkStart w:id="6802" w:name="_Toc12078"/>
            <w:bookmarkStart w:id="6803" w:name="_Toc21048"/>
            <w:bookmarkStart w:id="6804" w:name="_Toc26261"/>
            <w:bookmarkStart w:id="6805" w:name="_Toc86"/>
            <w:r>
              <w:rPr>
                <w:rFonts w:hint="default" w:ascii="Times New Roman" w:hAnsi="Times New Roman" w:cs="Times New Roman"/>
                <w:color w:val="auto"/>
                <w:sz w:val="21"/>
                <w:szCs w:val="21"/>
                <w:highlight w:val="none"/>
              </w:rPr>
              <w:t>设计</w:t>
            </w:r>
            <w:bookmarkEnd w:id="6801"/>
            <w:bookmarkEnd w:id="6802"/>
            <w:bookmarkEnd w:id="6803"/>
            <w:bookmarkEnd w:id="6804"/>
            <w:bookmarkEnd w:id="6805"/>
          </w:p>
        </w:tc>
        <w:tc>
          <w:tcPr>
            <w:tcW w:w="8094" w:type="dxa"/>
            <w:tcBorders>
              <w:tl2br w:val="nil"/>
              <w:tr2bl w:val="nil"/>
            </w:tcBorders>
            <w:vAlign w:val="center"/>
          </w:tcPr>
          <w:p w14:paraId="54E2C079">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06" w:name="_Toc25799"/>
            <w:bookmarkStart w:id="6807" w:name="_Toc24480"/>
            <w:bookmarkStart w:id="6808" w:name="_Toc19375"/>
            <w:bookmarkStart w:id="6809" w:name="_Toc12535"/>
            <w:bookmarkStart w:id="6810" w:name="_Toc13356"/>
            <w:r>
              <w:rPr>
                <w:rFonts w:hint="eastAsia" w:cs="Times New Roman"/>
                <w:color w:val="auto"/>
                <w:sz w:val="21"/>
                <w:szCs w:val="21"/>
                <w:highlight w:val="none"/>
                <w:lang w:eastAsia="zh-CN"/>
              </w:rPr>
              <w:t>1.</w:t>
            </w:r>
            <w:r>
              <w:rPr>
                <w:rFonts w:hint="default" w:ascii="Times New Roman" w:hAnsi="Times New Roman" w:cs="Times New Roman"/>
                <w:color w:val="auto"/>
                <w:sz w:val="21"/>
                <w:szCs w:val="21"/>
                <w:highlight w:val="none"/>
              </w:rPr>
              <w:t>委托设计单位对项目的环保工程进行设计，与主体工程同步进行；</w:t>
            </w:r>
            <w:bookmarkEnd w:id="6806"/>
            <w:bookmarkEnd w:id="6807"/>
            <w:bookmarkEnd w:id="6808"/>
            <w:bookmarkEnd w:id="6809"/>
            <w:bookmarkEnd w:id="6810"/>
          </w:p>
        </w:tc>
      </w:tr>
      <w:tr w14:paraId="6C86D9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762" w:type="dxa"/>
            <w:tcBorders>
              <w:tl2br w:val="nil"/>
              <w:tr2bl w:val="nil"/>
            </w:tcBorders>
            <w:vAlign w:val="center"/>
          </w:tcPr>
          <w:p w14:paraId="2BDE8BE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811" w:name="_Toc18662"/>
            <w:bookmarkStart w:id="6812" w:name="_Toc26293"/>
            <w:bookmarkStart w:id="6813" w:name="_Toc32208"/>
            <w:bookmarkStart w:id="6814" w:name="_Toc31546"/>
            <w:bookmarkStart w:id="6815" w:name="_Toc22155"/>
            <w:r>
              <w:rPr>
                <w:rFonts w:hint="default" w:ascii="Times New Roman" w:hAnsi="Times New Roman" w:cs="Times New Roman"/>
                <w:color w:val="auto"/>
                <w:sz w:val="21"/>
                <w:szCs w:val="21"/>
                <w:highlight w:val="none"/>
              </w:rPr>
              <w:t>阶段</w:t>
            </w:r>
            <w:bookmarkEnd w:id="6811"/>
            <w:bookmarkEnd w:id="6812"/>
            <w:bookmarkEnd w:id="6813"/>
            <w:bookmarkEnd w:id="6814"/>
            <w:bookmarkEnd w:id="6815"/>
          </w:p>
        </w:tc>
        <w:tc>
          <w:tcPr>
            <w:tcW w:w="8094" w:type="dxa"/>
            <w:tcBorders>
              <w:tl2br w:val="nil"/>
              <w:tr2bl w:val="nil"/>
            </w:tcBorders>
            <w:vAlign w:val="center"/>
          </w:tcPr>
          <w:p w14:paraId="4F30DAC1">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16" w:name="_Toc7095"/>
            <w:bookmarkStart w:id="6817" w:name="_Toc11776"/>
            <w:bookmarkStart w:id="6818" w:name="_Toc16985"/>
            <w:bookmarkStart w:id="6819" w:name="_Toc25365"/>
            <w:bookmarkStart w:id="6820" w:name="_Toc23524"/>
            <w:r>
              <w:rPr>
                <w:rFonts w:hint="eastAsia" w:cs="Times New Roman"/>
                <w:color w:val="auto"/>
                <w:sz w:val="21"/>
                <w:szCs w:val="21"/>
                <w:highlight w:val="none"/>
                <w:lang w:eastAsia="zh-CN"/>
              </w:rPr>
              <w:t>2.</w:t>
            </w:r>
            <w:r>
              <w:rPr>
                <w:rFonts w:hint="default" w:ascii="Times New Roman" w:hAnsi="Times New Roman" w:cs="Times New Roman"/>
                <w:color w:val="auto"/>
                <w:sz w:val="21"/>
                <w:szCs w:val="21"/>
                <w:highlight w:val="none"/>
              </w:rPr>
              <w:t>协助设计单位弄清楚现阶段的环境问题；</w:t>
            </w:r>
            <w:bookmarkEnd w:id="6816"/>
            <w:bookmarkEnd w:id="6817"/>
            <w:bookmarkEnd w:id="6818"/>
            <w:bookmarkEnd w:id="6819"/>
            <w:bookmarkEnd w:id="6820"/>
          </w:p>
          <w:p w14:paraId="194224DA">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21" w:name="_Toc25194"/>
            <w:bookmarkStart w:id="6822" w:name="_Toc4161"/>
            <w:bookmarkStart w:id="6823" w:name="_Toc5494"/>
            <w:bookmarkStart w:id="6824" w:name="_Toc718"/>
            <w:bookmarkStart w:id="6825" w:name="_Toc12474"/>
            <w:r>
              <w:rPr>
                <w:rFonts w:hint="eastAsia" w:cs="Times New Roman"/>
                <w:color w:val="auto"/>
                <w:sz w:val="21"/>
                <w:szCs w:val="21"/>
                <w:highlight w:val="none"/>
                <w:lang w:eastAsia="zh-CN"/>
              </w:rPr>
              <w:t>3.</w:t>
            </w:r>
            <w:r>
              <w:rPr>
                <w:rFonts w:hint="default" w:ascii="Times New Roman" w:hAnsi="Times New Roman" w:cs="Times New Roman"/>
                <w:color w:val="auto"/>
                <w:sz w:val="21"/>
                <w:szCs w:val="21"/>
                <w:highlight w:val="none"/>
              </w:rPr>
              <w:t>在设计中落实环境影响报告书提出的环保对策措施。</w:t>
            </w:r>
            <w:bookmarkEnd w:id="6821"/>
            <w:bookmarkEnd w:id="6822"/>
            <w:bookmarkEnd w:id="6823"/>
            <w:bookmarkEnd w:id="6824"/>
            <w:bookmarkEnd w:id="6825"/>
          </w:p>
        </w:tc>
      </w:tr>
      <w:tr w14:paraId="36F78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02" w:hRule="atLeast"/>
        </w:trPr>
        <w:tc>
          <w:tcPr>
            <w:tcW w:w="762" w:type="dxa"/>
            <w:tcBorders>
              <w:tl2br w:val="nil"/>
              <w:tr2bl w:val="nil"/>
            </w:tcBorders>
            <w:vAlign w:val="center"/>
          </w:tcPr>
          <w:p w14:paraId="4C052CF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826" w:name="_Toc20910"/>
            <w:bookmarkStart w:id="6827" w:name="_Toc28799"/>
            <w:bookmarkStart w:id="6828" w:name="_Toc9120"/>
            <w:bookmarkStart w:id="6829" w:name="_Toc28218"/>
            <w:bookmarkStart w:id="6830" w:name="_Toc20657"/>
            <w:r>
              <w:rPr>
                <w:rFonts w:hint="default" w:ascii="Times New Roman" w:hAnsi="Times New Roman" w:cs="Times New Roman"/>
                <w:color w:val="auto"/>
                <w:sz w:val="21"/>
                <w:szCs w:val="21"/>
                <w:highlight w:val="none"/>
              </w:rPr>
              <w:t>施工阶段</w:t>
            </w:r>
            <w:bookmarkEnd w:id="6826"/>
            <w:bookmarkEnd w:id="6827"/>
            <w:bookmarkEnd w:id="6828"/>
            <w:bookmarkEnd w:id="6829"/>
            <w:bookmarkEnd w:id="6830"/>
          </w:p>
        </w:tc>
        <w:tc>
          <w:tcPr>
            <w:tcW w:w="8094" w:type="dxa"/>
            <w:tcBorders>
              <w:tl2br w:val="nil"/>
              <w:tr2bl w:val="nil"/>
            </w:tcBorders>
            <w:vAlign w:val="center"/>
          </w:tcPr>
          <w:p w14:paraId="34FD4C85">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31" w:name="_Toc18352"/>
            <w:bookmarkStart w:id="6832" w:name="_Toc25180"/>
            <w:bookmarkStart w:id="6833" w:name="_Toc21724"/>
            <w:bookmarkStart w:id="6834" w:name="_Toc22590"/>
            <w:bookmarkStart w:id="6835" w:name="_Toc3386"/>
            <w:r>
              <w:rPr>
                <w:rFonts w:hint="eastAsia" w:cs="Times New Roman"/>
                <w:color w:val="auto"/>
                <w:sz w:val="21"/>
                <w:szCs w:val="21"/>
                <w:highlight w:val="none"/>
                <w:lang w:eastAsia="zh-CN"/>
              </w:rPr>
              <w:t>1.</w:t>
            </w:r>
            <w:r>
              <w:rPr>
                <w:rFonts w:hint="default" w:ascii="Times New Roman" w:hAnsi="Times New Roman" w:cs="Times New Roman"/>
                <w:color w:val="auto"/>
                <w:sz w:val="21"/>
                <w:szCs w:val="21"/>
                <w:highlight w:val="none"/>
              </w:rPr>
              <w:t>严格执行</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三同时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制度；</w:t>
            </w:r>
            <w:bookmarkEnd w:id="6831"/>
            <w:bookmarkEnd w:id="6832"/>
            <w:bookmarkEnd w:id="6833"/>
            <w:bookmarkEnd w:id="6834"/>
            <w:bookmarkEnd w:id="6835"/>
          </w:p>
          <w:p w14:paraId="5F99A522">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36" w:name="_Toc26901"/>
            <w:bookmarkStart w:id="6837" w:name="_Toc6545"/>
            <w:bookmarkStart w:id="6838" w:name="_Toc9734"/>
            <w:bookmarkStart w:id="6839" w:name="_Toc3281"/>
            <w:bookmarkStart w:id="6840" w:name="_Toc10531"/>
            <w:r>
              <w:rPr>
                <w:rFonts w:hint="eastAsia" w:cs="Times New Roman"/>
                <w:color w:val="auto"/>
                <w:sz w:val="21"/>
                <w:szCs w:val="21"/>
                <w:highlight w:val="none"/>
                <w:lang w:eastAsia="zh-CN"/>
              </w:rPr>
              <w:t>2.</w:t>
            </w:r>
            <w:r>
              <w:rPr>
                <w:rFonts w:hint="default" w:ascii="Times New Roman" w:hAnsi="Times New Roman" w:cs="Times New Roman"/>
                <w:color w:val="auto"/>
                <w:sz w:val="21"/>
                <w:szCs w:val="21"/>
                <w:highlight w:val="none"/>
              </w:rPr>
              <w:t>按照环评报告中提出的要求，制定出建设项目施工环保措施实施计划表，并与当地环保部门签订落实计划内的目标责任书；</w:t>
            </w:r>
            <w:bookmarkEnd w:id="6836"/>
            <w:bookmarkEnd w:id="6837"/>
            <w:bookmarkEnd w:id="6838"/>
            <w:bookmarkEnd w:id="6839"/>
            <w:bookmarkEnd w:id="6840"/>
          </w:p>
          <w:p w14:paraId="6CD007F3">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41" w:name="_Toc4888"/>
            <w:bookmarkStart w:id="6842" w:name="_Toc9258"/>
            <w:bookmarkStart w:id="6843" w:name="_Toc1541"/>
            <w:bookmarkStart w:id="6844" w:name="_Toc7209"/>
            <w:bookmarkStart w:id="6845" w:name="_Toc19531"/>
            <w:r>
              <w:rPr>
                <w:rFonts w:hint="eastAsia" w:cs="Times New Roman"/>
                <w:color w:val="auto"/>
                <w:sz w:val="21"/>
                <w:szCs w:val="21"/>
                <w:highlight w:val="none"/>
                <w:lang w:eastAsia="zh-CN"/>
              </w:rPr>
              <w:t>3.</w:t>
            </w:r>
            <w:r>
              <w:rPr>
                <w:rFonts w:hint="default" w:ascii="Times New Roman" w:hAnsi="Times New Roman" w:cs="Times New Roman"/>
                <w:color w:val="auto"/>
                <w:sz w:val="21"/>
                <w:szCs w:val="21"/>
                <w:highlight w:val="none"/>
              </w:rPr>
              <w:t>认真监督主体工程与环保设施的同步建设；建立环保设施施工进度档案，确保环保工作的正常实施运行；</w:t>
            </w:r>
            <w:bookmarkEnd w:id="6841"/>
            <w:bookmarkEnd w:id="6842"/>
            <w:bookmarkEnd w:id="6843"/>
            <w:bookmarkEnd w:id="6844"/>
            <w:bookmarkEnd w:id="6845"/>
          </w:p>
          <w:p w14:paraId="1FE02925">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46" w:name="_Toc7405"/>
            <w:bookmarkStart w:id="6847" w:name="_Toc6171"/>
            <w:bookmarkStart w:id="6848" w:name="_Toc1678"/>
            <w:bookmarkStart w:id="6849" w:name="_Toc32018"/>
            <w:bookmarkStart w:id="6850" w:name="_Toc31704"/>
            <w:r>
              <w:rPr>
                <w:rFonts w:hint="eastAsia" w:cs="Times New Roman"/>
                <w:color w:val="auto"/>
                <w:sz w:val="21"/>
                <w:szCs w:val="21"/>
                <w:highlight w:val="none"/>
                <w:lang w:eastAsia="zh-CN"/>
              </w:rPr>
              <w:t>4.</w:t>
            </w:r>
            <w:r>
              <w:rPr>
                <w:rFonts w:hint="default" w:ascii="Times New Roman" w:hAnsi="Times New Roman" w:cs="Times New Roman"/>
                <w:color w:val="auto"/>
                <w:sz w:val="21"/>
                <w:szCs w:val="21"/>
                <w:highlight w:val="none"/>
              </w:rPr>
              <w:t>施工噪声与振动要符合《中华人民共和国噪声污染防治法》有关规定，不得干扰周围群众的正常生活和工作；</w:t>
            </w:r>
            <w:bookmarkEnd w:id="6846"/>
            <w:bookmarkEnd w:id="6847"/>
            <w:bookmarkEnd w:id="6848"/>
            <w:bookmarkEnd w:id="6849"/>
            <w:bookmarkEnd w:id="6850"/>
          </w:p>
          <w:p w14:paraId="4B13DD7E">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51" w:name="_Toc19772"/>
            <w:bookmarkStart w:id="6852" w:name="_Toc7773"/>
            <w:bookmarkStart w:id="6853" w:name="_Toc1816"/>
            <w:bookmarkStart w:id="6854" w:name="_Toc11954"/>
            <w:bookmarkStart w:id="6855" w:name="_Toc26899"/>
            <w:r>
              <w:rPr>
                <w:rFonts w:hint="eastAsia" w:cs="Times New Roman"/>
                <w:color w:val="auto"/>
                <w:sz w:val="21"/>
                <w:szCs w:val="21"/>
                <w:highlight w:val="none"/>
                <w:lang w:eastAsia="zh-CN"/>
              </w:rPr>
              <w:t>5.</w:t>
            </w:r>
            <w:r>
              <w:rPr>
                <w:rFonts w:hint="default" w:ascii="Times New Roman" w:hAnsi="Times New Roman" w:cs="Times New Roman"/>
                <w:color w:val="auto"/>
                <w:sz w:val="21"/>
                <w:szCs w:val="21"/>
                <w:highlight w:val="none"/>
              </w:rPr>
              <w:t>制定施工期环境监理制度，监督环保工程的实施情况，施工阶段的环保工程进展情况和环保投资落实情况定期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每季度</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向环保主管部门汇报一次。</w:t>
            </w:r>
            <w:bookmarkEnd w:id="6851"/>
            <w:bookmarkEnd w:id="6852"/>
            <w:bookmarkEnd w:id="6853"/>
            <w:bookmarkEnd w:id="6854"/>
            <w:bookmarkEnd w:id="6855"/>
          </w:p>
        </w:tc>
      </w:tr>
      <w:tr w14:paraId="00C4B6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35" w:hRule="atLeast"/>
        </w:trPr>
        <w:tc>
          <w:tcPr>
            <w:tcW w:w="762" w:type="dxa"/>
            <w:tcBorders>
              <w:tl2br w:val="nil"/>
              <w:tr2bl w:val="nil"/>
            </w:tcBorders>
            <w:vAlign w:val="center"/>
          </w:tcPr>
          <w:p w14:paraId="16DF2F4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856" w:name="_Toc1468"/>
            <w:bookmarkStart w:id="6857" w:name="_Toc6382"/>
            <w:bookmarkStart w:id="6858" w:name="_Toc17873"/>
            <w:bookmarkStart w:id="6859" w:name="_Toc22531"/>
            <w:bookmarkStart w:id="6860" w:name="_Toc11898"/>
            <w:r>
              <w:rPr>
                <w:rFonts w:hint="default" w:ascii="Times New Roman" w:hAnsi="Times New Roman" w:cs="Times New Roman"/>
                <w:color w:val="auto"/>
                <w:sz w:val="21"/>
                <w:szCs w:val="21"/>
                <w:highlight w:val="none"/>
              </w:rPr>
              <w:t>运行期</w:t>
            </w:r>
            <w:bookmarkEnd w:id="6856"/>
            <w:bookmarkEnd w:id="6857"/>
            <w:bookmarkEnd w:id="6858"/>
            <w:bookmarkEnd w:id="6859"/>
            <w:bookmarkEnd w:id="6860"/>
          </w:p>
        </w:tc>
        <w:tc>
          <w:tcPr>
            <w:tcW w:w="8094" w:type="dxa"/>
            <w:tcBorders>
              <w:tl2br w:val="nil"/>
              <w:tr2bl w:val="nil"/>
            </w:tcBorders>
            <w:vAlign w:val="center"/>
          </w:tcPr>
          <w:p w14:paraId="1ED8A7AA">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61" w:name="_Toc977"/>
            <w:bookmarkStart w:id="6862" w:name="_Toc9783"/>
            <w:bookmarkStart w:id="6863" w:name="_Toc16314"/>
            <w:bookmarkStart w:id="6864" w:name="_Toc19083"/>
            <w:bookmarkStart w:id="6865" w:name="_Toc8487"/>
            <w:r>
              <w:rPr>
                <w:rFonts w:hint="eastAsia" w:cs="Times New Roman"/>
                <w:color w:val="auto"/>
                <w:sz w:val="21"/>
                <w:szCs w:val="21"/>
                <w:highlight w:val="none"/>
                <w:lang w:eastAsia="zh-CN"/>
              </w:rPr>
              <w:t>1.</w:t>
            </w:r>
            <w:r>
              <w:rPr>
                <w:rFonts w:hint="default" w:ascii="Times New Roman" w:hAnsi="Times New Roman" w:cs="Times New Roman"/>
                <w:color w:val="auto"/>
                <w:sz w:val="21"/>
                <w:szCs w:val="21"/>
                <w:highlight w:val="none"/>
              </w:rPr>
              <w:t>严格执行各项环境管理制度，保证工程的正常运行；</w:t>
            </w:r>
            <w:bookmarkEnd w:id="6861"/>
            <w:bookmarkEnd w:id="6862"/>
            <w:bookmarkEnd w:id="6863"/>
            <w:bookmarkEnd w:id="6864"/>
            <w:bookmarkEnd w:id="6865"/>
          </w:p>
          <w:p w14:paraId="5E5D8A3C">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66" w:name="_Toc31412"/>
            <w:bookmarkStart w:id="6867" w:name="_Toc1487"/>
            <w:bookmarkStart w:id="6868" w:name="_Toc26227"/>
            <w:bookmarkStart w:id="6869" w:name="_Toc14536"/>
            <w:bookmarkStart w:id="6870" w:name="_Toc31784"/>
            <w:r>
              <w:rPr>
                <w:rFonts w:hint="eastAsia" w:cs="Times New Roman"/>
                <w:color w:val="auto"/>
                <w:sz w:val="21"/>
                <w:szCs w:val="21"/>
                <w:highlight w:val="none"/>
                <w:lang w:eastAsia="zh-CN"/>
              </w:rPr>
              <w:t>2.</w:t>
            </w:r>
            <w:r>
              <w:rPr>
                <w:rFonts w:hint="default" w:ascii="Times New Roman" w:hAnsi="Times New Roman" w:cs="Times New Roman"/>
                <w:color w:val="auto"/>
                <w:sz w:val="21"/>
                <w:szCs w:val="21"/>
                <w:highlight w:val="none"/>
              </w:rPr>
              <w:t>对环保设施定期进行检查、维护，做到勤查、勤记、勤养护，按照监测计划定期组织进行工程污染源监测，对不达标环保设施寻找原因，及时处理；</w:t>
            </w:r>
            <w:bookmarkEnd w:id="6866"/>
            <w:bookmarkEnd w:id="6867"/>
            <w:bookmarkEnd w:id="6868"/>
            <w:bookmarkEnd w:id="6869"/>
            <w:bookmarkEnd w:id="6870"/>
          </w:p>
          <w:p w14:paraId="38838463">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71" w:name="_Toc10060"/>
            <w:bookmarkStart w:id="6872" w:name="_Toc13979"/>
            <w:bookmarkStart w:id="6873" w:name="_Toc20941"/>
            <w:bookmarkStart w:id="6874" w:name="_Toc28610"/>
            <w:bookmarkStart w:id="6875" w:name="_Toc12425"/>
            <w:r>
              <w:rPr>
                <w:rFonts w:hint="eastAsia" w:cs="Times New Roman"/>
                <w:color w:val="auto"/>
                <w:sz w:val="21"/>
                <w:szCs w:val="21"/>
                <w:highlight w:val="none"/>
                <w:lang w:eastAsia="zh-CN"/>
              </w:rPr>
              <w:t>3.</w:t>
            </w:r>
            <w:r>
              <w:rPr>
                <w:rFonts w:hint="default" w:ascii="Times New Roman" w:hAnsi="Times New Roman" w:cs="Times New Roman"/>
                <w:color w:val="auto"/>
                <w:sz w:val="21"/>
                <w:szCs w:val="21"/>
                <w:highlight w:val="none"/>
              </w:rPr>
              <w:t>加强技术培训，组织企业内部之间技术交流，提高业务水平，保持企业内部职工素质稳定；</w:t>
            </w:r>
            <w:bookmarkEnd w:id="6871"/>
            <w:bookmarkEnd w:id="6872"/>
            <w:bookmarkEnd w:id="6873"/>
            <w:bookmarkEnd w:id="6874"/>
            <w:bookmarkEnd w:id="6875"/>
          </w:p>
          <w:p w14:paraId="0025AFEC">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76" w:name="_Toc24241"/>
            <w:bookmarkStart w:id="6877" w:name="_Toc24616"/>
            <w:bookmarkStart w:id="6878" w:name="_Toc27172"/>
            <w:bookmarkStart w:id="6879" w:name="_Toc19398"/>
            <w:bookmarkStart w:id="6880" w:name="_Toc13340"/>
            <w:r>
              <w:rPr>
                <w:rFonts w:hint="eastAsia" w:cs="Times New Roman"/>
                <w:color w:val="auto"/>
                <w:sz w:val="21"/>
                <w:szCs w:val="21"/>
                <w:highlight w:val="none"/>
                <w:lang w:eastAsia="zh-CN"/>
              </w:rPr>
              <w:t>4.</w:t>
            </w:r>
            <w:r>
              <w:rPr>
                <w:rFonts w:hint="default" w:ascii="Times New Roman" w:hAnsi="Times New Roman" w:cs="Times New Roman"/>
                <w:color w:val="auto"/>
                <w:sz w:val="21"/>
                <w:szCs w:val="21"/>
                <w:highlight w:val="none"/>
              </w:rPr>
              <w:t>重视群众监督作用，</w:t>
            </w:r>
            <w:r>
              <w:rPr>
                <w:rFonts w:hint="eastAsia" w:cs="Times New Roman"/>
                <w:color w:val="auto"/>
                <w:sz w:val="21"/>
                <w:szCs w:val="21"/>
                <w:highlight w:val="none"/>
                <w:lang w:eastAsia="zh-CN"/>
              </w:rPr>
              <w:t>增强</w:t>
            </w:r>
            <w:r>
              <w:rPr>
                <w:rFonts w:hint="default" w:ascii="Times New Roman" w:hAnsi="Times New Roman" w:cs="Times New Roman"/>
                <w:color w:val="auto"/>
                <w:sz w:val="21"/>
                <w:szCs w:val="21"/>
                <w:highlight w:val="none"/>
              </w:rPr>
              <w:t>企业职工环境意识，鼓励职工及外部人员对生产状况提出意见，并通过积极吸收宝贵意见，提高企业环境管理水平；</w:t>
            </w:r>
            <w:bookmarkEnd w:id="6876"/>
            <w:bookmarkEnd w:id="6877"/>
            <w:bookmarkEnd w:id="6878"/>
            <w:bookmarkEnd w:id="6879"/>
            <w:bookmarkEnd w:id="6880"/>
          </w:p>
          <w:p w14:paraId="52A5E455">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6881" w:name="_Toc19328"/>
            <w:bookmarkStart w:id="6882" w:name="_Toc31092"/>
            <w:bookmarkStart w:id="6883" w:name="_Toc29253"/>
            <w:bookmarkStart w:id="6884" w:name="_Toc9794"/>
            <w:bookmarkStart w:id="6885" w:name="_Toc218"/>
            <w:r>
              <w:rPr>
                <w:rFonts w:hint="eastAsia" w:cs="Times New Roman"/>
                <w:color w:val="auto"/>
                <w:sz w:val="21"/>
                <w:szCs w:val="21"/>
                <w:highlight w:val="none"/>
                <w:lang w:eastAsia="zh-CN"/>
              </w:rPr>
              <w:t>5.</w:t>
            </w:r>
            <w:r>
              <w:rPr>
                <w:rFonts w:hint="default" w:ascii="Times New Roman" w:hAnsi="Times New Roman" w:cs="Times New Roman"/>
                <w:color w:val="auto"/>
                <w:sz w:val="21"/>
                <w:szCs w:val="21"/>
                <w:highlight w:val="none"/>
              </w:rPr>
              <w:t>积极配合环保部门的检查、验收。</w:t>
            </w:r>
            <w:bookmarkEnd w:id="6881"/>
            <w:bookmarkEnd w:id="6882"/>
            <w:bookmarkEnd w:id="6883"/>
            <w:bookmarkEnd w:id="6884"/>
            <w:bookmarkEnd w:id="6885"/>
          </w:p>
        </w:tc>
      </w:tr>
    </w:tbl>
    <w:p w14:paraId="54D849E4">
      <w:pPr>
        <w:pStyle w:val="4"/>
        <w:bidi w:val="0"/>
        <w:rPr>
          <w:rFonts w:hint="default" w:ascii="Times New Roman" w:hAnsi="Times New Roman" w:cs="Times New Roman"/>
          <w:color w:val="auto"/>
          <w:sz w:val="28"/>
          <w:szCs w:val="28"/>
          <w:highlight w:val="none"/>
          <w:lang w:val="zh-CN"/>
        </w:rPr>
      </w:pPr>
      <w:bookmarkStart w:id="6886" w:name="_Toc18170"/>
      <w:bookmarkStart w:id="6887" w:name="_Toc7979"/>
      <w:bookmarkStart w:id="6888" w:name="_Toc6058"/>
      <w:bookmarkStart w:id="6889" w:name="_Toc11008"/>
      <w:bookmarkStart w:id="6890" w:name="_Toc29966"/>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.2环境监测计划</w:t>
      </w:r>
      <w:bookmarkEnd w:id="6886"/>
      <w:bookmarkEnd w:id="6887"/>
      <w:bookmarkEnd w:id="6888"/>
      <w:bookmarkEnd w:id="6889"/>
      <w:bookmarkEnd w:id="6890"/>
    </w:p>
    <w:p w14:paraId="7709DA21">
      <w:pPr>
        <w:pStyle w:val="6"/>
        <w:bidi w:val="0"/>
        <w:rPr>
          <w:rFonts w:hint="default" w:ascii="Times New Roman" w:hAnsi="Times New Roman" w:cs="Times New Roman"/>
          <w:color w:val="auto"/>
          <w:sz w:val="28"/>
          <w:szCs w:val="28"/>
          <w:highlight w:val="none"/>
          <w:lang w:val="zh-CN"/>
        </w:rPr>
      </w:pPr>
      <w:bookmarkStart w:id="6891" w:name="_Toc29350_WPSOffice_Level2"/>
      <w:bookmarkStart w:id="6892" w:name="_Toc6476"/>
      <w:bookmarkStart w:id="6893" w:name="_Toc15339_WPSOffice_Level2"/>
      <w:bookmarkStart w:id="6894" w:name="_Toc21717"/>
      <w:bookmarkStart w:id="6895" w:name="_Toc6178"/>
      <w:bookmarkStart w:id="6896" w:name="_Toc6512_WPSOffice_Level2"/>
      <w:bookmarkStart w:id="6897" w:name="_Toc17648_WPSOffice_Level2"/>
      <w:bookmarkStart w:id="6898" w:name="_Toc19157"/>
      <w:bookmarkStart w:id="6899" w:name="_Toc2487_WPSOffice_Level2"/>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.2.1监测目的</w:t>
      </w:r>
      <w:bookmarkEnd w:id="6891"/>
      <w:bookmarkEnd w:id="6892"/>
      <w:bookmarkEnd w:id="6893"/>
      <w:bookmarkEnd w:id="6894"/>
      <w:bookmarkEnd w:id="6895"/>
      <w:bookmarkEnd w:id="6896"/>
      <w:bookmarkEnd w:id="6897"/>
      <w:bookmarkEnd w:id="6898"/>
      <w:bookmarkEnd w:id="6899"/>
    </w:p>
    <w:p w14:paraId="70313304">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本工程</w:t>
      </w:r>
      <w:r>
        <w:rPr>
          <w:rFonts w:hint="eastAsia" w:eastAsia="Times New Roman" w:cs="Times New Roman"/>
          <w:color w:val="auto"/>
          <w:sz w:val="24"/>
          <w:szCs w:val="24"/>
          <w:highlight w:val="none"/>
          <w:lang w:val="zh-CN"/>
        </w:rPr>
        <w:t>分段、分期建设</w:t>
      </w:r>
      <w:r>
        <w:rPr>
          <w:rFonts w:hint="default" w:ascii="Times New Roman" w:hAnsi="Times New Roman" w:eastAsia="Times New Roman" w:cs="Times New Roman"/>
          <w:color w:val="auto"/>
          <w:sz w:val="24"/>
          <w:szCs w:val="24"/>
          <w:highlight w:val="none"/>
          <w:lang w:val="zh-CN"/>
        </w:rPr>
        <w:t>，施工期间将对</w:t>
      </w:r>
      <w:r>
        <w:rPr>
          <w:rFonts w:hint="eastAsia" w:cs="Times New Roman"/>
          <w:color w:val="auto"/>
          <w:sz w:val="24"/>
          <w:szCs w:val="24"/>
          <w:highlight w:val="none"/>
          <w:lang w:val="en-US" w:eastAsia="zh-CN"/>
        </w:rPr>
        <w:t>河道两岸</w:t>
      </w:r>
      <w:r>
        <w:rPr>
          <w:rFonts w:hint="default" w:ascii="Times New Roman" w:hAnsi="Times New Roman" w:eastAsia="Times New Roman" w:cs="Times New Roman"/>
          <w:color w:val="auto"/>
          <w:sz w:val="24"/>
          <w:szCs w:val="24"/>
          <w:highlight w:val="none"/>
          <w:lang w:val="zh-CN"/>
        </w:rPr>
        <w:t>生态环境造成一定的影响，为准确掌握施工期的环境动态变化，有必要设置环境监测点，以便连续、系统</w:t>
      </w:r>
      <w:r>
        <w:rPr>
          <w:rFonts w:hint="eastAsia" w:eastAsia="Times New Roman" w:cs="Times New Roman"/>
          <w:color w:val="auto"/>
          <w:sz w:val="24"/>
          <w:szCs w:val="24"/>
          <w:highlight w:val="none"/>
          <w:lang w:val="zh-CN"/>
        </w:rPr>
        <w:t>地</w:t>
      </w:r>
      <w:r>
        <w:rPr>
          <w:rFonts w:hint="default" w:ascii="Times New Roman" w:hAnsi="Times New Roman" w:eastAsia="Times New Roman" w:cs="Times New Roman"/>
          <w:color w:val="auto"/>
          <w:sz w:val="24"/>
          <w:szCs w:val="24"/>
          <w:highlight w:val="none"/>
          <w:lang w:val="zh-CN"/>
        </w:rPr>
        <w:t>观测工程兴建前后环境因子的变化及其对当地生态环境的影响，以验证环境影响评价结论，同时为工程施工期和运行期环境污染控制、环境监理和环境管理提供科学依据。</w:t>
      </w:r>
    </w:p>
    <w:p w14:paraId="7D1B6843">
      <w:pPr>
        <w:pStyle w:val="6"/>
        <w:bidi w:val="0"/>
        <w:rPr>
          <w:rFonts w:hint="default" w:ascii="Times New Roman" w:hAnsi="Times New Roman" w:cs="Times New Roman"/>
          <w:color w:val="auto"/>
          <w:sz w:val="28"/>
          <w:szCs w:val="28"/>
          <w:highlight w:val="none"/>
          <w:lang w:val="zh-CN" w:eastAsia="zh-CN"/>
        </w:rPr>
      </w:pPr>
      <w:bookmarkStart w:id="6900" w:name="_Toc31981_WPSOffice_Level2"/>
      <w:bookmarkStart w:id="6901" w:name="_Toc28359"/>
      <w:bookmarkStart w:id="6902" w:name="_Toc6434_WPSOffice_Level2"/>
      <w:bookmarkStart w:id="6903" w:name="_Toc6863_WPSOffice_Level2"/>
      <w:bookmarkStart w:id="6904" w:name="_Toc27537_WPSOffice_Level2"/>
      <w:bookmarkStart w:id="6905" w:name="_Toc14112"/>
      <w:bookmarkStart w:id="6906" w:name="_Toc10542_WPSOffice_Level2"/>
      <w:bookmarkStart w:id="6907" w:name="_Toc14960"/>
      <w:bookmarkStart w:id="6908" w:name="_Toc1616"/>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eastAsia="zh-CN"/>
        </w:rPr>
        <w:t>.2.2施工期环境监测</w:t>
      </w:r>
      <w:bookmarkEnd w:id="6900"/>
      <w:bookmarkEnd w:id="6901"/>
      <w:bookmarkEnd w:id="6902"/>
      <w:bookmarkEnd w:id="6903"/>
      <w:bookmarkEnd w:id="6904"/>
      <w:bookmarkEnd w:id="6905"/>
      <w:bookmarkEnd w:id="6906"/>
      <w:bookmarkEnd w:id="6907"/>
      <w:bookmarkEnd w:id="6908"/>
    </w:p>
    <w:p w14:paraId="777488AC">
      <w:pPr>
        <w:pStyle w:val="7"/>
        <w:bidi w:val="0"/>
        <w:rPr>
          <w:rFonts w:hint="default" w:ascii="Times New Roman" w:hAnsi="Times New Roman" w:cs="Times New Roman"/>
          <w:color w:val="auto"/>
          <w:sz w:val="28"/>
          <w:szCs w:val="28"/>
          <w:highlight w:val="none"/>
          <w:lang w:val="zh-CN"/>
        </w:rPr>
      </w:pPr>
      <w:bookmarkStart w:id="6909" w:name="_Toc29423_WPSOffice_Level3"/>
      <w:bookmarkStart w:id="6910" w:name="_Toc26397_WPSOffice_Level3"/>
      <w:bookmarkStart w:id="6911" w:name="_Toc21971_WPSOffice_Level3"/>
      <w:bookmarkStart w:id="6912" w:name="_Toc4079_WPSOffice_Level3"/>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.2.2.1</w:t>
      </w:r>
      <w:r>
        <w:rPr>
          <w:rFonts w:hint="eastAsia" w:cs="Times New Roman"/>
          <w:color w:val="auto"/>
          <w:sz w:val="28"/>
          <w:szCs w:val="28"/>
          <w:highlight w:val="none"/>
          <w:lang w:val="zh-CN"/>
        </w:rPr>
        <w:t>地表水</w:t>
      </w:r>
      <w:r>
        <w:rPr>
          <w:rFonts w:hint="default" w:ascii="Times New Roman" w:hAnsi="Times New Roman" w:cs="Times New Roman"/>
          <w:color w:val="auto"/>
          <w:sz w:val="28"/>
          <w:szCs w:val="28"/>
          <w:highlight w:val="none"/>
          <w:lang w:val="zh-CN"/>
        </w:rPr>
        <w:t>监测</w:t>
      </w:r>
      <w:bookmarkEnd w:id="6909"/>
      <w:bookmarkEnd w:id="6910"/>
      <w:bookmarkEnd w:id="6911"/>
      <w:bookmarkEnd w:id="6912"/>
    </w:p>
    <w:p w14:paraId="50112321">
      <w:pPr>
        <w:spacing w:line="360" w:lineRule="auto"/>
        <w:ind w:firstLine="480"/>
        <w:rPr>
          <w:rFonts w:hint="eastAsia" w:eastAsia="Times New Roman" w:cs="Times New Roman"/>
          <w:color w:val="auto"/>
          <w:sz w:val="24"/>
          <w:szCs w:val="24"/>
          <w:highlight w:val="none"/>
          <w:lang w:val="zh-CN"/>
        </w:rPr>
      </w:pPr>
      <w:r>
        <w:rPr>
          <w:rFonts w:hint="eastAsia" w:eastAsia="Times New Roman" w:cs="Times New Roman"/>
          <w:color w:val="auto"/>
          <w:sz w:val="24"/>
          <w:szCs w:val="24"/>
          <w:highlight w:val="none"/>
          <w:lang w:val="zh-CN"/>
        </w:rPr>
        <w:t>（</w:t>
      </w:r>
      <w:r>
        <w:rPr>
          <w:rFonts w:hint="eastAsia" w:eastAsia="宋体" w:cs="Times New Roman"/>
          <w:color w:val="auto"/>
          <w:sz w:val="24"/>
          <w:szCs w:val="24"/>
          <w:highlight w:val="none"/>
          <w:lang w:val="en-US" w:eastAsia="zh-CN"/>
        </w:rPr>
        <w:t>1</w:t>
      </w:r>
      <w:r>
        <w:rPr>
          <w:rFonts w:hint="eastAsia" w:eastAsia="Times New Roman" w:cs="Times New Roman"/>
          <w:color w:val="auto"/>
          <w:sz w:val="24"/>
          <w:szCs w:val="24"/>
          <w:highlight w:val="none"/>
          <w:lang w:val="zh-CN"/>
        </w:rPr>
        <w:t>）水质</w:t>
      </w:r>
    </w:p>
    <w:p w14:paraId="6B085B44">
      <w:pPr>
        <w:spacing w:line="360" w:lineRule="auto"/>
        <w:ind w:firstLine="480"/>
        <w:rPr>
          <w:rFonts w:hint="default" w:ascii="Times New Roman" w:hAnsi="Times New Roman" w:eastAsia="Times New Roman" w:cs="Times New Roman"/>
          <w:color w:val="auto"/>
          <w:sz w:val="24"/>
          <w:szCs w:val="24"/>
          <w:highlight w:val="none"/>
          <w:lang w:val="zh-CN"/>
        </w:rPr>
      </w:pPr>
      <w:r>
        <w:rPr>
          <w:rFonts w:hint="eastAsia" w:eastAsia="Times New Roman" w:cs="Times New Roman"/>
          <w:color w:val="auto"/>
          <w:sz w:val="24"/>
          <w:szCs w:val="24"/>
          <w:highlight w:val="none"/>
          <w:lang w:val="zh-CN"/>
        </w:rPr>
        <w:t>水质</w:t>
      </w:r>
      <w:r>
        <w:rPr>
          <w:rFonts w:hint="default" w:ascii="Times New Roman" w:hAnsi="Times New Roman" w:eastAsia="Times New Roman" w:cs="Times New Roman"/>
          <w:color w:val="auto"/>
          <w:sz w:val="24"/>
          <w:szCs w:val="24"/>
          <w:highlight w:val="none"/>
          <w:lang w:val="zh-CN"/>
        </w:rPr>
        <w:t>监测点位：</w:t>
      </w:r>
      <w:r>
        <w:rPr>
          <w:rFonts w:hint="eastAsia" w:eastAsia="Times New Roman" w:cs="Times New Roman"/>
          <w:color w:val="auto"/>
          <w:sz w:val="24"/>
          <w:szCs w:val="24"/>
          <w:highlight w:val="none"/>
          <w:lang w:val="zh-CN"/>
        </w:rPr>
        <w:t>在茹河小河段、川口河段分别选取一处断面</w:t>
      </w:r>
      <w:r>
        <w:rPr>
          <w:rFonts w:hint="default" w:ascii="Times New Roman" w:hAnsi="Times New Roman" w:eastAsia="Times New Roman" w:cs="Times New Roman"/>
          <w:color w:val="auto"/>
          <w:sz w:val="24"/>
          <w:szCs w:val="24"/>
          <w:highlight w:val="none"/>
          <w:lang w:val="zh-CN"/>
        </w:rPr>
        <w:t>；</w:t>
      </w:r>
    </w:p>
    <w:p w14:paraId="709C806E">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地表水监测因子：水温、pH 值、溶解氧、高锰酸盐指数、化学需氧量、五日生化需氧量、氨氮、总磷、总氮、铜、锌、氟化物、硒、砷、汞、镉、铬（六价）、铅、氰化物、挥发酚、石油类、阴离子表面活性剂、硫化物、粪大肠菌群、透明度。</w:t>
      </w:r>
    </w:p>
    <w:p w14:paraId="15B6CA5B">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监测频率：施工期每年监测1期，共监测2期，每期监测1天，每天取样2次。</w:t>
      </w:r>
    </w:p>
    <w:p w14:paraId="513C5FBB">
      <w:pPr>
        <w:spacing w:line="360" w:lineRule="auto"/>
        <w:ind w:firstLine="480"/>
        <w:rPr>
          <w:rFonts w:hint="eastAsia" w:ascii="Times New Roman" w:hAnsi="Times New Roman" w:eastAsia="Times New Roman" w:cs="Times New Roman"/>
          <w:color w:val="auto"/>
          <w:sz w:val="24"/>
          <w:szCs w:val="24"/>
          <w:highlight w:val="none"/>
          <w:lang w:val="zh-CN" w:eastAsia="zh-CN"/>
        </w:rPr>
      </w:pPr>
      <w:r>
        <w:rPr>
          <w:rFonts w:hint="eastAsia" w:ascii="Times New Roman" w:hAnsi="Times New Roman" w:eastAsia="Times New Roman" w:cs="Times New Roman"/>
          <w:color w:val="auto"/>
          <w:sz w:val="24"/>
          <w:szCs w:val="24"/>
          <w:highlight w:val="none"/>
          <w:lang w:val="zh-CN" w:eastAsia="zh-CN"/>
        </w:rPr>
        <w:t>（</w:t>
      </w:r>
      <w:r>
        <w:rPr>
          <w:rFonts w:hint="eastAsia" w:ascii="Times New Roman" w:hAnsi="Times New Roman" w:eastAsia="Times New Roman" w:cs="Times New Roman"/>
          <w:color w:val="auto"/>
          <w:sz w:val="24"/>
          <w:szCs w:val="24"/>
          <w:highlight w:val="none"/>
          <w:lang w:val="en-US" w:eastAsia="zh-CN"/>
        </w:rPr>
        <w:t>2</w:t>
      </w:r>
      <w:r>
        <w:rPr>
          <w:rFonts w:hint="eastAsia" w:ascii="Times New Roman" w:hAnsi="Times New Roman" w:eastAsia="Times New Roman" w:cs="Times New Roman"/>
          <w:color w:val="auto"/>
          <w:sz w:val="24"/>
          <w:szCs w:val="24"/>
          <w:highlight w:val="none"/>
          <w:lang w:val="zh-CN" w:eastAsia="zh-CN"/>
        </w:rPr>
        <w:t>）水生态</w:t>
      </w:r>
    </w:p>
    <w:p w14:paraId="2F50EAF8">
      <w:pPr>
        <w:spacing w:line="360" w:lineRule="auto"/>
        <w:ind w:firstLine="480"/>
        <w:rPr>
          <w:rFonts w:hint="eastAsia" w:ascii="Times New Roman" w:hAnsi="Times New Roman" w:eastAsia="Times New Roman" w:cs="Times New Roman"/>
          <w:color w:val="auto"/>
          <w:sz w:val="24"/>
          <w:szCs w:val="24"/>
          <w:highlight w:val="none"/>
          <w:lang w:val="zh-CN" w:eastAsia="zh-CN"/>
        </w:rPr>
      </w:pPr>
      <w:r>
        <w:rPr>
          <w:rFonts w:hint="eastAsia" w:ascii="Times New Roman" w:hAnsi="Times New Roman" w:eastAsia="Times New Roman" w:cs="Times New Roman"/>
          <w:color w:val="auto"/>
          <w:sz w:val="24"/>
          <w:szCs w:val="24"/>
          <w:highlight w:val="none"/>
          <w:lang w:val="zh-CN" w:eastAsia="zh-CN"/>
        </w:rPr>
        <w:t>监测点位：工程区河道内；</w:t>
      </w:r>
    </w:p>
    <w:p w14:paraId="315A36A2">
      <w:pPr>
        <w:spacing w:line="360" w:lineRule="auto"/>
        <w:ind w:firstLine="480"/>
        <w:rPr>
          <w:rFonts w:hint="eastAsia" w:ascii="Times New Roman" w:hAnsi="Times New Roman" w:eastAsia="Times New Roman" w:cs="Times New Roman"/>
          <w:color w:val="auto"/>
          <w:sz w:val="24"/>
          <w:szCs w:val="24"/>
          <w:highlight w:val="none"/>
          <w:lang w:val="zh-CN" w:eastAsia="zh-CN"/>
        </w:rPr>
      </w:pPr>
      <w:r>
        <w:rPr>
          <w:rFonts w:hint="eastAsia" w:ascii="Times New Roman" w:hAnsi="Times New Roman" w:eastAsia="Times New Roman" w:cs="Times New Roman"/>
          <w:color w:val="auto"/>
          <w:sz w:val="24"/>
          <w:szCs w:val="24"/>
          <w:highlight w:val="none"/>
          <w:lang w:val="zh-CN" w:eastAsia="zh-CN"/>
        </w:rPr>
        <w:t>监测内容：水生动、植物种类、数量等；</w:t>
      </w:r>
    </w:p>
    <w:p w14:paraId="3BEAE539">
      <w:pPr>
        <w:spacing w:line="360" w:lineRule="auto"/>
        <w:ind w:firstLine="480"/>
        <w:rPr>
          <w:rFonts w:hint="eastAsia" w:ascii="Times New Roman" w:hAnsi="Times New Roman" w:eastAsia="Times New Roman" w:cs="Times New Roman"/>
          <w:color w:val="auto"/>
          <w:sz w:val="24"/>
          <w:szCs w:val="24"/>
          <w:highlight w:val="none"/>
          <w:lang w:val="zh-CN" w:eastAsia="zh-CN"/>
        </w:rPr>
      </w:pPr>
      <w:r>
        <w:rPr>
          <w:rFonts w:hint="eastAsia" w:ascii="Times New Roman" w:hAnsi="Times New Roman" w:eastAsia="Times New Roman" w:cs="Times New Roman"/>
          <w:color w:val="auto"/>
          <w:sz w:val="24"/>
          <w:szCs w:val="24"/>
          <w:highlight w:val="none"/>
          <w:lang w:val="zh-CN" w:eastAsia="zh-CN"/>
        </w:rPr>
        <w:t>监测频次：施工期间监测</w:t>
      </w:r>
      <w:r>
        <w:rPr>
          <w:rFonts w:hint="eastAsia" w:ascii="Times New Roman" w:hAnsi="Times New Roman" w:eastAsia="Times New Roman" w:cs="Times New Roman"/>
          <w:color w:val="auto"/>
          <w:sz w:val="24"/>
          <w:szCs w:val="24"/>
          <w:highlight w:val="none"/>
          <w:lang w:val="en-US" w:eastAsia="zh-CN"/>
        </w:rPr>
        <w:t>1次</w:t>
      </w:r>
      <w:r>
        <w:rPr>
          <w:rFonts w:hint="default" w:ascii="Times New Roman" w:hAnsi="Times New Roman" w:eastAsia="Times New Roman" w:cs="Times New Roman"/>
          <w:color w:val="auto"/>
          <w:sz w:val="24"/>
          <w:szCs w:val="24"/>
          <w:highlight w:val="none"/>
          <w:lang w:val="zh-CN"/>
        </w:rPr>
        <w:t>。</w:t>
      </w:r>
    </w:p>
    <w:p w14:paraId="47AF2345">
      <w:pPr>
        <w:pStyle w:val="7"/>
        <w:bidi w:val="0"/>
        <w:rPr>
          <w:rFonts w:hint="default" w:ascii="Times New Roman" w:hAnsi="Times New Roman" w:cs="Times New Roman"/>
          <w:color w:val="auto"/>
          <w:sz w:val="28"/>
          <w:szCs w:val="28"/>
          <w:highlight w:val="none"/>
          <w:lang w:val="zh-CN"/>
        </w:rPr>
      </w:pPr>
      <w:bookmarkStart w:id="6913" w:name="_Toc14278_WPSOffice_Level3"/>
      <w:bookmarkStart w:id="6914" w:name="_Toc8539_WPSOffice_Level3"/>
      <w:bookmarkStart w:id="6915" w:name="_Toc4846_WPSOffice_Level3"/>
      <w:bookmarkStart w:id="6916" w:name="_Toc25240_WPSOffice_Level3"/>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.2.2.3环境空气监测</w:t>
      </w:r>
      <w:bookmarkEnd w:id="6913"/>
      <w:bookmarkEnd w:id="6914"/>
      <w:bookmarkEnd w:id="6915"/>
      <w:bookmarkEnd w:id="6916"/>
    </w:p>
    <w:p w14:paraId="722697C8">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监测点位：</w:t>
      </w:r>
      <w:r>
        <w:rPr>
          <w:rFonts w:hint="default" w:ascii="Times New Roman" w:hAnsi="Times New Roman" w:eastAsia="宋体" w:cs="Times New Roman"/>
          <w:color w:val="auto"/>
          <w:sz w:val="24"/>
          <w:szCs w:val="24"/>
          <w:highlight w:val="none"/>
        </w:rPr>
        <w:t>施工生产区</w:t>
      </w:r>
      <w:r>
        <w:rPr>
          <w:rFonts w:hint="default" w:ascii="Times New Roman" w:hAnsi="Times New Roman" w:eastAsia="Times New Roman" w:cs="Times New Roman"/>
          <w:color w:val="auto"/>
          <w:sz w:val="24"/>
          <w:szCs w:val="24"/>
          <w:highlight w:val="none"/>
          <w:lang w:val="zh-CN"/>
        </w:rPr>
        <w:t>各设置1个监测点，共</w:t>
      </w:r>
      <w:r>
        <w:rPr>
          <w:rFonts w:hint="eastAsia" w:eastAsia="宋体" w:cs="Times New Roman"/>
          <w:color w:val="auto"/>
          <w:sz w:val="24"/>
          <w:szCs w:val="24"/>
          <w:highlight w:val="none"/>
          <w:lang w:val="en-US" w:eastAsia="zh-CN"/>
        </w:rPr>
        <w:t>3</w:t>
      </w:r>
      <w:r>
        <w:rPr>
          <w:rFonts w:hint="default" w:ascii="Times New Roman" w:hAnsi="Times New Roman" w:eastAsia="Times New Roman" w:cs="Times New Roman"/>
          <w:color w:val="auto"/>
          <w:sz w:val="24"/>
          <w:szCs w:val="24"/>
          <w:highlight w:val="none"/>
          <w:lang w:val="zh-CN"/>
        </w:rPr>
        <w:t>个监测点；</w:t>
      </w:r>
    </w:p>
    <w:p w14:paraId="0720E6EA">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监测因子：TSP，同步实测气温、风速和风向；</w:t>
      </w:r>
    </w:p>
    <w:p w14:paraId="5DFE85F8">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监测频率：每年监测1期，共监测2期，每期监测2天，每天取样</w:t>
      </w:r>
      <w:r>
        <w:rPr>
          <w:rFonts w:hint="default" w:ascii="Times New Roman" w:hAnsi="Times New Roman" w:eastAsia="宋体" w:cs="Times New Roman"/>
          <w:color w:val="auto"/>
          <w:sz w:val="24"/>
          <w:szCs w:val="24"/>
          <w:highlight w:val="none"/>
        </w:rPr>
        <w:t>3</w:t>
      </w:r>
      <w:r>
        <w:rPr>
          <w:rFonts w:hint="default" w:ascii="Times New Roman" w:hAnsi="Times New Roman" w:eastAsia="Times New Roman" w:cs="Times New Roman"/>
          <w:color w:val="auto"/>
          <w:sz w:val="24"/>
          <w:szCs w:val="24"/>
          <w:highlight w:val="none"/>
          <w:lang w:val="zh-CN"/>
        </w:rPr>
        <w:t>次。</w:t>
      </w:r>
    </w:p>
    <w:p w14:paraId="25161A24">
      <w:pPr>
        <w:pStyle w:val="7"/>
        <w:bidi w:val="0"/>
        <w:rPr>
          <w:rFonts w:hint="default" w:ascii="Times New Roman" w:hAnsi="Times New Roman" w:cs="Times New Roman"/>
          <w:color w:val="auto"/>
          <w:sz w:val="28"/>
          <w:szCs w:val="28"/>
          <w:highlight w:val="none"/>
          <w:lang w:val="zh-CN"/>
        </w:rPr>
      </w:pPr>
      <w:bookmarkStart w:id="6917" w:name="_Toc1921_WPSOffice_Level3"/>
      <w:bookmarkStart w:id="6918" w:name="_Toc17506_WPSOffice_Level3"/>
      <w:bookmarkStart w:id="6919" w:name="_Toc18623_WPSOffice_Level3"/>
      <w:bookmarkStart w:id="6920" w:name="_Toc16476_WPSOffice_Level3"/>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.2.2.4噪声监测</w:t>
      </w:r>
      <w:bookmarkEnd w:id="6917"/>
      <w:bookmarkEnd w:id="6918"/>
      <w:bookmarkEnd w:id="6919"/>
      <w:bookmarkEnd w:id="6920"/>
    </w:p>
    <w:p w14:paraId="253B5AAF">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监测点位：</w:t>
      </w:r>
      <w:r>
        <w:rPr>
          <w:rFonts w:hint="default" w:ascii="Times New Roman" w:hAnsi="Times New Roman" w:eastAsia="宋体" w:cs="Times New Roman"/>
          <w:color w:val="auto"/>
          <w:sz w:val="24"/>
          <w:szCs w:val="24"/>
          <w:highlight w:val="none"/>
        </w:rPr>
        <w:t>施工期声环境影响村庄</w:t>
      </w:r>
      <w:r>
        <w:rPr>
          <w:rFonts w:hint="default" w:ascii="Times New Roman" w:hAnsi="Times New Roman" w:eastAsia="宋体" w:cs="Times New Roman"/>
          <w:color w:val="auto"/>
          <w:sz w:val="24"/>
          <w:szCs w:val="24"/>
          <w:highlight w:val="none"/>
          <w:lang w:val="en-US" w:eastAsia="zh-CN"/>
        </w:rPr>
        <w:t>选取4</w:t>
      </w:r>
      <w:r>
        <w:rPr>
          <w:rFonts w:hint="default" w:ascii="Times New Roman" w:hAnsi="Times New Roman" w:eastAsia="宋体" w:cs="Times New Roman"/>
          <w:color w:val="auto"/>
          <w:sz w:val="24"/>
          <w:szCs w:val="24"/>
          <w:highlight w:val="none"/>
        </w:rPr>
        <w:t>个</w:t>
      </w:r>
      <w:r>
        <w:rPr>
          <w:rFonts w:hint="default" w:ascii="Times New Roman" w:hAnsi="Times New Roman" w:eastAsia="宋体" w:cs="Times New Roman"/>
          <w:color w:val="auto"/>
          <w:sz w:val="24"/>
          <w:szCs w:val="24"/>
          <w:highlight w:val="none"/>
          <w:lang w:val="en-US" w:eastAsia="zh-CN"/>
        </w:rPr>
        <w:t>代表性村庄</w:t>
      </w:r>
      <w:r>
        <w:rPr>
          <w:rFonts w:hint="default" w:ascii="Times New Roman" w:hAnsi="Times New Roman" w:eastAsia="宋体" w:cs="Times New Roman"/>
          <w:color w:val="auto"/>
          <w:sz w:val="24"/>
          <w:szCs w:val="24"/>
          <w:highlight w:val="none"/>
        </w:rPr>
        <w:t>、施工生产区</w:t>
      </w:r>
      <w:r>
        <w:rPr>
          <w:rFonts w:hint="default" w:ascii="Times New Roman" w:hAnsi="Times New Roman" w:eastAsia="Times New Roman" w:cs="Times New Roman"/>
          <w:color w:val="auto"/>
          <w:sz w:val="24"/>
          <w:szCs w:val="24"/>
          <w:highlight w:val="none"/>
          <w:lang w:val="zh-CN"/>
        </w:rPr>
        <w:t>设置</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Times New Roman" w:cs="Times New Roman"/>
          <w:color w:val="auto"/>
          <w:sz w:val="24"/>
          <w:szCs w:val="24"/>
          <w:highlight w:val="none"/>
          <w:lang w:val="zh-CN"/>
        </w:rPr>
        <w:t>个监测点，共</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Times New Roman" w:cs="Times New Roman"/>
          <w:color w:val="auto"/>
          <w:sz w:val="24"/>
          <w:szCs w:val="24"/>
          <w:highlight w:val="none"/>
          <w:lang w:val="zh-CN"/>
        </w:rPr>
        <w:t>个监测点；</w:t>
      </w:r>
    </w:p>
    <w:p w14:paraId="5ABB4A7F">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监测因子：等效连续A声级；</w:t>
      </w:r>
    </w:p>
    <w:p w14:paraId="1A5420DA">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监测频次：每年监测1期，共监测2期，每期监测1天，昼夜各监测1次。</w:t>
      </w:r>
    </w:p>
    <w:p w14:paraId="445C8433">
      <w:pPr>
        <w:pStyle w:val="6"/>
        <w:bidi w:val="0"/>
        <w:rPr>
          <w:rFonts w:hint="default" w:ascii="Times New Roman" w:hAnsi="Times New Roman" w:cs="Times New Roman"/>
          <w:color w:val="auto"/>
          <w:sz w:val="28"/>
          <w:szCs w:val="28"/>
          <w:highlight w:val="none"/>
          <w:lang w:val="zh-CN"/>
        </w:rPr>
      </w:pPr>
      <w:bookmarkStart w:id="6921" w:name="_Toc31605_WPSOffice_Level2"/>
      <w:bookmarkStart w:id="6922" w:name="_Toc11802_WPSOffice_Level2"/>
      <w:bookmarkStart w:id="6923" w:name="_Toc10165_WPSOffice_Level2"/>
      <w:bookmarkStart w:id="6924" w:name="_Toc13398"/>
      <w:bookmarkStart w:id="6925" w:name="_Toc25429_WPSOffice_Level2"/>
      <w:bookmarkStart w:id="6926" w:name="_Toc3245"/>
      <w:bookmarkStart w:id="6927" w:name="_Toc22372"/>
      <w:bookmarkStart w:id="6928" w:name="_Toc18681"/>
      <w:bookmarkStart w:id="6929" w:name="_Toc18170_WPSOffice_Level2"/>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.2.3运行期环境监测</w:t>
      </w:r>
      <w:bookmarkEnd w:id="6921"/>
      <w:bookmarkEnd w:id="6922"/>
      <w:bookmarkEnd w:id="6923"/>
      <w:bookmarkEnd w:id="6924"/>
      <w:bookmarkEnd w:id="6925"/>
      <w:bookmarkEnd w:id="6926"/>
      <w:bookmarkEnd w:id="6927"/>
      <w:bookmarkEnd w:id="6928"/>
      <w:bookmarkEnd w:id="6929"/>
    </w:p>
    <w:p w14:paraId="6BD927C1">
      <w:pPr>
        <w:pStyle w:val="7"/>
        <w:bidi w:val="0"/>
        <w:rPr>
          <w:rFonts w:hint="default" w:ascii="Times New Roman" w:hAnsi="Times New Roman" w:cs="Times New Roman"/>
          <w:color w:val="auto"/>
          <w:sz w:val="28"/>
          <w:szCs w:val="28"/>
          <w:highlight w:val="none"/>
          <w:lang w:val="zh-CN"/>
        </w:rPr>
      </w:pPr>
      <w:bookmarkStart w:id="6930" w:name="_Toc1935_WPSOffice_Level3"/>
      <w:bookmarkStart w:id="6931" w:name="_Toc20954_WPSOffice_Level3"/>
      <w:bookmarkStart w:id="6932" w:name="_Toc17997_WPSOffice_Level3"/>
      <w:bookmarkStart w:id="6933" w:name="_Toc27513_WPSOffice_Level3"/>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.2.3.</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zh-CN"/>
        </w:rPr>
        <w:t>生态监测</w:t>
      </w:r>
      <w:bookmarkEnd w:id="6930"/>
      <w:bookmarkEnd w:id="6931"/>
      <w:bookmarkEnd w:id="6932"/>
      <w:bookmarkEnd w:id="6933"/>
    </w:p>
    <w:p w14:paraId="1F21DFBC">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主要了解工程建设前后评价区生物量及生物多样性变化情况，并根据调查情况，对工程进行有针对性</w:t>
      </w:r>
      <w:r>
        <w:rPr>
          <w:rFonts w:hint="eastAsia" w:eastAsia="Times New Roman" w:cs="Times New Roman"/>
          <w:color w:val="auto"/>
          <w:sz w:val="24"/>
          <w:szCs w:val="24"/>
          <w:highlight w:val="none"/>
          <w:lang w:val="zh-CN"/>
        </w:rPr>
        <w:t>地</w:t>
      </w:r>
      <w:r>
        <w:rPr>
          <w:rFonts w:hint="default" w:ascii="Times New Roman" w:hAnsi="Times New Roman" w:eastAsia="Times New Roman" w:cs="Times New Roman"/>
          <w:color w:val="auto"/>
          <w:sz w:val="24"/>
          <w:szCs w:val="24"/>
          <w:highlight w:val="none"/>
          <w:lang w:val="zh-CN"/>
        </w:rPr>
        <w:t>调整或追加必要的生态环保措施，以减轻工程生态影响。</w:t>
      </w:r>
    </w:p>
    <w:p w14:paraId="49001F1A">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陆生</w:t>
      </w:r>
      <w:r>
        <w:rPr>
          <w:rFonts w:hint="default" w:ascii="Times New Roman" w:hAnsi="Times New Roman" w:eastAsia="宋体" w:cs="Times New Roman"/>
          <w:color w:val="auto"/>
          <w:sz w:val="24"/>
          <w:szCs w:val="24"/>
          <w:highlight w:val="none"/>
          <w:lang w:val="en-US" w:eastAsia="zh-CN"/>
        </w:rPr>
        <w:t>动、植物</w:t>
      </w:r>
      <w:r>
        <w:rPr>
          <w:rFonts w:hint="default" w:ascii="Times New Roman" w:hAnsi="Times New Roman" w:eastAsia="Times New Roman" w:cs="Times New Roman"/>
          <w:color w:val="auto"/>
          <w:sz w:val="24"/>
          <w:szCs w:val="24"/>
          <w:highlight w:val="none"/>
          <w:lang w:val="zh-CN"/>
        </w:rPr>
        <w:t>资源监测</w:t>
      </w:r>
    </w:p>
    <w:p w14:paraId="1ECE8BD8">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监测点位：</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评价区</w:t>
      </w:r>
      <w:r>
        <w:rPr>
          <w:rFonts w:hint="default" w:ascii="Times New Roman" w:hAnsi="Times New Roman" w:eastAsia="宋体" w:cs="Times New Roman"/>
          <w:color w:val="auto"/>
          <w:sz w:val="24"/>
          <w:szCs w:val="24"/>
          <w:highlight w:val="none"/>
          <w:lang w:val="en-US" w:eastAsia="zh-CN"/>
        </w:rPr>
        <w:t>所涉生态红线范围内分别</w:t>
      </w:r>
      <w:r>
        <w:rPr>
          <w:rFonts w:hint="default" w:ascii="Times New Roman" w:hAnsi="Times New Roman" w:eastAsia="Times New Roman" w:cs="Times New Roman"/>
          <w:color w:val="auto"/>
          <w:sz w:val="24"/>
          <w:szCs w:val="24"/>
          <w:highlight w:val="none"/>
          <w:lang w:val="zh-CN"/>
        </w:rPr>
        <w:t>设置</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Times New Roman" w:cs="Times New Roman"/>
          <w:color w:val="auto"/>
          <w:sz w:val="24"/>
          <w:szCs w:val="24"/>
          <w:highlight w:val="none"/>
          <w:lang w:val="zh-CN"/>
        </w:rPr>
        <w:t>个</w:t>
      </w:r>
      <w:r>
        <w:rPr>
          <w:rFonts w:hint="default" w:ascii="Times New Roman" w:hAnsi="Times New Roman" w:eastAsia="宋体" w:cs="Times New Roman"/>
          <w:color w:val="auto"/>
          <w:sz w:val="24"/>
          <w:szCs w:val="24"/>
          <w:highlight w:val="none"/>
          <w:lang w:val="en-US" w:eastAsia="zh-CN"/>
        </w:rPr>
        <w:t>监测点</w:t>
      </w:r>
      <w:r>
        <w:rPr>
          <w:rFonts w:hint="default" w:ascii="Times New Roman" w:hAnsi="Times New Roman" w:eastAsia="Times New Roman" w:cs="Times New Roman"/>
          <w:color w:val="auto"/>
          <w:sz w:val="24"/>
          <w:szCs w:val="24"/>
          <w:highlight w:val="none"/>
          <w:lang w:val="zh-CN"/>
        </w:rPr>
        <w:t>。</w:t>
      </w:r>
    </w:p>
    <w:p w14:paraId="1292C8B6">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①植物监测</w:t>
      </w:r>
    </w:p>
    <w:p w14:paraId="704265F3">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监测内容：植物物种、植物群落、植被类型、种植密度等。</w:t>
      </w:r>
    </w:p>
    <w:p w14:paraId="6734E2DA">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监测时段、频率：施工前监测一次，施工建设期每年监测一次。</w:t>
      </w:r>
    </w:p>
    <w:p w14:paraId="75F2113F">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②野生动物监测</w:t>
      </w:r>
    </w:p>
    <w:p w14:paraId="19CD7B85">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监测内容：野生动物的种类、数量、密度进行定点观测，重点监测施工区域及周边500m范围内动物的种类、数量等指标。</w:t>
      </w:r>
    </w:p>
    <w:p w14:paraId="707030A8">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监测时段、频率：施工前监测一次，施工</w:t>
      </w:r>
      <w:r>
        <w:rPr>
          <w:rFonts w:hint="eastAsia" w:eastAsia="Times New Roman" w:cs="Times New Roman"/>
          <w:color w:val="auto"/>
          <w:sz w:val="24"/>
          <w:szCs w:val="24"/>
          <w:highlight w:val="none"/>
          <w:lang w:val="zh-CN"/>
        </w:rPr>
        <w:t>建设期</w:t>
      </w:r>
      <w:r>
        <w:rPr>
          <w:rFonts w:hint="default" w:ascii="Times New Roman" w:hAnsi="Times New Roman" w:eastAsia="Times New Roman" w:cs="Times New Roman"/>
          <w:color w:val="auto"/>
          <w:sz w:val="24"/>
          <w:szCs w:val="24"/>
          <w:highlight w:val="none"/>
          <w:lang w:val="zh-CN"/>
        </w:rPr>
        <w:t>每年监测一次。</w:t>
      </w:r>
    </w:p>
    <w:p w14:paraId="12D09372">
      <w:pPr>
        <w:spacing w:line="360" w:lineRule="auto"/>
        <w:ind w:firstLine="480"/>
        <w:rPr>
          <w:rFonts w:hint="default" w:eastAsia="宋体" w:cs="Times New Roman"/>
          <w:color w:val="auto"/>
          <w:sz w:val="24"/>
          <w:szCs w:val="24"/>
          <w:highlight w:val="none"/>
          <w:lang w:val="zh-CN" w:eastAsia="zh-CN"/>
        </w:rPr>
      </w:pPr>
      <w:r>
        <w:rPr>
          <w:rFonts w:hint="eastAsia" w:eastAsia="宋体" w:cs="Times New Roman"/>
          <w:color w:val="auto"/>
          <w:sz w:val="24"/>
          <w:szCs w:val="24"/>
          <w:highlight w:val="none"/>
          <w:lang w:val="zh-CN" w:eastAsia="zh-CN"/>
        </w:rPr>
        <w:t>（</w:t>
      </w:r>
      <w:r>
        <w:rPr>
          <w:rFonts w:hint="eastAsia" w:eastAsia="宋体" w:cs="Times New Roman"/>
          <w:color w:val="auto"/>
          <w:sz w:val="24"/>
          <w:szCs w:val="24"/>
          <w:highlight w:val="none"/>
          <w:lang w:val="en-US" w:eastAsia="zh-CN"/>
        </w:rPr>
        <w:t>2</w:t>
      </w:r>
      <w:r>
        <w:rPr>
          <w:rFonts w:hint="eastAsia" w:eastAsia="宋体" w:cs="Times New Roman"/>
          <w:color w:val="auto"/>
          <w:sz w:val="24"/>
          <w:szCs w:val="24"/>
          <w:highlight w:val="none"/>
          <w:lang w:val="zh-CN" w:eastAsia="zh-CN"/>
        </w:rPr>
        <w:t>）水生</w:t>
      </w:r>
      <w:r>
        <w:rPr>
          <w:rFonts w:hint="default" w:eastAsia="宋体" w:cs="Times New Roman"/>
          <w:color w:val="auto"/>
          <w:sz w:val="24"/>
          <w:szCs w:val="24"/>
          <w:highlight w:val="none"/>
          <w:lang w:val="en-US" w:eastAsia="zh-CN"/>
        </w:rPr>
        <w:t>动、植物</w:t>
      </w:r>
      <w:r>
        <w:rPr>
          <w:rFonts w:hint="default" w:eastAsia="宋体" w:cs="Times New Roman"/>
          <w:color w:val="auto"/>
          <w:sz w:val="24"/>
          <w:szCs w:val="24"/>
          <w:highlight w:val="none"/>
          <w:lang w:val="zh-CN" w:eastAsia="zh-CN"/>
        </w:rPr>
        <w:t>资源监测</w:t>
      </w:r>
    </w:p>
    <w:p w14:paraId="0BB705CD">
      <w:pPr>
        <w:spacing w:line="360" w:lineRule="auto"/>
        <w:ind w:firstLine="480"/>
        <w:rPr>
          <w:rFonts w:hint="eastAsia" w:ascii="Times New Roman" w:hAnsi="Times New Roman" w:eastAsia="Times New Roman" w:cs="Times New Roman"/>
          <w:color w:val="auto"/>
          <w:sz w:val="24"/>
          <w:szCs w:val="24"/>
          <w:highlight w:val="none"/>
          <w:lang w:val="zh-CN" w:eastAsia="zh-CN"/>
        </w:rPr>
      </w:pPr>
      <w:bookmarkStart w:id="6934" w:name="_Toc25942"/>
      <w:bookmarkStart w:id="6935" w:name="_Toc2671"/>
      <w:bookmarkStart w:id="6936" w:name="_Toc23605"/>
      <w:bookmarkStart w:id="6937" w:name="_Toc14800"/>
      <w:bookmarkStart w:id="6938" w:name="_Toc23009"/>
      <w:r>
        <w:rPr>
          <w:rFonts w:hint="eastAsia" w:ascii="Times New Roman" w:hAnsi="Times New Roman" w:eastAsia="Times New Roman" w:cs="Times New Roman"/>
          <w:color w:val="auto"/>
          <w:sz w:val="24"/>
          <w:szCs w:val="24"/>
          <w:highlight w:val="none"/>
          <w:lang w:val="zh-CN" w:eastAsia="zh-CN"/>
        </w:rPr>
        <w:t>监测点位：工程区河道内；</w:t>
      </w:r>
    </w:p>
    <w:p w14:paraId="1836C21F">
      <w:pPr>
        <w:spacing w:line="360" w:lineRule="auto"/>
        <w:ind w:firstLine="480"/>
        <w:rPr>
          <w:rFonts w:hint="eastAsia" w:ascii="Times New Roman" w:hAnsi="Times New Roman" w:eastAsia="Times New Roman" w:cs="Times New Roman"/>
          <w:color w:val="auto"/>
          <w:sz w:val="24"/>
          <w:szCs w:val="24"/>
          <w:highlight w:val="none"/>
          <w:lang w:val="zh-CN" w:eastAsia="zh-CN"/>
        </w:rPr>
      </w:pPr>
      <w:r>
        <w:rPr>
          <w:rFonts w:hint="eastAsia" w:ascii="Times New Roman" w:hAnsi="Times New Roman" w:eastAsia="Times New Roman" w:cs="Times New Roman"/>
          <w:color w:val="auto"/>
          <w:sz w:val="24"/>
          <w:szCs w:val="24"/>
          <w:highlight w:val="none"/>
          <w:lang w:val="zh-CN" w:eastAsia="zh-CN"/>
        </w:rPr>
        <w:t>监测内容：水生动、植物种类、数量等；</w:t>
      </w:r>
    </w:p>
    <w:p w14:paraId="53BD00D8">
      <w:pPr>
        <w:spacing w:line="360" w:lineRule="auto"/>
        <w:ind w:firstLine="480"/>
        <w:rPr>
          <w:rFonts w:hint="eastAsia" w:ascii="Times New Roman" w:hAnsi="Times New Roman" w:eastAsia="Times New Roman" w:cs="Times New Roman"/>
          <w:color w:val="auto"/>
          <w:sz w:val="24"/>
          <w:szCs w:val="24"/>
          <w:highlight w:val="none"/>
          <w:lang w:val="zh-CN" w:eastAsia="zh-CN"/>
        </w:rPr>
      </w:pPr>
      <w:r>
        <w:rPr>
          <w:rFonts w:hint="eastAsia" w:ascii="Times New Roman" w:hAnsi="Times New Roman" w:eastAsia="Times New Roman" w:cs="Times New Roman"/>
          <w:color w:val="auto"/>
          <w:sz w:val="24"/>
          <w:szCs w:val="24"/>
          <w:highlight w:val="none"/>
          <w:lang w:val="zh-CN" w:eastAsia="zh-CN"/>
        </w:rPr>
        <w:t>监测频次：施工期间监测</w:t>
      </w:r>
      <w:r>
        <w:rPr>
          <w:rFonts w:hint="eastAsia" w:ascii="Times New Roman" w:hAnsi="Times New Roman" w:eastAsia="Times New Roman" w:cs="Times New Roman"/>
          <w:color w:val="auto"/>
          <w:sz w:val="24"/>
          <w:szCs w:val="24"/>
          <w:highlight w:val="none"/>
          <w:lang w:val="en-US" w:eastAsia="zh-CN"/>
        </w:rPr>
        <w:t>1次</w:t>
      </w:r>
      <w:r>
        <w:rPr>
          <w:rFonts w:hint="default" w:ascii="Times New Roman" w:hAnsi="Times New Roman" w:eastAsia="Times New Roman" w:cs="Times New Roman"/>
          <w:color w:val="auto"/>
          <w:sz w:val="24"/>
          <w:szCs w:val="24"/>
          <w:highlight w:val="none"/>
          <w:lang w:val="zh-CN"/>
        </w:rPr>
        <w:t>。</w:t>
      </w:r>
    </w:p>
    <w:p w14:paraId="7FBEE677">
      <w:pPr>
        <w:pStyle w:val="4"/>
        <w:bidi w:val="0"/>
        <w:rPr>
          <w:rFonts w:hint="default" w:ascii="Times New Roman" w:hAnsi="Times New Roman" w:cs="Times New Roman"/>
          <w:color w:val="auto"/>
          <w:sz w:val="28"/>
          <w:szCs w:val="28"/>
          <w:highlight w:val="none"/>
          <w:lang w:val="zh-CN"/>
        </w:rPr>
      </w:pPr>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.3环境信息公开</w:t>
      </w:r>
      <w:bookmarkEnd w:id="6934"/>
      <w:bookmarkEnd w:id="6935"/>
      <w:bookmarkEnd w:id="6936"/>
      <w:bookmarkEnd w:id="6937"/>
      <w:bookmarkEnd w:id="6938"/>
    </w:p>
    <w:p w14:paraId="69A9FF6B">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根据《建设项目环境影响评价信息公开机制方案》（环发</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15</w:t>
      </w:r>
      <w:r>
        <w:rPr>
          <w:rFonts w:hint="default" w:ascii="Times New Roman" w:hAnsi="Times New Roman" w:cs="Times New Roman" w:eastAsiaTheme="minorEastAsia"/>
          <w:color w:val="auto"/>
          <w:sz w:val="24"/>
          <w:szCs w:val="24"/>
          <w:highlight w:val="none"/>
        </w:rPr>
        <w:t>〕</w:t>
      </w:r>
      <w:r>
        <w:rPr>
          <w:rFonts w:hint="default" w:ascii="Times New Roman" w:hAnsi="Times New Roman" w:eastAsia="Times New Roman" w:cs="Times New Roman"/>
          <w:color w:val="auto"/>
          <w:sz w:val="24"/>
          <w:szCs w:val="24"/>
          <w:highlight w:val="none"/>
          <w:lang w:val="zh-CN"/>
        </w:rPr>
        <w:t>162号），建设单位是建设项目选址、建设、运营全过程环境信息公开的主体，是建设项目环境影响报告书（表）相关信息和审批后环境保护措施落实情况公开的主体。因此，建设单位应按要求落实环境信息公开相关要求。</w:t>
      </w:r>
    </w:p>
    <w:p w14:paraId="0C872BFD">
      <w:pPr>
        <w:pStyle w:val="6"/>
        <w:bidi w:val="0"/>
        <w:rPr>
          <w:rFonts w:hint="default" w:ascii="Times New Roman" w:hAnsi="Times New Roman" w:cs="Times New Roman"/>
          <w:color w:val="auto"/>
          <w:sz w:val="28"/>
          <w:szCs w:val="28"/>
          <w:highlight w:val="none"/>
          <w:lang w:val="zh-CN"/>
        </w:rPr>
      </w:pPr>
      <w:bookmarkStart w:id="6939" w:name="_Toc28937_WPSOffice_Level2"/>
      <w:bookmarkStart w:id="6940" w:name="_Toc30580"/>
      <w:bookmarkStart w:id="6941" w:name="_Toc5515"/>
      <w:bookmarkStart w:id="6942" w:name="_Toc20234_WPSOffice_Level2"/>
      <w:bookmarkStart w:id="6943" w:name="_Toc13618_WPSOffice_Level2"/>
      <w:bookmarkStart w:id="6944" w:name="_Toc24895_WPSOffice_Level2"/>
      <w:bookmarkStart w:id="6945" w:name="_Toc5519_WPSOffice_Level2"/>
      <w:bookmarkStart w:id="6946" w:name="_Toc1465"/>
      <w:bookmarkStart w:id="6947" w:name="_Toc20094"/>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.3.1环评信息公开</w:t>
      </w:r>
      <w:bookmarkEnd w:id="6939"/>
      <w:bookmarkEnd w:id="6940"/>
      <w:bookmarkEnd w:id="6941"/>
      <w:bookmarkEnd w:id="6942"/>
      <w:bookmarkEnd w:id="6943"/>
      <w:bookmarkEnd w:id="6944"/>
      <w:bookmarkEnd w:id="6945"/>
      <w:bookmarkEnd w:id="6946"/>
      <w:bookmarkEnd w:id="6947"/>
    </w:p>
    <w:p w14:paraId="797305D1">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根据建设项目环评公众参与相关规定，建设单位已在当地网络及报纸公开了本工程的选址、建设内容、污染防治措施、主要环境影响及公众参与途径等内容，并对本工程环境影响报告书进行了全本公示。</w:t>
      </w:r>
    </w:p>
    <w:p w14:paraId="310F7A60">
      <w:pPr>
        <w:pStyle w:val="6"/>
        <w:bidi w:val="0"/>
        <w:rPr>
          <w:rFonts w:hint="default" w:ascii="Times New Roman" w:hAnsi="Times New Roman" w:cs="Times New Roman"/>
          <w:color w:val="auto"/>
          <w:sz w:val="28"/>
          <w:szCs w:val="28"/>
          <w:highlight w:val="none"/>
          <w:lang w:val="zh-CN"/>
        </w:rPr>
      </w:pPr>
      <w:bookmarkStart w:id="6948" w:name="_Toc24095_WPSOffice_Level2"/>
      <w:bookmarkStart w:id="6949" w:name="_Toc26827_WPSOffice_Level2"/>
      <w:bookmarkStart w:id="6950" w:name="_Toc24653_WPSOffice_Level2"/>
      <w:bookmarkStart w:id="6951" w:name="_Toc7698"/>
      <w:bookmarkStart w:id="6952" w:name="_Toc9929"/>
      <w:bookmarkStart w:id="6953" w:name="_Toc4034_WPSOffice_Level2"/>
      <w:bookmarkStart w:id="6954" w:name="_Toc9242"/>
      <w:bookmarkStart w:id="6955" w:name="_Toc23461_WPSOffice_Level2"/>
      <w:bookmarkStart w:id="6956" w:name="_Toc8894"/>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.3.2项目建设信息公开</w:t>
      </w:r>
      <w:bookmarkEnd w:id="6948"/>
      <w:bookmarkEnd w:id="6949"/>
      <w:bookmarkEnd w:id="6950"/>
      <w:bookmarkEnd w:id="6951"/>
      <w:bookmarkEnd w:id="6952"/>
      <w:bookmarkEnd w:id="6953"/>
      <w:bookmarkEnd w:id="6954"/>
      <w:bookmarkEnd w:id="6955"/>
      <w:bookmarkEnd w:id="6956"/>
    </w:p>
    <w:p w14:paraId="32C82BF9">
      <w:pPr>
        <w:spacing w:line="360" w:lineRule="auto"/>
        <w:ind w:firstLine="480"/>
        <w:rPr>
          <w:rFonts w:hint="default" w:ascii="Times New Roman" w:hAnsi="Times New Roman" w:eastAsia="Times New Roman" w:cs="Times New Roman"/>
          <w:color w:val="auto"/>
          <w:sz w:val="24"/>
          <w:szCs w:val="24"/>
          <w:highlight w:val="none"/>
          <w:lang w:val="zh-CN"/>
        </w:rPr>
      </w:pPr>
      <w:bookmarkStart w:id="6957" w:name="_Toc16669_WPSOffice_Level3"/>
      <w:bookmarkStart w:id="6958" w:name="_Toc6512_WPSOffice_Level3"/>
      <w:bookmarkStart w:id="6959" w:name="_Toc2749_WPSOffice_Level3"/>
      <w:bookmarkStart w:id="6960" w:name="_Toc3306_WPSOffice_Level3"/>
      <w:r>
        <w:rPr>
          <w:rFonts w:hint="default" w:ascii="Times New Roman" w:hAnsi="Times New Roman" w:eastAsia="Times New Roman" w:cs="Times New Roman"/>
          <w:color w:val="auto"/>
          <w:sz w:val="24"/>
          <w:szCs w:val="24"/>
          <w:highlight w:val="none"/>
          <w:lang w:val="zh-CN"/>
        </w:rPr>
        <w:t>（1）开工前的信息公开</w:t>
      </w:r>
      <w:bookmarkEnd w:id="6957"/>
      <w:bookmarkEnd w:id="6958"/>
      <w:bookmarkEnd w:id="6959"/>
      <w:bookmarkEnd w:id="6960"/>
    </w:p>
    <w:p w14:paraId="5E7C112F">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本工程开工前，建设单位应向社会公开开工日期、设计单位、施工单位、工程监理单位、工程基本情况、采取的环境保护措施和实施计划等内容，并确保上述信息在整个施工期内处于公开状态。</w:t>
      </w:r>
    </w:p>
    <w:p w14:paraId="4BD0BCDB">
      <w:pPr>
        <w:spacing w:line="360" w:lineRule="auto"/>
        <w:ind w:firstLine="480"/>
        <w:rPr>
          <w:rFonts w:hint="default" w:ascii="Times New Roman" w:hAnsi="Times New Roman" w:eastAsia="Times New Roman" w:cs="Times New Roman"/>
          <w:color w:val="auto"/>
          <w:sz w:val="24"/>
          <w:szCs w:val="24"/>
          <w:highlight w:val="none"/>
          <w:lang w:val="zh-CN"/>
        </w:rPr>
      </w:pPr>
      <w:bookmarkStart w:id="6961" w:name="_Toc11620_WPSOffice_Level3"/>
      <w:bookmarkStart w:id="6962" w:name="_Toc27537_WPSOffice_Level3"/>
      <w:bookmarkStart w:id="6963" w:name="_Toc10112_WPSOffice_Level3"/>
      <w:bookmarkStart w:id="6964" w:name="_Toc12331_WPSOffice_Level3"/>
      <w:r>
        <w:rPr>
          <w:rFonts w:hint="default" w:ascii="Times New Roman" w:hAnsi="Times New Roman" w:eastAsia="Times New Roman" w:cs="Times New Roman"/>
          <w:color w:val="auto"/>
          <w:sz w:val="24"/>
          <w:szCs w:val="24"/>
          <w:highlight w:val="none"/>
          <w:lang w:val="zh-CN"/>
        </w:rPr>
        <w:t>（2）施工过程的信息公开</w:t>
      </w:r>
      <w:bookmarkEnd w:id="6961"/>
      <w:bookmarkEnd w:id="6962"/>
      <w:bookmarkEnd w:id="6963"/>
      <w:bookmarkEnd w:id="6964"/>
    </w:p>
    <w:p w14:paraId="678689FE">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建设单位应在施工期中向社会公开建设项目环境保护措施进展情况，施工期环境保护措施落实情况、施工期监理情况、施工期环境监测结果等。</w:t>
      </w:r>
    </w:p>
    <w:p w14:paraId="729A7722">
      <w:pPr>
        <w:spacing w:line="360" w:lineRule="auto"/>
        <w:ind w:firstLine="480"/>
        <w:rPr>
          <w:rFonts w:hint="default" w:ascii="Times New Roman" w:hAnsi="Times New Roman" w:eastAsia="Times New Roman" w:cs="Times New Roman"/>
          <w:color w:val="auto"/>
          <w:sz w:val="24"/>
          <w:szCs w:val="24"/>
          <w:highlight w:val="none"/>
          <w:lang w:val="zh-CN"/>
        </w:rPr>
      </w:pPr>
      <w:bookmarkStart w:id="6965" w:name="_Toc600_WPSOffice_Level3"/>
      <w:bookmarkStart w:id="6966" w:name="_Toc18925_WPSOffice_Level3"/>
      <w:bookmarkStart w:id="6967" w:name="_Toc25429_WPSOffice_Level3"/>
      <w:bookmarkStart w:id="6968" w:name="_Toc14990_WPSOffice_Level3"/>
      <w:r>
        <w:rPr>
          <w:rFonts w:hint="default" w:ascii="Times New Roman" w:hAnsi="Times New Roman" w:eastAsia="Times New Roman" w:cs="Times New Roman"/>
          <w:color w:val="auto"/>
          <w:sz w:val="24"/>
          <w:szCs w:val="24"/>
          <w:highlight w:val="none"/>
          <w:lang w:val="zh-CN"/>
        </w:rPr>
        <w:t>（3）建成后的信息公开</w:t>
      </w:r>
      <w:bookmarkEnd w:id="6965"/>
      <w:bookmarkEnd w:id="6966"/>
      <w:bookmarkEnd w:id="6967"/>
      <w:bookmarkEnd w:id="6968"/>
    </w:p>
    <w:p w14:paraId="22F64005">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建设单位应在工程建成后向社会公开项目各项环境保护设施建设及运行情况，竣工环境保护验收监测情况。</w:t>
      </w:r>
    </w:p>
    <w:p w14:paraId="155BBB45">
      <w:pPr>
        <w:pStyle w:val="4"/>
        <w:bidi w:val="0"/>
        <w:rPr>
          <w:rFonts w:hint="default" w:ascii="Times New Roman" w:hAnsi="Times New Roman" w:cs="Times New Roman"/>
          <w:color w:val="auto"/>
          <w:sz w:val="28"/>
          <w:szCs w:val="28"/>
          <w:highlight w:val="none"/>
          <w:lang w:val="zh-CN"/>
        </w:rPr>
      </w:pPr>
      <w:bookmarkStart w:id="6969" w:name="_Toc8925"/>
      <w:bookmarkStart w:id="6970" w:name="_Toc21761"/>
      <w:bookmarkStart w:id="6971" w:name="_Toc31593"/>
      <w:bookmarkStart w:id="6972" w:name="_Toc17137"/>
      <w:bookmarkStart w:id="6973" w:name="_Toc20889"/>
      <w:r>
        <w:rPr>
          <w:rFonts w:hint="default" w:ascii="Times New Roman" w:hAnsi="Times New Roman" w:cs="Times New Roman"/>
          <w:color w:val="auto"/>
          <w:sz w:val="28"/>
          <w:szCs w:val="28"/>
          <w:highlight w:val="none"/>
          <w:lang w:eastAsia="zh-CN"/>
        </w:rPr>
        <w:t>10</w:t>
      </w:r>
      <w:r>
        <w:rPr>
          <w:rFonts w:hint="default" w:ascii="Times New Roman" w:hAnsi="Times New Roman" w:cs="Times New Roman"/>
          <w:color w:val="auto"/>
          <w:sz w:val="28"/>
          <w:szCs w:val="28"/>
          <w:highlight w:val="none"/>
          <w:lang w:val="zh-CN"/>
        </w:rPr>
        <w:t>.4环境污染防治设施竣工验收管理</w:t>
      </w:r>
      <w:bookmarkEnd w:id="6969"/>
      <w:bookmarkEnd w:id="6970"/>
      <w:bookmarkEnd w:id="6971"/>
      <w:bookmarkEnd w:id="6972"/>
      <w:bookmarkEnd w:id="6973"/>
    </w:p>
    <w:p w14:paraId="47F80E9C">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工程对</w:t>
      </w:r>
      <w:r>
        <w:rPr>
          <w:rFonts w:hint="eastAsia" w:ascii="Times New Roman" w:hAnsi="Times New Roman" w:eastAsia="Times New Roman" w:cs="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rPr>
        <w:t>三废</w:t>
      </w:r>
      <w:r>
        <w:rPr>
          <w:rFonts w:hint="eastAsia" w:ascii="Times New Roman" w:hAnsi="Times New Roman" w:eastAsia="Times New Roman" w:cs="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rPr>
        <w:t>、噪声及环境风险的防治均通过设置合理可行的环保设施来降低对环境的污染影响及危害，环保设施验收清单见表</w:t>
      </w:r>
      <w:r>
        <w:rPr>
          <w:rFonts w:hint="default" w:ascii="Times New Roman" w:hAnsi="Times New Roman" w:eastAsia="Times New Roman" w:cs="Times New Roman"/>
          <w:color w:val="auto"/>
          <w:sz w:val="24"/>
          <w:szCs w:val="24"/>
          <w:highlight w:val="none"/>
          <w:lang w:val="zh-CN" w:eastAsia="zh-CN"/>
        </w:rPr>
        <w:t>10</w:t>
      </w:r>
      <w:r>
        <w:rPr>
          <w:rFonts w:hint="default" w:ascii="Times New Roman" w:hAnsi="Times New Roman" w:eastAsia="Times New Roman" w:cs="Times New Roman"/>
          <w:color w:val="auto"/>
          <w:sz w:val="24"/>
          <w:szCs w:val="24"/>
          <w:highlight w:val="none"/>
          <w:lang w:val="zh-CN"/>
        </w:rPr>
        <w:t>.4-1。</w:t>
      </w:r>
    </w:p>
    <w:p w14:paraId="0EF749F4">
      <w:pPr>
        <w:pStyle w:val="11"/>
        <w:kinsoku w:val="0"/>
        <w:overflowPunct w:val="0"/>
        <w:spacing w:before="0" w:line="360" w:lineRule="auto"/>
        <w:rPr>
          <w:rFonts w:hint="default" w:ascii="Times New Roman" w:hAnsi="Times New Roman" w:eastAsia="宋体" w:cs="Times New Roman"/>
          <w:color w:val="auto"/>
          <w:sz w:val="21"/>
          <w:szCs w:val="21"/>
          <w:highlight w:val="none"/>
        </w:rPr>
        <w:sectPr>
          <w:headerReference r:id="rId22" w:type="default"/>
          <w:pgSz w:w="12240" w:h="15840"/>
          <w:pgMar w:top="1440" w:right="1800" w:bottom="1440" w:left="1800"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1C4B8A58">
      <w:pPr>
        <w:pStyle w:val="59"/>
        <w:kinsoku w:val="0"/>
        <w:overflowPunct w:val="0"/>
        <w:snapToGrid w:val="0"/>
        <w:spacing w:before="156" w:beforeLines="50" w:line="24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eastAsia="zh-CN"/>
        </w:rPr>
        <w:t>10</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-1                              工程环保设施竣工验收清单</w:t>
      </w:r>
    </w:p>
    <w:tbl>
      <w:tblPr>
        <w:tblStyle w:val="31"/>
        <w:tblW w:w="1317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59"/>
        <w:gridCol w:w="447"/>
        <w:gridCol w:w="888"/>
        <w:gridCol w:w="1342"/>
        <w:gridCol w:w="6110"/>
        <w:gridCol w:w="3927"/>
      </w:tblGrid>
      <w:tr w14:paraId="1FF914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906" w:type="dxa"/>
            <w:gridSpan w:val="2"/>
            <w:tcBorders>
              <w:tl2br w:val="nil"/>
              <w:tr2bl w:val="nil"/>
            </w:tcBorders>
            <w:vAlign w:val="center"/>
          </w:tcPr>
          <w:p w14:paraId="201095FE">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974" w:name="_Toc3139"/>
            <w:bookmarkStart w:id="6975" w:name="_Toc30606"/>
            <w:bookmarkStart w:id="6976" w:name="_Toc26558"/>
            <w:bookmarkStart w:id="6977" w:name="_Toc11335"/>
            <w:bookmarkStart w:id="6978" w:name="_Toc17624"/>
            <w:r>
              <w:rPr>
                <w:rFonts w:hint="default" w:ascii="Times New Roman" w:hAnsi="Times New Roman" w:cs="Times New Roman"/>
                <w:b/>
                <w:bCs/>
                <w:color w:val="auto"/>
                <w:sz w:val="21"/>
                <w:szCs w:val="21"/>
                <w:highlight w:val="none"/>
              </w:rPr>
              <w:t>类别</w:t>
            </w:r>
            <w:bookmarkEnd w:id="6974"/>
            <w:bookmarkEnd w:id="6975"/>
            <w:bookmarkEnd w:id="6976"/>
            <w:bookmarkEnd w:id="6977"/>
            <w:bookmarkEnd w:id="6978"/>
          </w:p>
        </w:tc>
        <w:tc>
          <w:tcPr>
            <w:tcW w:w="2230" w:type="dxa"/>
            <w:gridSpan w:val="2"/>
            <w:tcBorders>
              <w:tl2br w:val="nil"/>
              <w:tr2bl w:val="nil"/>
            </w:tcBorders>
            <w:vAlign w:val="center"/>
          </w:tcPr>
          <w:p w14:paraId="0F435B55">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979" w:name="_Toc14643"/>
            <w:bookmarkStart w:id="6980" w:name="_Toc16013"/>
            <w:bookmarkStart w:id="6981" w:name="_Toc23921"/>
            <w:bookmarkStart w:id="6982" w:name="_Toc9735"/>
            <w:bookmarkStart w:id="6983" w:name="_Toc9214"/>
            <w:r>
              <w:rPr>
                <w:rFonts w:hint="default" w:ascii="Times New Roman" w:hAnsi="Times New Roman" w:cs="Times New Roman"/>
                <w:b/>
                <w:bCs/>
                <w:color w:val="auto"/>
                <w:sz w:val="21"/>
                <w:szCs w:val="21"/>
                <w:highlight w:val="none"/>
              </w:rPr>
              <w:t>污染源</w:t>
            </w:r>
            <w:bookmarkEnd w:id="6979"/>
            <w:bookmarkEnd w:id="6980"/>
            <w:bookmarkEnd w:id="6981"/>
            <w:bookmarkEnd w:id="6982"/>
            <w:bookmarkEnd w:id="6983"/>
          </w:p>
        </w:tc>
        <w:tc>
          <w:tcPr>
            <w:tcW w:w="6110" w:type="dxa"/>
            <w:tcBorders>
              <w:tl2br w:val="nil"/>
              <w:tr2bl w:val="nil"/>
            </w:tcBorders>
            <w:vAlign w:val="center"/>
          </w:tcPr>
          <w:p w14:paraId="0F2299B6">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984" w:name="_Toc13176"/>
            <w:bookmarkStart w:id="6985" w:name="_Toc20314"/>
            <w:bookmarkStart w:id="6986" w:name="_Toc29445"/>
            <w:bookmarkStart w:id="6987" w:name="_Toc7555"/>
            <w:bookmarkStart w:id="6988" w:name="_Toc2726"/>
            <w:r>
              <w:rPr>
                <w:rFonts w:hint="default" w:ascii="Times New Roman" w:hAnsi="Times New Roman" w:cs="Times New Roman"/>
                <w:b/>
                <w:bCs/>
                <w:color w:val="auto"/>
                <w:sz w:val="21"/>
                <w:szCs w:val="21"/>
                <w:highlight w:val="none"/>
              </w:rPr>
              <w:t>治理措施</w:t>
            </w:r>
            <w:bookmarkEnd w:id="6984"/>
            <w:bookmarkEnd w:id="6985"/>
            <w:bookmarkEnd w:id="6986"/>
            <w:bookmarkEnd w:id="6987"/>
            <w:bookmarkEnd w:id="6988"/>
          </w:p>
        </w:tc>
        <w:tc>
          <w:tcPr>
            <w:tcW w:w="3927" w:type="dxa"/>
            <w:tcBorders>
              <w:tl2br w:val="nil"/>
              <w:tr2bl w:val="nil"/>
            </w:tcBorders>
            <w:vAlign w:val="center"/>
          </w:tcPr>
          <w:p w14:paraId="127BC5F7">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6989" w:name="_Toc13425"/>
            <w:bookmarkStart w:id="6990" w:name="_Toc4767"/>
            <w:bookmarkStart w:id="6991" w:name="_Toc4141"/>
            <w:bookmarkStart w:id="6992" w:name="_Toc20143"/>
            <w:bookmarkStart w:id="6993" w:name="_Toc20277"/>
            <w:r>
              <w:rPr>
                <w:rFonts w:hint="default" w:ascii="Times New Roman" w:hAnsi="Times New Roman" w:cs="Times New Roman"/>
                <w:b/>
                <w:bCs/>
                <w:color w:val="auto"/>
                <w:sz w:val="21"/>
                <w:szCs w:val="21"/>
                <w:highlight w:val="none"/>
              </w:rPr>
              <w:t>措施效果</w:t>
            </w:r>
            <w:bookmarkEnd w:id="6989"/>
            <w:bookmarkEnd w:id="6990"/>
            <w:bookmarkEnd w:id="6991"/>
            <w:bookmarkEnd w:id="6992"/>
            <w:bookmarkEnd w:id="6993"/>
          </w:p>
        </w:tc>
      </w:tr>
      <w:tr w14:paraId="31317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459" w:type="dxa"/>
            <w:vMerge w:val="restart"/>
            <w:tcBorders>
              <w:tl2br w:val="nil"/>
              <w:tr2bl w:val="nil"/>
            </w:tcBorders>
            <w:vAlign w:val="center"/>
          </w:tcPr>
          <w:p w14:paraId="2DA3201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994" w:name="_Toc11785"/>
            <w:bookmarkStart w:id="6995" w:name="_Toc8460"/>
            <w:bookmarkStart w:id="6996" w:name="_Toc15096"/>
            <w:bookmarkStart w:id="6997" w:name="_Toc5867"/>
            <w:bookmarkStart w:id="6998" w:name="_Toc22505"/>
            <w:r>
              <w:rPr>
                <w:rFonts w:hint="default" w:ascii="Times New Roman" w:hAnsi="Times New Roman" w:cs="Times New Roman"/>
                <w:color w:val="auto"/>
                <w:sz w:val="21"/>
                <w:szCs w:val="21"/>
                <w:highlight w:val="none"/>
              </w:rPr>
              <w:t>施工期</w:t>
            </w:r>
            <w:bookmarkEnd w:id="6994"/>
            <w:bookmarkEnd w:id="6995"/>
            <w:bookmarkEnd w:id="6996"/>
            <w:bookmarkEnd w:id="6997"/>
            <w:bookmarkEnd w:id="6998"/>
          </w:p>
        </w:tc>
        <w:tc>
          <w:tcPr>
            <w:tcW w:w="447" w:type="dxa"/>
            <w:vMerge w:val="restart"/>
            <w:tcBorders>
              <w:tl2br w:val="nil"/>
              <w:tr2bl w:val="nil"/>
            </w:tcBorders>
            <w:vAlign w:val="center"/>
          </w:tcPr>
          <w:p w14:paraId="0AA76F4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6999" w:name="_Toc195"/>
            <w:bookmarkStart w:id="7000" w:name="_Toc21781"/>
            <w:bookmarkStart w:id="7001" w:name="_Toc16847"/>
            <w:bookmarkStart w:id="7002" w:name="_Toc28024"/>
            <w:bookmarkStart w:id="7003" w:name="_Toc15548"/>
            <w:r>
              <w:rPr>
                <w:rFonts w:hint="default" w:ascii="Times New Roman" w:hAnsi="Times New Roman" w:cs="Times New Roman"/>
                <w:color w:val="auto"/>
                <w:sz w:val="21"/>
                <w:szCs w:val="21"/>
                <w:highlight w:val="none"/>
              </w:rPr>
              <w:t>废气</w:t>
            </w:r>
            <w:bookmarkEnd w:id="6999"/>
            <w:bookmarkEnd w:id="7000"/>
            <w:bookmarkEnd w:id="7001"/>
            <w:bookmarkEnd w:id="7002"/>
            <w:bookmarkEnd w:id="7003"/>
          </w:p>
        </w:tc>
        <w:tc>
          <w:tcPr>
            <w:tcW w:w="888" w:type="dxa"/>
            <w:vMerge w:val="restart"/>
            <w:tcBorders>
              <w:tl2br w:val="nil"/>
              <w:tr2bl w:val="nil"/>
            </w:tcBorders>
            <w:vAlign w:val="center"/>
          </w:tcPr>
          <w:p w14:paraId="325C1C9E">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004" w:name="_Toc14054"/>
            <w:bookmarkStart w:id="7005" w:name="_Toc11992"/>
            <w:bookmarkStart w:id="7006" w:name="_Toc15512"/>
            <w:bookmarkStart w:id="7007" w:name="_Toc13437"/>
            <w:bookmarkStart w:id="7008" w:name="_Toc2208"/>
            <w:r>
              <w:rPr>
                <w:rFonts w:hint="default" w:ascii="Times New Roman" w:hAnsi="Times New Roman" w:eastAsia="宋体" w:cs="Times New Roman"/>
                <w:color w:val="auto"/>
                <w:sz w:val="21"/>
                <w:szCs w:val="21"/>
                <w:highlight w:val="none"/>
              </w:rPr>
              <w:t>施工</w:t>
            </w:r>
            <w:bookmarkEnd w:id="7004"/>
            <w:bookmarkEnd w:id="7005"/>
          </w:p>
          <w:p w14:paraId="0BCBD169">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009" w:name="_Toc11030"/>
            <w:bookmarkStart w:id="7010" w:name="_Toc12639"/>
            <w:r>
              <w:rPr>
                <w:rFonts w:hint="default" w:ascii="Times New Roman" w:hAnsi="Times New Roman" w:eastAsia="宋体" w:cs="Times New Roman"/>
                <w:color w:val="auto"/>
                <w:sz w:val="21"/>
                <w:szCs w:val="21"/>
                <w:highlight w:val="none"/>
              </w:rPr>
              <w:t>粉尘</w:t>
            </w:r>
            <w:bookmarkEnd w:id="7006"/>
            <w:bookmarkEnd w:id="7007"/>
            <w:bookmarkEnd w:id="7008"/>
            <w:bookmarkEnd w:id="7009"/>
            <w:bookmarkEnd w:id="7010"/>
          </w:p>
        </w:tc>
        <w:tc>
          <w:tcPr>
            <w:tcW w:w="1342" w:type="dxa"/>
            <w:tcBorders>
              <w:tl2br w:val="nil"/>
              <w:tr2bl w:val="nil"/>
            </w:tcBorders>
            <w:vAlign w:val="center"/>
          </w:tcPr>
          <w:p w14:paraId="083798BF">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011" w:name="_Toc5146"/>
            <w:bookmarkStart w:id="7012" w:name="_Toc29264"/>
            <w:bookmarkStart w:id="7013" w:name="_Toc18417"/>
            <w:bookmarkStart w:id="7014" w:name="_Toc25853"/>
            <w:bookmarkStart w:id="7015" w:name="_Toc15901"/>
            <w:r>
              <w:rPr>
                <w:rFonts w:hint="default" w:ascii="Times New Roman" w:hAnsi="Times New Roman" w:eastAsia="宋体" w:cs="Times New Roman"/>
                <w:color w:val="auto"/>
                <w:sz w:val="21"/>
                <w:szCs w:val="21"/>
                <w:highlight w:val="none"/>
              </w:rPr>
              <w:t>土石方施工</w:t>
            </w:r>
            <w:bookmarkEnd w:id="7011"/>
            <w:bookmarkEnd w:id="7012"/>
            <w:bookmarkEnd w:id="7013"/>
            <w:bookmarkEnd w:id="7014"/>
            <w:bookmarkEnd w:id="7015"/>
          </w:p>
        </w:tc>
        <w:tc>
          <w:tcPr>
            <w:tcW w:w="6110" w:type="dxa"/>
            <w:tcBorders>
              <w:tl2br w:val="nil"/>
              <w:tr2bl w:val="nil"/>
            </w:tcBorders>
            <w:vAlign w:val="center"/>
          </w:tcPr>
          <w:p w14:paraId="2804E9A2">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7016" w:name="_Toc26476"/>
            <w:bookmarkStart w:id="7017" w:name="_Toc3470"/>
            <w:bookmarkStart w:id="7018" w:name="_Toc24944"/>
            <w:bookmarkStart w:id="7019" w:name="_Toc12836"/>
            <w:bookmarkStart w:id="7020" w:name="_Toc14422"/>
            <w:r>
              <w:rPr>
                <w:rFonts w:hint="default" w:ascii="Times New Roman" w:hAnsi="Times New Roman" w:cs="Times New Roman"/>
                <w:color w:val="auto"/>
                <w:sz w:val="21"/>
                <w:szCs w:val="21"/>
                <w:highlight w:val="none"/>
              </w:rPr>
              <w:t>洒水降尘</w:t>
            </w:r>
            <w:bookmarkEnd w:id="7016"/>
            <w:bookmarkEnd w:id="7017"/>
            <w:bookmarkEnd w:id="7018"/>
            <w:r>
              <w:rPr>
                <w:rFonts w:hint="eastAsia" w:cs="Times New Roman"/>
                <w:color w:val="auto"/>
                <w:sz w:val="21"/>
                <w:szCs w:val="21"/>
                <w:highlight w:val="none"/>
                <w:lang w:eastAsia="zh-CN"/>
              </w:rPr>
              <w:t>，敏感点及水面附近设置围挡</w:t>
            </w:r>
            <w:bookmarkEnd w:id="7019"/>
            <w:bookmarkEnd w:id="7020"/>
          </w:p>
        </w:tc>
        <w:tc>
          <w:tcPr>
            <w:tcW w:w="3927" w:type="dxa"/>
            <w:tcBorders>
              <w:tl2br w:val="nil"/>
              <w:tr2bl w:val="nil"/>
            </w:tcBorders>
            <w:vAlign w:val="center"/>
          </w:tcPr>
          <w:p w14:paraId="6A2CA8F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21" w:name="_Toc3912"/>
            <w:bookmarkStart w:id="7022" w:name="_Toc14855"/>
            <w:bookmarkStart w:id="7023" w:name="_Toc8588"/>
            <w:bookmarkStart w:id="7024" w:name="_Toc21231"/>
            <w:bookmarkStart w:id="7025" w:name="_Toc27593"/>
            <w:r>
              <w:rPr>
                <w:rFonts w:hint="default" w:ascii="Times New Roman" w:hAnsi="Times New Roman" w:cs="Times New Roman"/>
                <w:color w:val="auto"/>
                <w:sz w:val="21"/>
                <w:szCs w:val="21"/>
                <w:highlight w:val="none"/>
              </w:rPr>
              <w:t>降低粉尘</w:t>
            </w:r>
            <w:bookmarkEnd w:id="7021"/>
            <w:bookmarkEnd w:id="7022"/>
            <w:bookmarkEnd w:id="7023"/>
            <w:bookmarkEnd w:id="7024"/>
            <w:bookmarkEnd w:id="7025"/>
          </w:p>
        </w:tc>
      </w:tr>
      <w:tr w14:paraId="563570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459" w:type="dxa"/>
            <w:vMerge w:val="continue"/>
            <w:tcBorders>
              <w:tl2br w:val="nil"/>
              <w:tr2bl w:val="nil"/>
            </w:tcBorders>
            <w:vAlign w:val="center"/>
          </w:tcPr>
          <w:p w14:paraId="7A63891F">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2EE3B2A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888" w:type="dxa"/>
            <w:vMerge w:val="continue"/>
            <w:tcBorders>
              <w:tl2br w:val="nil"/>
              <w:tr2bl w:val="nil"/>
            </w:tcBorders>
            <w:vAlign w:val="center"/>
          </w:tcPr>
          <w:p w14:paraId="09F990CE">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p>
        </w:tc>
        <w:tc>
          <w:tcPr>
            <w:tcW w:w="1342" w:type="dxa"/>
            <w:tcBorders>
              <w:tl2br w:val="nil"/>
              <w:tr2bl w:val="nil"/>
            </w:tcBorders>
            <w:vAlign w:val="center"/>
          </w:tcPr>
          <w:p w14:paraId="359D534F">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026" w:name="_Toc29765"/>
            <w:bookmarkStart w:id="7027" w:name="_Toc32440"/>
            <w:bookmarkStart w:id="7028" w:name="_Toc9138"/>
            <w:bookmarkStart w:id="7029" w:name="_Toc15817"/>
            <w:bookmarkStart w:id="7030" w:name="_Toc9553"/>
            <w:r>
              <w:rPr>
                <w:rFonts w:hint="default" w:ascii="Times New Roman" w:hAnsi="Times New Roman" w:eastAsia="宋体" w:cs="Times New Roman"/>
                <w:color w:val="auto"/>
                <w:sz w:val="21"/>
                <w:szCs w:val="21"/>
                <w:highlight w:val="none"/>
              </w:rPr>
              <w:t>施工营地</w:t>
            </w:r>
            <w:bookmarkEnd w:id="7026"/>
            <w:bookmarkEnd w:id="7027"/>
            <w:bookmarkEnd w:id="7028"/>
            <w:bookmarkEnd w:id="7029"/>
            <w:bookmarkEnd w:id="7030"/>
          </w:p>
        </w:tc>
        <w:tc>
          <w:tcPr>
            <w:tcW w:w="6110" w:type="dxa"/>
            <w:tcBorders>
              <w:tl2br w:val="nil"/>
              <w:tr2bl w:val="nil"/>
            </w:tcBorders>
            <w:vAlign w:val="center"/>
          </w:tcPr>
          <w:p w14:paraId="1C32618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31" w:name="_Toc4047"/>
            <w:bookmarkStart w:id="7032" w:name="_Toc19511"/>
            <w:bookmarkStart w:id="7033" w:name="_Toc2549"/>
            <w:bookmarkStart w:id="7034" w:name="_Toc27984"/>
            <w:bookmarkStart w:id="7035" w:name="_Toc4296"/>
            <w:r>
              <w:rPr>
                <w:rFonts w:hint="default" w:ascii="Times New Roman" w:hAnsi="Times New Roman" w:cs="Times New Roman"/>
                <w:color w:val="auto"/>
                <w:sz w:val="21"/>
                <w:szCs w:val="21"/>
                <w:highlight w:val="none"/>
              </w:rPr>
              <w:t>及时清理地面粉尘；避免露天堆放，及时苫盖并设置围挡；对施工场地和临时场地进行定期洒水降尘。</w:t>
            </w:r>
            <w:bookmarkEnd w:id="7031"/>
            <w:bookmarkEnd w:id="7032"/>
            <w:bookmarkEnd w:id="7033"/>
            <w:bookmarkEnd w:id="7034"/>
            <w:bookmarkEnd w:id="7035"/>
          </w:p>
        </w:tc>
        <w:tc>
          <w:tcPr>
            <w:tcW w:w="3927" w:type="dxa"/>
            <w:tcBorders>
              <w:tl2br w:val="nil"/>
              <w:tr2bl w:val="nil"/>
            </w:tcBorders>
            <w:vAlign w:val="center"/>
          </w:tcPr>
          <w:p w14:paraId="7A2AA53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36" w:name="_Toc16628"/>
            <w:bookmarkStart w:id="7037" w:name="_Toc15415"/>
            <w:bookmarkStart w:id="7038" w:name="_Toc27363"/>
            <w:bookmarkStart w:id="7039" w:name="_Toc2626"/>
            <w:bookmarkStart w:id="7040" w:name="_Toc605"/>
            <w:r>
              <w:rPr>
                <w:rFonts w:hint="default" w:ascii="Times New Roman" w:hAnsi="Times New Roman" w:cs="Times New Roman"/>
                <w:color w:val="auto"/>
                <w:sz w:val="21"/>
                <w:szCs w:val="21"/>
                <w:highlight w:val="none"/>
              </w:rPr>
              <w:t>降低粉尘</w:t>
            </w:r>
            <w:bookmarkEnd w:id="7036"/>
            <w:bookmarkEnd w:id="7037"/>
            <w:bookmarkEnd w:id="7038"/>
            <w:bookmarkEnd w:id="7039"/>
            <w:bookmarkEnd w:id="7040"/>
          </w:p>
        </w:tc>
      </w:tr>
      <w:tr w14:paraId="39AEEF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13E7FCC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54390E0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48107084">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041" w:name="_Toc17757"/>
            <w:bookmarkStart w:id="7042" w:name="_Toc4732"/>
            <w:bookmarkStart w:id="7043" w:name="_Toc8496"/>
            <w:bookmarkStart w:id="7044" w:name="_Toc31327"/>
            <w:bookmarkStart w:id="7045" w:name="_Toc11337"/>
            <w:r>
              <w:rPr>
                <w:rFonts w:hint="default" w:ascii="Times New Roman" w:hAnsi="Times New Roman" w:eastAsia="宋体" w:cs="Times New Roman"/>
                <w:color w:val="auto"/>
                <w:sz w:val="21"/>
                <w:szCs w:val="21"/>
                <w:highlight w:val="none"/>
              </w:rPr>
              <w:t>机械及车辆</w:t>
            </w:r>
            <w:bookmarkEnd w:id="7041"/>
            <w:bookmarkEnd w:id="7042"/>
            <w:bookmarkEnd w:id="7043"/>
            <w:bookmarkEnd w:id="7044"/>
            <w:bookmarkEnd w:id="7045"/>
          </w:p>
        </w:tc>
        <w:tc>
          <w:tcPr>
            <w:tcW w:w="6110" w:type="dxa"/>
            <w:tcBorders>
              <w:tl2br w:val="nil"/>
              <w:tr2bl w:val="nil"/>
            </w:tcBorders>
            <w:vAlign w:val="center"/>
          </w:tcPr>
          <w:p w14:paraId="5E5C157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46" w:name="_Toc22537"/>
            <w:bookmarkStart w:id="7047" w:name="_Toc16304"/>
            <w:bookmarkStart w:id="7048" w:name="_Toc24250"/>
            <w:bookmarkStart w:id="7049" w:name="_Toc17643"/>
            <w:bookmarkStart w:id="7050" w:name="_Toc15494"/>
            <w:r>
              <w:rPr>
                <w:rFonts w:hint="default" w:ascii="Times New Roman" w:hAnsi="Times New Roman" w:cs="Times New Roman"/>
                <w:color w:val="auto"/>
                <w:sz w:val="21"/>
                <w:szCs w:val="21"/>
                <w:highlight w:val="none"/>
              </w:rPr>
              <w:t>加强大型施工机械和车辆的管理，执行定期检查维护制度。</w:t>
            </w:r>
            <w:bookmarkEnd w:id="7046"/>
            <w:bookmarkEnd w:id="7047"/>
            <w:bookmarkEnd w:id="7048"/>
            <w:bookmarkEnd w:id="7049"/>
            <w:bookmarkEnd w:id="7050"/>
          </w:p>
        </w:tc>
        <w:tc>
          <w:tcPr>
            <w:tcW w:w="3927" w:type="dxa"/>
            <w:tcBorders>
              <w:tl2br w:val="nil"/>
              <w:tr2bl w:val="nil"/>
            </w:tcBorders>
            <w:vAlign w:val="center"/>
          </w:tcPr>
          <w:p w14:paraId="15A7F3B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51" w:name="_Toc16757"/>
            <w:bookmarkStart w:id="7052" w:name="_Toc15122"/>
            <w:bookmarkStart w:id="7053" w:name="_Toc15552"/>
            <w:bookmarkStart w:id="7054" w:name="_Toc1266"/>
            <w:bookmarkStart w:id="7055" w:name="_Toc13346"/>
            <w:r>
              <w:rPr>
                <w:rFonts w:hint="default" w:ascii="Times New Roman" w:hAnsi="Times New Roman" w:cs="Times New Roman"/>
                <w:color w:val="auto"/>
                <w:sz w:val="21"/>
                <w:szCs w:val="21"/>
                <w:highlight w:val="none"/>
              </w:rPr>
              <w:t>确保施工机械废气排放符合环保要求</w:t>
            </w:r>
            <w:bookmarkEnd w:id="7051"/>
            <w:bookmarkEnd w:id="7052"/>
            <w:bookmarkEnd w:id="7053"/>
            <w:bookmarkEnd w:id="7054"/>
            <w:bookmarkEnd w:id="7055"/>
          </w:p>
        </w:tc>
      </w:tr>
      <w:tr w14:paraId="36F49F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1F8B2869">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46AA778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029CB1C1">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056" w:name="_Toc24516"/>
            <w:bookmarkStart w:id="7057" w:name="_Toc10427"/>
            <w:bookmarkStart w:id="7058" w:name="_Toc18458"/>
            <w:bookmarkStart w:id="7059" w:name="_Toc25592"/>
            <w:bookmarkStart w:id="7060" w:name="_Toc18722"/>
            <w:r>
              <w:rPr>
                <w:rFonts w:hint="default" w:ascii="Times New Roman" w:hAnsi="Times New Roman" w:eastAsia="宋体" w:cs="Times New Roman"/>
                <w:color w:val="auto"/>
                <w:sz w:val="21"/>
                <w:szCs w:val="21"/>
                <w:highlight w:val="none"/>
              </w:rPr>
              <w:t>道路扬尘</w:t>
            </w:r>
            <w:bookmarkEnd w:id="7056"/>
            <w:bookmarkEnd w:id="7057"/>
            <w:bookmarkEnd w:id="7058"/>
            <w:bookmarkEnd w:id="7059"/>
            <w:bookmarkEnd w:id="7060"/>
          </w:p>
        </w:tc>
        <w:tc>
          <w:tcPr>
            <w:tcW w:w="6110" w:type="dxa"/>
            <w:tcBorders>
              <w:tl2br w:val="nil"/>
              <w:tr2bl w:val="nil"/>
            </w:tcBorders>
            <w:vAlign w:val="center"/>
          </w:tcPr>
          <w:p w14:paraId="04FC99F9">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61" w:name="_Toc2986"/>
            <w:bookmarkStart w:id="7062" w:name="_Toc21725"/>
            <w:bookmarkStart w:id="7063" w:name="_Toc17097"/>
            <w:bookmarkStart w:id="7064" w:name="_Toc2949"/>
            <w:bookmarkStart w:id="7065" w:name="_Toc4342"/>
            <w:r>
              <w:rPr>
                <w:rFonts w:hint="default" w:ascii="Times New Roman" w:hAnsi="Times New Roman" w:cs="Times New Roman"/>
                <w:color w:val="auto"/>
                <w:sz w:val="21"/>
                <w:szCs w:val="21"/>
                <w:highlight w:val="none"/>
              </w:rPr>
              <w:t>洒水降尘，采取密封运输或加盖篷布，进出营地进行车辆冲洗。</w:t>
            </w:r>
            <w:bookmarkEnd w:id="7061"/>
            <w:bookmarkEnd w:id="7062"/>
            <w:bookmarkEnd w:id="7063"/>
            <w:bookmarkEnd w:id="7064"/>
            <w:bookmarkEnd w:id="7065"/>
          </w:p>
        </w:tc>
        <w:tc>
          <w:tcPr>
            <w:tcW w:w="3927" w:type="dxa"/>
            <w:tcBorders>
              <w:tl2br w:val="nil"/>
              <w:tr2bl w:val="nil"/>
            </w:tcBorders>
            <w:vAlign w:val="center"/>
          </w:tcPr>
          <w:p w14:paraId="14F70D0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66" w:name="_Toc20546"/>
            <w:bookmarkStart w:id="7067" w:name="_Toc23006"/>
            <w:bookmarkStart w:id="7068" w:name="_Toc780"/>
            <w:bookmarkStart w:id="7069" w:name="_Toc4714"/>
            <w:bookmarkStart w:id="7070" w:name="_Toc4479"/>
            <w:r>
              <w:rPr>
                <w:rFonts w:hint="default" w:ascii="Times New Roman" w:hAnsi="Times New Roman" w:cs="Times New Roman"/>
                <w:color w:val="auto"/>
                <w:sz w:val="21"/>
                <w:szCs w:val="21"/>
                <w:highlight w:val="none"/>
              </w:rPr>
              <w:t>降低扬尘</w:t>
            </w:r>
            <w:bookmarkEnd w:id="7066"/>
            <w:bookmarkEnd w:id="7067"/>
            <w:bookmarkEnd w:id="7068"/>
            <w:bookmarkEnd w:id="7069"/>
            <w:bookmarkEnd w:id="7070"/>
          </w:p>
        </w:tc>
      </w:tr>
      <w:tr w14:paraId="40EF5A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6E237E0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34229E5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4F5A4A6A">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071" w:name="_Toc30462"/>
            <w:bookmarkStart w:id="7072" w:name="_Toc29639"/>
            <w:r>
              <w:rPr>
                <w:rFonts w:hint="default" w:ascii="Times New Roman" w:hAnsi="Times New Roman" w:eastAsia="宋体" w:cs="Times New Roman"/>
                <w:color w:val="auto"/>
                <w:sz w:val="21"/>
                <w:szCs w:val="21"/>
                <w:highlight w:val="none"/>
              </w:rPr>
              <w:t>清淤恶臭</w:t>
            </w:r>
            <w:bookmarkEnd w:id="7071"/>
            <w:bookmarkEnd w:id="7072"/>
          </w:p>
        </w:tc>
        <w:tc>
          <w:tcPr>
            <w:tcW w:w="6110" w:type="dxa"/>
            <w:tcBorders>
              <w:tl2br w:val="nil"/>
              <w:tr2bl w:val="nil"/>
            </w:tcBorders>
            <w:vAlign w:val="center"/>
          </w:tcPr>
          <w:p w14:paraId="1DF60160">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7073" w:name="_Toc25370"/>
            <w:bookmarkStart w:id="7074" w:name="_Toc3887"/>
            <w:r>
              <w:rPr>
                <w:rFonts w:hint="default" w:ascii="Times New Roman" w:hAnsi="Times New Roman" w:cs="Times New Roman"/>
                <w:color w:val="auto"/>
                <w:sz w:val="21"/>
                <w:szCs w:val="21"/>
                <w:highlight w:val="none"/>
              </w:rPr>
              <w:t>冬季施工，淤泥堆存后及时压实整平，喷洒除臭剂，</w:t>
            </w:r>
            <w:r>
              <w:rPr>
                <w:rFonts w:hint="eastAsia" w:cs="Times New Roman"/>
                <w:color w:val="auto"/>
                <w:sz w:val="21"/>
                <w:szCs w:val="21"/>
                <w:highlight w:val="none"/>
                <w:lang w:eastAsia="zh-CN"/>
              </w:rPr>
              <w:t>在临近敏感区附近设置围挡。</w:t>
            </w:r>
            <w:bookmarkEnd w:id="7073"/>
            <w:bookmarkEnd w:id="7074"/>
          </w:p>
        </w:tc>
        <w:tc>
          <w:tcPr>
            <w:tcW w:w="3927" w:type="dxa"/>
            <w:tcBorders>
              <w:tl2br w:val="nil"/>
              <w:tr2bl w:val="nil"/>
            </w:tcBorders>
            <w:vAlign w:val="center"/>
          </w:tcPr>
          <w:p w14:paraId="6B032D38">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7075" w:name="_Toc8130"/>
            <w:bookmarkStart w:id="7076" w:name="_Toc15308"/>
            <w:r>
              <w:rPr>
                <w:rFonts w:hint="eastAsia" w:cs="Times New Roman"/>
                <w:color w:val="auto"/>
                <w:sz w:val="21"/>
                <w:szCs w:val="21"/>
                <w:highlight w:val="none"/>
                <w:lang w:eastAsia="zh-CN"/>
              </w:rPr>
              <w:t>降低恶臭影响</w:t>
            </w:r>
            <w:bookmarkEnd w:id="7075"/>
            <w:bookmarkEnd w:id="7076"/>
          </w:p>
        </w:tc>
      </w:tr>
      <w:tr w14:paraId="5D0F8B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1" w:hRule="atLeast"/>
        </w:trPr>
        <w:tc>
          <w:tcPr>
            <w:tcW w:w="459" w:type="dxa"/>
            <w:vMerge w:val="continue"/>
            <w:tcBorders>
              <w:tl2br w:val="nil"/>
              <w:tr2bl w:val="nil"/>
            </w:tcBorders>
            <w:vAlign w:val="center"/>
          </w:tcPr>
          <w:p w14:paraId="4DB49F9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restart"/>
            <w:tcBorders>
              <w:tl2br w:val="nil"/>
              <w:tr2bl w:val="nil"/>
            </w:tcBorders>
            <w:vAlign w:val="center"/>
          </w:tcPr>
          <w:p w14:paraId="0B7FF59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077" w:name="_Toc17912"/>
            <w:bookmarkStart w:id="7078" w:name="_Toc5665"/>
            <w:bookmarkStart w:id="7079" w:name="_Toc2116"/>
            <w:bookmarkStart w:id="7080" w:name="_Toc8647"/>
            <w:bookmarkStart w:id="7081" w:name="_Toc16366"/>
            <w:r>
              <w:rPr>
                <w:rFonts w:hint="default" w:ascii="Times New Roman" w:hAnsi="Times New Roman" w:cs="Times New Roman"/>
                <w:color w:val="auto"/>
                <w:sz w:val="21"/>
                <w:szCs w:val="21"/>
                <w:highlight w:val="none"/>
              </w:rPr>
              <w:t>废水</w:t>
            </w:r>
            <w:bookmarkEnd w:id="7077"/>
            <w:bookmarkEnd w:id="7078"/>
            <w:bookmarkEnd w:id="7079"/>
            <w:bookmarkEnd w:id="7080"/>
            <w:bookmarkEnd w:id="7081"/>
          </w:p>
        </w:tc>
        <w:tc>
          <w:tcPr>
            <w:tcW w:w="2230" w:type="dxa"/>
            <w:gridSpan w:val="2"/>
            <w:tcBorders>
              <w:tl2br w:val="nil"/>
              <w:tr2bl w:val="nil"/>
            </w:tcBorders>
            <w:shd w:val="clear" w:color="auto" w:fill="auto"/>
            <w:vAlign w:val="center"/>
          </w:tcPr>
          <w:p w14:paraId="2FAB14AC">
            <w:pPr>
              <w:pStyle w:val="29"/>
              <w:suppressLineNumbers w:val="0"/>
              <w:bidi w:val="0"/>
              <w:spacing w:beforeAutospacing="0" w:afterAutospacing="0"/>
              <w:ind w:left="0" w:leftChars="0" w:right="0" w:rightChars="0" w:firstLine="0" w:firstLineChars="0"/>
              <w:rPr>
                <w:rFonts w:hint="eastAsia" w:ascii="Times New Roman" w:hAnsi="Times New Roman" w:eastAsia="宋体" w:cs="Times New Roman"/>
                <w:color w:val="auto"/>
                <w:sz w:val="21"/>
                <w:szCs w:val="21"/>
                <w:highlight w:val="none"/>
                <w:lang w:val="en-US" w:eastAsia="zh-CN"/>
              </w:rPr>
            </w:pPr>
            <w:bookmarkStart w:id="7082" w:name="_Toc1623"/>
            <w:bookmarkStart w:id="7083" w:name="_Toc20071"/>
            <w:bookmarkStart w:id="7084" w:name="_Toc749"/>
            <w:r>
              <w:rPr>
                <w:rFonts w:hint="default" w:ascii="Times New Roman" w:hAnsi="Times New Roman" w:eastAsia="宋体" w:cs="Times New Roman"/>
                <w:color w:val="auto"/>
                <w:sz w:val="21"/>
                <w:szCs w:val="21"/>
                <w:highlight w:val="none"/>
              </w:rPr>
              <w:t>混凝土养护废水</w:t>
            </w:r>
            <w:bookmarkEnd w:id="7082"/>
            <w:r>
              <w:rPr>
                <w:rFonts w:hint="eastAsia" w:ascii="Times New Roman" w:hAnsi="Times New Roman" w:eastAsia="宋体" w:cs="Times New Roman"/>
                <w:color w:val="auto"/>
                <w:sz w:val="21"/>
                <w:szCs w:val="21"/>
                <w:highlight w:val="none"/>
                <w:lang w:eastAsia="zh-CN"/>
              </w:rPr>
              <w:t>及机械冲洗废水</w:t>
            </w:r>
            <w:bookmarkEnd w:id="7083"/>
            <w:bookmarkEnd w:id="7084"/>
          </w:p>
        </w:tc>
        <w:tc>
          <w:tcPr>
            <w:tcW w:w="6110" w:type="dxa"/>
            <w:tcBorders>
              <w:tl2br w:val="nil"/>
              <w:tr2bl w:val="nil"/>
            </w:tcBorders>
            <w:shd w:val="clear" w:color="auto" w:fill="auto"/>
            <w:vAlign w:val="center"/>
          </w:tcPr>
          <w:p w14:paraId="51D0BAEE">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b w:val="0"/>
                <w:color w:val="auto"/>
                <w:kern w:val="0"/>
                <w:sz w:val="21"/>
                <w:szCs w:val="21"/>
                <w:highlight w:val="none"/>
                <w:lang w:val="en-US" w:eastAsia="zh-CN" w:bidi="ar-SA"/>
              </w:rPr>
            </w:pPr>
            <w:bookmarkStart w:id="7085" w:name="_Toc25225"/>
            <w:bookmarkStart w:id="7086" w:name="_Toc5411"/>
            <w:bookmarkStart w:id="7087" w:name="_Toc16559"/>
            <w:r>
              <w:rPr>
                <w:rFonts w:hint="default" w:ascii="Times New Roman" w:hAnsi="Times New Roman" w:cs="Times New Roman"/>
                <w:color w:val="auto"/>
                <w:sz w:val="21"/>
                <w:szCs w:val="21"/>
                <w:highlight w:val="none"/>
                <w:lang w:val="en-US" w:eastAsia="zh-CN"/>
              </w:rPr>
              <w:t>各</w:t>
            </w:r>
            <w:r>
              <w:rPr>
                <w:rFonts w:hint="default" w:ascii="Times New Roman" w:hAnsi="Times New Roman" w:cs="Times New Roman"/>
                <w:color w:val="auto"/>
                <w:sz w:val="21"/>
                <w:szCs w:val="21"/>
                <w:highlight w:val="none"/>
              </w:rPr>
              <w:t>施工生产区</w:t>
            </w:r>
            <w:r>
              <w:rPr>
                <w:rFonts w:hint="default" w:ascii="Times New Roman" w:hAnsi="Times New Roman" w:cs="Times New Roman"/>
                <w:color w:val="auto"/>
                <w:sz w:val="21"/>
                <w:szCs w:val="21"/>
                <w:highlight w:val="none"/>
                <w:lang w:val="en-US" w:eastAsia="zh-CN"/>
              </w:rPr>
              <w:t>分别</w:t>
            </w:r>
            <w:r>
              <w:rPr>
                <w:rFonts w:hint="default" w:ascii="Times New Roman" w:hAnsi="Times New Roman" w:cs="Times New Roman"/>
                <w:color w:val="auto"/>
                <w:sz w:val="21"/>
                <w:szCs w:val="21"/>
                <w:highlight w:val="none"/>
              </w:rPr>
              <w:t>设置1座</w:t>
            </w:r>
            <w:r>
              <w:rPr>
                <w:rFonts w:hint="eastAsia" w:cs="Times New Roman"/>
                <w:color w:val="auto"/>
                <w:sz w:val="21"/>
                <w:szCs w:val="21"/>
                <w:highlight w:val="none"/>
                <w:lang w:eastAsia="zh-CN"/>
              </w:rPr>
              <w:t>隔油</w:t>
            </w:r>
            <w:r>
              <w:rPr>
                <w:rFonts w:hint="default" w:ascii="Times New Roman" w:hAnsi="Times New Roman" w:cs="Times New Roman"/>
                <w:color w:val="auto"/>
                <w:sz w:val="21"/>
                <w:szCs w:val="21"/>
                <w:highlight w:val="none"/>
              </w:rPr>
              <w:t>沉淀池。</w:t>
            </w:r>
            <w:bookmarkEnd w:id="7085"/>
            <w:bookmarkEnd w:id="7086"/>
            <w:bookmarkEnd w:id="7087"/>
          </w:p>
        </w:tc>
        <w:tc>
          <w:tcPr>
            <w:tcW w:w="3927" w:type="dxa"/>
            <w:tcBorders>
              <w:tl2br w:val="nil"/>
              <w:tr2bl w:val="nil"/>
            </w:tcBorders>
            <w:shd w:val="clear" w:color="auto" w:fill="auto"/>
            <w:vAlign w:val="center"/>
          </w:tcPr>
          <w:p w14:paraId="5CBB1FC4">
            <w:pPr>
              <w:pStyle w:val="29"/>
              <w:suppressLineNumbers w:val="0"/>
              <w:bidi w:val="0"/>
              <w:spacing w:beforeAutospacing="0" w:afterAutospacing="0"/>
              <w:ind w:left="0" w:leftChars="0" w:right="0" w:rightChars="0" w:firstLine="0" w:firstLineChars="0"/>
              <w:rPr>
                <w:rFonts w:hint="eastAsia" w:ascii="Times New Roman" w:hAnsi="Times New Roman" w:eastAsia="宋体" w:cs="Times New Roman"/>
                <w:b w:val="0"/>
                <w:color w:val="auto"/>
                <w:kern w:val="0"/>
                <w:sz w:val="21"/>
                <w:szCs w:val="21"/>
                <w:highlight w:val="none"/>
                <w:lang w:val="en-US" w:eastAsia="zh-CN" w:bidi="ar-SA"/>
              </w:rPr>
            </w:pPr>
            <w:bookmarkStart w:id="7088" w:name="_Toc7094"/>
            <w:bookmarkStart w:id="7089" w:name="_Toc20606"/>
            <w:bookmarkStart w:id="7090" w:name="_Toc23387"/>
            <w:r>
              <w:rPr>
                <w:rFonts w:hint="default" w:ascii="Times New Roman" w:hAnsi="Times New Roman" w:cs="Times New Roman"/>
                <w:color w:val="auto"/>
                <w:sz w:val="21"/>
                <w:szCs w:val="21"/>
                <w:highlight w:val="none"/>
              </w:rPr>
              <w:t>沉淀处理后</w:t>
            </w:r>
            <w:r>
              <w:rPr>
                <w:rFonts w:hint="eastAsia" w:cs="Times New Roman"/>
                <w:color w:val="auto"/>
                <w:sz w:val="21"/>
                <w:szCs w:val="21"/>
                <w:highlight w:val="none"/>
                <w:lang w:eastAsia="zh-CN"/>
              </w:rPr>
              <w:t>上清液</w:t>
            </w:r>
            <w:r>
              <w:rPr>
                <w:rFonts w:hint="default" w:ascii="Times New Roman" w:hAnsi="Times New Roman" w:cs="Times New Roman"/>
                <w:color w:val="auto"/>
                <w:sz w:val="21"/>
                <w:szCs w:val="21"/>
                <w:highlight w:val="none"/>
              </w:rPr>
              <w:t>循环使用</w:t>
            </w:r>
            <w:bookmarkEnd w:id="7088"/>
            <w:r>
              <w:rPr>
                <w:rFonts w:hint="eastAsia" w:cs="Times New Roman"/>
                <w:color w:val="auto"/>
                <w:sz w:val="21"/>
                <w:szCs w:val="21"/>
                <w:highlight w:val="none"/>
                <w:lang w:eastAsia="zh-CN"/>
              </w:rPr>
              <w:t>，收集的废油定期交由有资质的单位处理，废水不外排</w:t>
            </w:r>
            <w:bookmarkEnd w:id="7089"/>
            <w:bookmarkEnd w:id="7090"/>
          </w:p>
        </w:tc>
      </w:tr>
      <w:tr w14:paraId="3617D8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7D97A136">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51E029F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shd w:val="clear" w:color="auto" w:fill="auto"/>
            <w:vAlign w:val="center"/>
          </w:tcPr>
          <w:p w14:paraId="706D2C64">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bookmarkStart w:id="7091" w:name="_Toc24177"/>
            <w:bookmarkStart w:id="7092" w:name="_Toc17115"/>
            <w:bookmarkStart w:id="7093" w:name="_Toc18189"/>
            <w:r>
              <w:rPr>
                <w:rFonts w:hint="default" w:ascii="Times New Roman" w:hAnsi="Times New Roman" w:eastAsia="宋体" w:cs="Times New Roman"/>
                <w:color w:val="auto"/>
                <w:sz w:val="21"/>
                <w:szCs w:val="21"/>
                <w:highlight w:val="none"/>
              </w:rPr>
              <w:t>施工生活污水</w:t>
            </w:r>
            <w:bookmarkEnd w:id="7091"/>
            <w:bookmarkEnd w:id="7092"/>
            <w:bookmarkEnd w:id="7093"/>
          </w:p>
        </w:tc>
        <w:tc>
          <w:tcPr>
            <w:tcW w:w="6110" w:type="dxa"/>
            <w:tcBorders>
              <w:tl2br w:val="nil"/>
              <w:tr2bl w:val="nil"/>
            </w:tcBorders>
            <w:shd w:val="clear" w:color="auto" w:fill="auto"/>
            <w:vAlign w:val="center"/>
          </w:tcPr>
          <w:p w14:paraId="502C7707">
            <w:pPr>
              <w:pStyle w:val="29"/>
              <w:suppressLineNumbers w:val="0"/>
              <w:bidi w:val="0"/>
              <w:spacing w:beforeAutospacing="0" w:afterAutospacing="0"/>
              <w:ind w:left="0" w:leftChars="0" w:right="0" w:rightChars="0" w:firstLine="0" w:firstLineChars="0"/>
              <w:rPr>
                <w:rFonts w:hint="eastAsia" w:ascii="Times New Roman" w:hAnsi="Times New Roman" w:eastAsia="宋体" w:cs="Times New Roman"/>
                <w:b w:val="0"/>
                <w:color w:val="auto"/>
                <w:kern w:val="0"/>
                <w:sz w:val="21"/>
                <w:szCs w:val="21"/>
                <w:highlight w:val="none"/>
                <w:lang w:val="en-US" w:eastAsia="zh-CN" w:bidi="ar-SA"/>
              </w:rPr>
            </w:pPr>
            <w:bookmarkStart w:id="7094" w:name="_Toc16391"/>
            <w:bookmarkStart w:id="7095" w:name="_Toc3890"/>
            <w:bookmarkStart w:id="7096" w:name="_Toc20312"/>
            <w:r>
              <w:rPr>
                <w:rFonts w:hint="eastAsia" w:ascii="Times New Roman" w:hAnsi="Times New Roman" w:cs="Times New Roman"/>
                <w:color w:val="auto"/>
                <w:sz w:val="21"/>
                <w:szCs w:val="21"/>
                <w:highlight w:val="none"/>
                <w:lang w:eastAsia="zh-CN"/>
              </w:rPr>
              <w:t>租用附近民房，依托旱厕</w:t>
            </w:r>
            <w:bookmarkEnd w:id="7094"/>
            <w:bookmarkEnd w:id="7095"/>
            <w:bookmarkEnd w:id="7096"/>
          </w:p>
        </w:tc>
        <w:tc>
          <w:tcPr>
            <w:tcW w:w="3927" w:type="dxa"/>
            <w:tcBorders>
              <w:tl2br w:val="nil"/>
              <w:tr2bl w:val="nil"/>
            </w:tcBorders>
            <w:shd w:val="clear" w:color="auto" w:fill="auto"/>
            <w:vAlign w:val="center"/>
          </w:tcPr>
          <w:p w14:paraId="372FA607">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b w:val="0"/>
                <w:color w:val="auto"/>
                <w:kern w:val="0"/>
                <w:sz w:val="21"/>
                <w:szCs w:val="21"/>
                <w:highlight w:val="none"/>
                <w:lang w:val="en-US" w:eastAsia="zh-CN" w:bidi="ar-SA"/>
              </w:rPr>
            </w:pPr>
            <w:bookmarkStart w:id="7097" w:name="_Toc11739"/>
            <w:bookmarkStart w:id="7098" w:name="_Toc9121"/>
            <w:bookmarkStart w:id="7099" w:name="_Toc31628"/>
            <w:r>
              <w:rPr>
                <w:rFonts w:hint="default" w:ascii="Times New Roman" w:hAnsi="Times New Roman" w:cs="Times New Roman"/>
                <w:color w:val="auto"/>
                <w:sz w:val="21"/>
                <w:szCs w:val="21"/>
                <w:highlight w:val="none"/>
                <w:lang w:val="en-US" w:eastAsia="zh-CN"/>
              </w:rPr>
              <w:t>定期清掏</w:t>
            </w:r>
            <w:r>
              <w:rPr>
                <w:rFonts w:hint="eastAsia" w:ascii="Times New Roman" w:hAnsi="Times New Roman" w:cs="Times New Roman"/>
                <w:color w:val="auto"/>
                <w:sz w:val="21"/>
                <w:szCs w:val="21"/>
                <w:highlight w:val="none"/>
                <w:lang w:val="en-US" w:eastAsia="zh-CN"/>
              </w:rPr>
              <w:t>，用于农肥</w:t>
            </w:r>
            <w:bookmarkEnd w:id="7097"/>
            <w:bookmarkEnd w:id="7098"/>
            <w:bookmarkEnd w:id="7099"/>
          </w:p>
        </w:tc>
      </w:tr>
      <w:tr w14:paraId="0A3722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296A6E3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restart"/>
            <w:tcBorders>
              <w:tl2br w:val="nil"/>
              <w:tr2bl w:val="nil"/>
            </w:tcBorders>
            <w:vAlign w:val="center"/>
          </w:tcPr>
          <w:p w14:paraId="637A9D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00" w:name="_Toc9228"/>
            <w:bookmarkStart w:id="7101" w:name="_Toc25151"/>
            <w:bookmarkStart w:id="7102" w:name="_Toc9503"/>
            <w:bookmarkStart w:id="7103" w:name="_Toc20308"/>
            <w:bookmarkStart w:id="7104" w:name="_Toc8760"/>
            <w:r>
              <w:rPr>
                <w:rFonts w:hint="default" w:ascii="Times New Roman" w:hAnsi="Times New Roman" w:cs="Times New Roman"/>
                <w:color w:val="auto"/>
                <w:sz w:val="21"/>
                <w:szCs w:val="21"/>
                <w:highlight w:val="none"/>
              </w:rPr>
              <w:t>噪声</w:t>
            </w:r>
            <w:bookmarkEnd w:id="7100"/>
            <w:bookmarkEnd w:id="7101"/>
            <w:bookmarkEnd w:id="7102"/>
            <w:bookmarkEnd w:id="7103"/>
            <w:bookmarkEnd w:id="7104"/>
          </w:p>
        </w:tc>
        <w:tc>
          <w:tcPr>
            <w:tcW w:w="2230" w:type="dxa"/>
            <w:gridSpan w:val="2"/>
            <w:tcBorders>
              <w:tl2br w:val="nil"/>
              <w:tr2bl w:val="nil"/>
            </w:tcBorders>
            <w:vAlign w:val="center"/>
          </w:tcPr>
          <w:p w14:paraId="488D1C41">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105" w:name="_Toc5881"/>
            <w:bookmarkStart w:id="7106" w:name="_Toc2089"/>
            <w:bookmarkStart w:id="7107" w:name="_Toc5092"/>
            <w:bookmarkStart w:id="7108" w:name="_Toc25776"/>
            <w:bookmarkStart w:id="7109" w:name="_Toc23922"/>
            <w:r>
              <w:rPr>
                <w:rFonts w:hint="default" w:ascii="Times New Roman" w:hAnsi="Times New Roman" w:eastAsia="宋体" w:cs="Times New Roman"/>
                <w:color w:val="auto"/>
                <w:sz w:val="21"/>
                <w:szCs w:val="21"/>
                <w:highlight w:val="none"/>
              </w:rPr>
              <w:t>车辆运输噪声控制</w:t>
            </w:r>
            <w:bookmarkEnd w:id="7105"/>
            <w:bookmarkEnd w:id="7106"/>
            <w:bookmarkEnd w:id="7107"/>
            <w:bookmarkEnd w:id="7108"/>
            <w:bookmarkEnd w:id="7109"/>
          </w:p>
        </w:tc>
        <w:tc>
          <w:tcPr>
            <w:tcW w:w="6110" w:type="dxa"/>
            <w:tcBorders>
              <w:tl2br w:val="nil"/>
              <w:tr2bl w:val="nil"/>
            </w:tcBorders>
            <w:vAlign w:val="center"/>
          </w:tcPr>
          <w:p w14:paraId="03D55E1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10" w:name="_Toc13801"/>
            <w:bookmarkStart w:id="7111" w:name="_Toc14108"/>
            <w:bookmarkStart w:id="7112" w:name="_Toc19883"/>
            <w:bookmarkStart w:id="7113" w:name="_Toc28674"/>
            <w:bookmarkStart w:id="7114" w:name="_Toc8920"/>
            <w:r>
              <w:rPr>
                <w:rFonts w:hint="default" w:ascii="Times New Roman" w:hAnsi="Times New Roman" w:cs="Times New Roman"/>
                <w:color w:val="auto"/>
                <w:sz w:val="21"/>
                <w:szCs w:val="21"/>
                <w:highlight w:val="none"/>
              </w:rPr>
              <w:t>减缓车速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行车速度控制在20km/h以内，并禁止鸣笛，设置警示牌、限速标志。</w:t>
            </w:r>
            <w:bookmarkEnd w:id="7110"/>
            <w:bookmarkEnd w:id="7111"/>
            <w:bookmarkEnd w:id="7112"/>
            <w:bookmarkEnd w:id="7113"/>
            <w:bookmarkEnd w:id="7114"/>
          </w:p>
        </w:tc>
        <w:tc>
          <w:tcPr>
            <w:tcW w:w="3927" w:type="dxa"/>
            <w:vMerge w:val="restart"/>
            <w:tcBorders>
              <w:tl2br w:val="nil"/>
              <w:tr2bl w:val="nil"/>
            </w:tcBorders>
            <w:vAlign w:val="center"/>
          </w:tcPr>
          <w:p w14:paraId="5ECEEA8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15" w:name="_Toc1241"/>
            <w:bookmarkStart w:id="7116" w:name="_Toc28212"/>
            <w:bookmarkStart w:id="7117" w:name="_Toc15329"/>
            <w:bookmarkStart w:id="7118" w:name="_Toc5559"/>
            <w:bookmarkStart w:id="7119" w:name="_Toc25513"/>
            <w:r>
              <w:rPr>
                <w:rFonts w:hint="default" w:ascii="Times New Roman" w:hAnsi="Times New Roman" w:cs="Times New Roman"/>
                <w:color w:val="auto"/>
                <w:sz w:val="21"/>
                <w:szCs w:val="21"/>
                <w:highlight w:val="none"/>
              </w:rPr>
              <w:t>控制和降低噪声</w:t>
            </w:r>
            <w:bookmarkEnd w:id="7115"/>
            <w:bookmarkEnd w:id="7116"/>
            <w:bookmarkEnd w:id="7117"/>
            <w:bookmarkEnd w:id="7118"/>
            <w:bookmarkEnd w:id="7119"/>
          </w:p>
        </w:tc>
      </w:tr>
      <w:tr w14:paraId="69818F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1B983065">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7DD894EC">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3BC095C8">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120" w:name="_Toc2648"/>
            <w:bookmarkStart w:id="7121" w:name="_Toc30163"/>
            <w:bookmarkStart w:id="7122" w:name="_Toc211"/>
            <w:bookmarkStart w:id="7123" w:name="_Toc23623"/>
            <w:bookmarkStart w:id="7124" w:name="_Toc920"/>
            <w:r>
              <w:rPr>
                <w:rFonts w:hint="default" w:ascii="Times New Roman" w:hAnsi="Times New Roman" w:eastAsia="宋体" w:cs="Times New Roman"/>
                <w:color w:val="auto"/>
                <w:sz w:val="21"/>
                <w:szCs w:val="21"/>
                <w:highlight w:val="none"/>
              </w:rPr>
              <w:t>施工</w:t>
            </w:r>
            <w:bookmarkEnd w:id="7120"/>
            <w:bookmarkEnd w:id="7121"/>
            <w:bookmarkEnd w:id="7122"/>
            <w:bookmarkEnd w:id="7123"/>
            <w:bookmarkEnd w:id="7124"/>
          </w:p>
        </w:tc>
        <w:tc>
          <w:tcPr>
            <w:tcW w:w="6110" w:type="dxa"/>
            <w:tcBorders>
              <w:tl2br w:val="nil"/>
              <w:tr2bl w:val="nil"/>
            </w:tcBorders>
            <w:vAlign w:val="center"/>
          </w:tcPr>
          <w:p w14:paraId="2458136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25" w:name="_Toc1803"/>
            <w:bookmarkStart w:id="7126" w:name="_Toc24220"/>
            <w:bookmarkStart w:id="7127" w:name="_Toc32008"/>
            <w:bookmarkStart w:id="7128" w:name="_Toc13769"/>
            <w:bookmarkStart w:id="7129" w:name="_Toc14380"/>
            <w:r>
              <w:rPr>
                <w:rFonts w:hint="default" w:ascii="Times New Roman" w:hAnsi="Times New Roman" w:cs="Times New Roman"/>
                <w:color w:val="auto"/>
                <w:sz w:val="21"/>
                <w:szCs w:val="21"/>
                <w:highlight w:val="none"/>
              </w:rPr>
              <w:t>选用低噪声的设备和工艺</w:t>
            </w:r>
            <w:bookmarkEnd w:id="7125"/>
            <w:bookmarkEnd w:id="7126"/>
            <w:bookmarkEnd w:id="7127"/>
            <w:bookmarkEnd w:id="7128"/>
            <w:bookmarkEnd w:id="7129"/>
          </w:p>
        </w:tc>
        <w:tc>
          <w:tcPr>
            <w:tcW w:w="3927" w:type="dxa"/>
            <w:vMerge w:val="continue"/>
            <w:tcBorders>
              <w:tl2br w:val="nil"/>
              <w:tr2bl w:val="nil"/>
            </w:tcBorders>
            <w:vAlign w:val="center"/>
          </w:tcPr>
          <w:p w14:paraId="4E022CD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54FB43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1786C55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2BF2EA9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795A71EE">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130" w:name="_Toc23842"/>
            <w:bookmarkStart w:id="7131" w:name="_Toc27601"/>
            <w:bookmarkStart w:id="7132" w:name="_Toc11893"/>
            <w:bookmarkStart w:id="7133" w:name="_Toc24581"/>
            <w:bookmarkStart w:id="7134" w:name="_Toc22032"/>
            <w:r>
              <w:rPr>
                <w:rFonts w:hint="default" w:ascii="Times New Roman" w:hAnsi="Times New Roman" w:eastAsia="宋体" w:cs="Times New Roman"/>
                <w:color w:val="auto"/>
                <w:sz w:val="21"/>
                <w:szCs w:val="21"/>
                <w:highlight w:val="none"/>
              </w:rPr>
              <w:t>村镇、居民点降噪</w:t>
            </w:r>
            <w:bookmarkEnd w:id="7130"/>
            <w:bookmarkEnd w:id="7131"/>
            <w:bookmarkEnd w:id="7132"/>
            <w:bookmarkEnd w:id="7133"/>
            <w:bookmarkEnd w:id="7134"/>
          </w:p>
        </w:tc>
        <w:tc>
          <w:tcPr>
            <w:tcW w:w="6110" w:type="dxa"/>
            <w:tcBorders>
              <w:tl2br w:val="nil"/>
              <w:tr2bl w:val="nil"/>
            </w:tcBorders>
            <w:vAlign w:val="center"/>
          </w:tcPr>
          <w:p w14:paraId="62E5AA7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35" w:name="_Toc3908"/>
            <w:bookmarkStart w:id="7136" w:name="_Toc10245"/>
            <w:bookmarkStart w:id="7137" w:name="_Toc2869"/>
            <w:bookmarkStart w:id="7138" w:name="_Toc27424"/>
            <w:bookmarkStart w:id="7139" w:name="_Toc23582"/>
            <w:r>
              <w:rPr>
                <w:rFonts w:hint="default" w:ascii="Times New Roman" w:hAnsi="Times New Roman" w:eastAsia="宋体" w:cs="Times New Roman"/>
                <w:color w:val="auto"/>
                <w:sz w:val="21"/>
                <w:szCs w:val="21"/>
                <w:highlight w:val="none"/>
                <w:lang w:eastAsia="zh-CN"/>
              </w:rPr>
              <w:t>临近敏感点施工时，应尽量避免多台施工机械同时施工，并禁止夜间施工</w:t>
            </w:r>
            <w:r>
              <w:rPr>
                <w:rFonts w:hint="default" w:ascii="Times New Roman" w:hAnsi="Times New Roman" w:eastAsia="宋体" w:cs="Times New Roman"/>
                <w:color w:val="auto"/>
                <w:sz w:val="21"/>
                <w:szCs w:val="21"/>
                <w:highlight w:val="none"/>
              </w:rPr>
              <w:t>，张贴施工公告</w:t>
            </w:r>
            <w:r>
              <w:rPr>
                <w:rFonts w:hint="default" w:ascii="Times New Roman" w:hAnsi="Times New Roman" w:cs="Times New Roman"/>
                <w:color w:val="auto"/>
                <w:sz w:val="21"/>
                <w:szCs w:val="21"/>
                <w:highlight w:val="none"/>
              </w:rPr>
              <w:t>。</w:t>
            </w:r>
            <w:bookmarkEnd w:id="7135"/>
            <w:bookmarkEnd w:id="7136"/>
            <w:bookmarkEnd w:id="7137"/>
            <w:r>
              <w:rPr>
                <w:rFonts w:hint="default" w:ascii="Times New Roman" w:hAnsi="Times New Roman" w:cs="Times New Roman"/>
                <w:color w:val="auto"/>
                <w:sz w:val="21"/>
                <w:szCs w:val="21"/>
                <w:highlight w:val="none"/>
              </w:rPr>
              <w:t>沙河村和川口村施工区域设置高效声屏障</w:t>
            </w:r>
            <w:bookmarkEnd w:id="7138"/>
            <w:bookmarkEnd w:id="7139"/>
          </w:p>
        </w:tc>
        <w:tc>
          <w:tcPr>
            <w:tcW w:w="3927" w:type="dxa"/>
            <w:vMerge w:val="continue"/>
            <w:tcBorders>
              <w:tl2br w:val="nil"/>
              <w:tr2bl w:val="nil"/>
            </w:tcBorders>
            <w:vAlign w:val="center"/>
          </w:tcPr>
          <w:p w14:paraId="4878A0BD">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r>
      <w:tr w14:paraId="7D0A65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459" w:type="dxa"/>
            <w:vMerge w:val="continue"/>
            <w:tcBorders>
              <w:tl2br w:val="nil"/>
              <w:tr2bl w:val="nil"/>
            </w:tcBorders>
            <w:vAlign w:val="center"/>
          </w:tcPr>
          <w:p w14:paraId="77196904">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restart"/>
            <w:tcBorders>
              <w:tl2br w:val="nil"/>
              <w:tr2bl w:val="nil"/>
            </w:tcBorders>
            <w:vAlign w:val="center"/>
          </w:tcPr>
          <w:p w14:paraId="22ED455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40" w:name="_Toc11338"/>
            <w:bookmarkStart w:id="7141" w:name="_Toc6778"/>
            <w:bookmarkStart w:id="7142" w:name="_Toc22084"/>
            <w:bookmarkStart w:id="7143" w:name="_Toc30624"/>
            <w:bookmarkStart w:id="7144" w:name="_Toc26607"/>
            <w:r>
              <w:rPr>
                <w:rFonts w:hint="default" w:ascii="Times New Roman" w:hAnsi="Times New Roman" w:cs="Times New Roman"/>
                <w:color w:val="auto"/>
                <w:sz w:val="21"/>
                <w:szCs w:val="21"/>
                <w:highlight w:val="none"/>
              </w:rPr>
              <w:t>固废</w:t>
            </w:r>
            <w:bookmarkEnd w:id="7140"/>
            <w:bookmarkEnd w:id="7141"/>
            <w:bookmarkEnd w:id="7142"/>
            <w:bookmarkEnd w:id="7143"/>
            <w:bookmarkEnd w:id="7144"/>
          </w:p>
        </w:tc>
        <w:tc>
          <w:tcPr>
            <w:tcW w:w="2230" w:type="dxa"/>
            <w:gridSpan w:val="2"/>
            <w:tcBorders>
              <w:tl2br w:val="nil"/>
              <w:tr2bl w:val="nil"/>
            </w:tcBorders>
            <w:vAlign w:val="center"/>
          </w:tcPr>
          <w:p w14:paraId="42687DF5">
            <w:pPr>
              <w:pStyle w:val="29"/>
              <w:suppressLineNumbers w:val="0"/>
              <w:bidi w:val="0"/>
              <w:spacing w:beforeAutospacing="0" w:afterAutospacing="0"/>
              <w:ind w:left="0" w:leftChars="0" w:right="0" w:rightChars="0" w:firstLine="0" w:firstLineChars="0"/>
              <w:rPr>
                <w:rFonts w:hint="default" w:ascii="Times New Roman" w:hAnsi="Times New Roman" w:eastAsia="宋体" w:cs="Times New Roman"/>
                <w:color w:val="auto"/>
                <w:sz w:val="21"/>
                <w:szCs w:val="21"/>
                <w:highlight w:val="none"/>
              </w:rPr>
            </w:pPr>
            <w:bookmarkStart w:id="7145" w:name="_Toc8057"/>
            <w:bookmarkStart w:id="7146" w:name="_Toc98"/>
            <w:bookmarkStart w:id="7147" w:name="_Toc23166"/>
            <w:bookmarkStart w:id="7148" w:name="_Toc12606"/>
            <w:bookmarkStart w:id="7149" w:name="_Toc2357"/>
            <w:r>
              <w:rPr>
                <w:rFonts w:hint="default" w:ascii="Times New Roman" w:hAnsi="Times New Roman" w:eastAsia="宋体" w:cs="Times New Roman"/>
                <w:color w:val="auto"/>
                <w:sz w:val="21"/>
                <w:szCs w:val="21"/>
                <w:highlight w:val="none"/>
              </w:rPr>
              <w:t>建筑垃圾</w:t>
            </w:r>
            <w:bookmarkEnd w:id="7145"/>
            <w:bookmarkEnd w:id="7146"/>
            <w:bookmarkEnd w:id="7147"/>
            <w:bookmarkEnd w:id="7148"/>
            <w:bookmarkEnd w:id="7149"/>
          </w:p>
        </w:tc>
        <w:tc>
          <w:tcPr>
            <w:tcW w:w="6110" w:type="dxa"/>
            <w:tcBorders>
              <w:tl2br w:val="nil"/>
              <w:tr2bl w:val="nil"/>
            </w:tcBorders>
            <w:vAlign w:val="center"/>
          </w:tcPr>
          <w:p w14:paraId="68972539">
            <w:pPr>
              <w:pStyle w:val="29"/>
              <w:suppressLineNumbers w:val="0"/>
              <w:bidi w:val="0"/>
              <w:spacing w:beforeAutospacing="0" w:afterAutospacing="0"/>
              <w:ind w:left="0" w:right="0"/>
              <w:rPr>
                <w:rFonts w:hint="default" w:ascii="Times New Roman" w:hAnsi="Times New Roman" w:eastAsia="宋体" w:cs="Times New Roman"/>
                <w:color w:val="auto"/>
                <w:sz w:val="21"/>
                <w:szCs w:val="21"/>
                <w:highlight w:val="none"/>
                <w:lang w:val="en-US" w:eastAsia="zh-CN"/>
              </w:rPr>
            </w:pPr>
            <w:bookmarkStart w:id="7150" w:name="_Toc17995"/>
            <w:bookmarkStart w:id="7151" w:name="_Toc21563"/>
            <w:bookmarkStart w:id="7152" w:name="_Toc21386"/>
            <w:bookmarkStart w:id="7153" w:name="_Toc21900"/>
            <w:bookmarkStart w:id="7154" w:name="_Toc4743"/>
            <w:r>
              <w:rPr>
                <w:rFonts w:hint="default" w:ascii="Times New Roman" w:hAnsi="Times New Roman" w:cs="Times New Roman"/>
                <w:color w:val="auto"/>
                <w:sz w:val="21"/>
                <w:szCs w:val="21"/>
                <w:highlight w:val="none"/>
              </w:rPr>
              <w:t>送至</w:t>
            </w:r>
            <w:r>
              <w:rPr>
                <w:rFonts w:hint="default" w:ascii="Times New Roman" w:hAnsi="Times New Roman" w:cs="Times New Roman"/>
                <w:color w:val="auto"/>
                <w:sz w:val="21"/>
                <w:szCs w:val="21"/>
                <w:highlight w:val="none"/>
                <w:lang w:val="en-US" w:eastAsia="zh-CN"/>
              </w:rPr>
              <w:t>当地建筑垃圾消纳场</w:t>
            </w:r>
            <w:bookmarkEnd w:id="7150"/>
            <w:bookmarkEnd w:id="7151"/>
            <w:bookmarkEnd w:id="7152"/>
            <w:bookmarkEnd w:id="7153"/>
            <w:bookmarkEnd w:id="7154"/>
          </w:p>
        </w:tc>
        <w:tc>
          <w:tcPr>
            <w:tcW w:w="3927" w:type="dxa"/>
            <w:tcBorders>
              <w:tl2br w:val="nil"/>
              <w:tr2bl w:val="nil"/>
            </w:tcBorders>
            <w:vAlign w:val="center"/>
          </w:tcPr>
          <w:p w14:paraId="3CDF615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55" w:name="_Toc30500"/>
            <w:bookmarkStart w:id="7156" w:name="_Toc20476"/>
            <w:bookmarkStart w:id="7157" w:name="_Toc23566"/>
            <w:bookmarkStart w:id="7158" w:name="_Toc17899"/>
            <w:bookmarkStart w:id="7159" w:name="_Toc25211"/>
            <w:r>
              <w:rPr>
                <w:rFonts w:hint="default" w:ascii="Times New Roman" w:hAnsi="Times New Roman" w:cs="Times New Roman"/>
                <w:color w:val="auto"/>
                <w:sz w:val="21"/>
                <w:szCs w:val="21"/>
                <w:highlight w:val="none"/>
              </w:rPr>
              <w:t>减少对周围环境的影响</w:t>
            </w:r>
            <w:bookmarkEnd w:id="7155"/>
            <w:bookmarkEnd w:id="7156"/>
            <w:bookmarkEnd w:id="7157"/>
            <w:bookmarkEnd w:id="7158"/>
            <w:bookmarkEnd w:id="7159"/>
          </w:p>
        </w:tc>
      </w:tr>
      <w:tr w14:paraId="3AF098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00D0AF9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0E0C08E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611527B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60" w:name="_Toc22770"/>
            <w:bookmarkStart w:id="7161" w:name="_Toc5544"/>
            <w:bookmarkStart w:id="7162" w:name="_Toc11075"/>
            <w:bookmarkStart w:id="7163" w:name="_Toc2738"/>
            <w:bookmarkStart w:id="7164" w:name="_Toc7894"/>
            <w:r>
              <w:rPr>
                <w:rFonts w:hint="default" w:ascii="Times New Roman" w:hAnsi="Times New Roman" w:cs="Times New Roman"/>
                <w:color w:val="auto"/>
                <w:sz w:val="21"/>
                <w:szCs w:val="21"/>
                <w:highlight w:val="none"/>
              </w:rPr>
              <w:t>生活垃圾</w:t>
            </w:r>
            <w:bookmarkEnd w:id="7160"/>
            <w:bookmarkEnd w:id="7161"/>
            <w:bookmarkEnd w:id="7162"/>
            <w:bookmarkEnd w:id="7163"/>
            <w:bookmarkEnd w:id="7164"/>
          </w:p>
        </w:tc>
        <w:tc>
          <w:tcPr>
            <w:tcW w:w="6110" w:type="dxa"/>
            <w:tcBorders>
              <w:tl2br w:val="nil"/>
              <w:tr2bl w:val="nil"/>
            </w:tcBorders>
            <w:vAlign w:val="center"/>
          </w:tcPr>
          <w:p w14:paraId="3C8B6EF1">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7165" w:name="_Toc30516"/>
            <w:bookmarkStart w:id="7166" w:name="_Toc4648"/>
            <w:r>
              <w:rPr>
                <w:rFonts w:hint="default" w:ascii="Times New Roman" w:hAnsi="Times New Roman" w:cs="Times New Roman"/>
                <w:color w:val="auto"/>
                <w:sz w:val="21"/>
                <w:szCs w:val="21"/>
                <w:highlight w:val="none"/>
              </w:rPr>
              <w:t>依托租用民房垃圾桶集中收集后，交由乡镇环卫部门统一处理</w:t>
            </w:r>
            <w:r>
              <w:rPr>
                <w:rFonts w:hint="eastAsia" w:cs="Times New Roman"/>
                <w:color w:val="auto"/>
                <w:sz w:val="21"/>
                <w:szCs w:val="21"/>
                <w:highlight w:val="none"/>
                <w:lang w:eastAsia="zh-CN"/>
              </w:rPr>
              <w:t>。</w:t>
            </w:r>
            <w:bookmarkEnd w:id="7165"/>
            <w:bookmarkEnd w:id="7166"/>
          </w:p>
        </w:tc>
        <w:tc>
          <w:tcPr>
            <w:tcW w:w="3927" w:type="dxa"/>
            <w:tcBorders>
              <w:tl2br w:val="nil"/>
              <w:tr2bl w:val="nil"/>
            </w:tcBorders>
            <w:vAlign w:val="center"/>
          </w:tcPr>
          <w:p w14:paraId="544AE4E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67" w:name="_Toc28640"/>
            <w:bookmarkStart w:id="7168" w:name="_Toc30570"/>
            <w:bookmarkStart w:id="7169" w:name="_Toc23221"/>
            <w:bookmarkStart w:id="7170" w:name="_Toc25583"/>
            <w:bookmarkStart w:id="7171" w:name="_Toc6540"/>
            <w:r>
              <w:rPr>
                <w:rFonts w:hint="default" w:ascii="Times New Roman" w:hAnsi="Times New Roman" w:cs="Times New Roman"/>
                <w:color w:val="auto"/>
                <w:sz w:val="21"/>
                <w:szCs w:val="21"/>
                <w:highlight w:val="none"/>
              </w:rPr>
              <w:t>送当地环卫部门处置</w:t>
            </w:r>
            <w:bookmarkEnd w:id="7167"/>
            <w:bookmarkEnd w:id="7168"/>
            <w:bookmarkEnd w:id="7169"/>
            <w:bookmarkEnd w:id="7170"/>
            <w:bookmarkEnd w:id="7171"/>
          </w:p>
        </w:tc>
      </w:tr>
      <w:tr w14:paraId="7CF756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459" w:type="dxa"/>
            <w:vMerge w:val="continue"/>
            <w:tcBorders>
              <w:tl2br w:val="nil"/>
              <w:tr2bl w:val="nil"/>
            </w:tcBorders>
            <w:vAlign w:val="center"/>
          </w:tcPr>
          <w:p w14:paraId="2BAEFCE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037F83B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746DB713">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7172" w:name="_Toc27598"/>
            <w:bookmarkStart w:id="7173" w:name="_Toc5330"/>
            <w:bookmarkStart w:id="7174" w:name="_Toc31347"/>
            <w:r>
              <w:rPr>
                <w:rFonts w:hint="eastAsia" w:cs="Times New Roman"/>
                <w:color w:val="auto"/>
                <w:sz w:val="21"/>
                <w:szCs w:val="21"/>
                <w:highlight w:val="none"/>
                <w:lang w:eastAsia="zh-CN"/>
              </w:rPr>
              <w:t>弃土</w:t>
            </w:r>
            <w:bookmarkEnd w:id="7172"/>
            <w:bookmarkEnd w:id="7173"/>
            <w:bookmarkEnd w:id="7174"/>
          </w:p>
        </w:tc>
        <w:tc>
          <w:tcPr>
            <w:tcW w:w="6110" w:type="dxa"/>
            <w:tcBorders>
              <w:tl2br w:val="nil"/>
              <w:tr2bl w:val="nil"/>
            </w:tcBorders>
            <w:vAlign w:val="center"/>
          </w:tcPr>
          <w:p w14:paraId="1496524D">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7175" w:name="_Toc19404"/>
            <w:bookmarkStart w:id="7176" w:name="_Toc30523"/>
            <w:bookmarkStart w:id="7177" w:name="_Toc25547"/>
            <w:r>
              <w:rPr>
                <w:rFonts w:hint="eastAsia" w:cs="Times New Roman"/>
                <w:color w:val="auto"/>
                <w:sz w:val="21"/>
                <w:szCs w:val="21"/>
                <w:highlight w:val="none"/>
                <w:lang w:eastAsia="zh-CN"/>
              </w:rPr>
              <w:t>疏浚土方在河底自然晾干后运至川口河段用于护岸工程土方回填，水库淤泥在库底自然晾干，淤泥及临时道路开挖土方运至水库附近7处堆场依次堆存，并进行草籽播撒</w:t>
            </w:r>
            <w:bookmarkEnd w:id="7175"/>
            <w:bookmarkEnd w:id="7176"/>
            <w:bookmarkEnd w:id="7177"/>
          </w:p>
        </w:tc>
        <w:tc>
          <w:tcPr>
            <w:tcW w:w="3927" w:type="dxa"/>
            <w:tcBorders>
              <w:tl2br w:val="nil"/>
              <w:tr2bl w:val="nil"/>
            </w:tcBorders>
            <w:vAlign w:val="center"/>
          </w:tcPr>
          <w:p w14:paraId="4AB8D869">
            <w:pPr>
              <w:pStyle w:val="29"/>
              <w:suppressLineNumbers w:val="0"/>
              <w:bidi w:val="0"/>
              <w:spacing w:beforeAutospacing="0" w:afterAutospacing="0"/>
              <w:ind w:left="0" w:right="0"/>
              <w:rPr>
                <w:rFonts w:hint="eastAsia" w:ascii="Times New Roman" w:hAnsi="Times New Roman" w:eastAsia="宋体" w:cs="Times New Roman"/>
                <w:color w:val="auto"/>
                <w:sz w:val="21"/>
                <w:szCs w:val="21"/>
                <w:highlight w:val="none"/>
                <w:lang w:eastAsia="zh-CN"/>
              </w:rPr>
            </w:pPr>
            <w:bookmarkStart w:id="7178" w:name="_Toc25802"/>
            <w:bookmarkStart w:id="7179" w:name="_Toc4221"/>
            <w:bookmarkStart w:id="7180" w:name="_Toc32091"/>
            <w:r>
              <w:rPr>
                <w:rFonts w:hint="eastAsia" w:cs="Times New Roman"/>
                <w:color w:val="auto"/>
                <w:sz w:val="21"/>
                <w:szCs w:val="21"/>
                <w:highlight w:val="none"/>
                <w:lang w:eastAsia="zh-CN"/>
              </w:rPr>
              <w:t>弃土</w:t>
            </w:r>
            <w:bookmarkEnd w:id="7178"/>
            <w:r>
              <w:rPr>
                <w:rFonts w:hint="eastAsia" w:cs="Times New Roman"/>
                <w:color w:val="auto"/>
                <w:sz w:val="21"/>
                <w:szCs w:val="21"/>
                <w:highlight w:val="none"/>
                <w:lang w:eastAsia="zh-CN"/>
              </w:rPr>
              <w:t>就地处置</w:t>
            </w:r>
            <w:bookmarkEnd w:id="7179"/>
            <w:bookmarkEnd w:id="7180"/>
          </w:p>
        </w:tc>
      </w:tr>
      <w:tr w14:paraId="69A4D4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459" w:type="dxa"/>
            <w:vMerge w:val="continue"/>
            <w:tcBorders>
              <w:tl2br w:val="nil"/>
              <w:tr2bl w:val="nil"/>
            </w:tcBorders>
            <w:vAlign w:val="center"/>
          </w:tcPr>
          <w:p w14:paraId="4153826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restart"/>
            <w:tcBorders>
              <w:tl2br w:val="nil"/>
              <w:tr2bl w:val="nil"/>
            </w:tcBorders>
            <w:vAlign w:val="center"/>
          </w:tcPr>
          <w:p w14:paraId="440EE2F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81" w:name="_Toc19819"/>
            <w:bookmarkStart w:id="7182" w:name="_Toc14328"/>
            <w:bookmarkStart w:id="7183" w:name="_Toc32038"/>
            <w:bookmarkStart w:id="7184" w:name="_Toc26950"/>
            <w:bookmarkStart w:id="7185" w:name="_Toc11007"/>
            <w:r>
              <w:rPr>
                <w:rFonts w:hint="default" w:ascii="Times New Roman" w:hAnsi="Times New Roman" w:cs="Times New Roman"/>
                <w:color w:val="auto"/>
                <w:sz w:val="21"/>
                <w:szCs w:val="21"/>
                <w:highlight w:val="none"/>
              </w:rPr>
              <w:t>生态</w:t>
            </w:r>
            <w:bookmarkEnd w:id="7181"/>
            <w:bookmarkEnd w:id="7182"/>
            <w:bookmarkEnd w:id="7183"/>
            <w:bookmarkEnd w:id="7184"/>
            <w:bookmarkEnd w:id="7185"/>
          </w:p>
        </w:tc>
        <w:tc>
          <w:tcPr>
            <w:tcW w:w="2230" w:type="dxa"/>
            <w:gridSpan w:val="2"/>
            <w:tcBorders>
              <w:tl2br w:val="nil"/>
              <w:tr2bl w:val="nil"/>
            </w:tcBorders>
            <w:vAlign w:val="center"/>
          </w:tcPr>
          <w:p w14:paraId="56608AD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86" w:name="_Toc4338"/>
            <w:bookmarkStart w:id="7187" w:name="_Toc13945"/>
            <w:bookmarkStart w:id="7188" w:name="_Toc13908"/>
            <w:bookmarkStart w:id="7189" w:name="_Toc15942"/>
            <w:bookmarkStart w:id="7190" w:name="_Toc21334"/>
            <w:r>
              <w:rPr>
                <w:rFonts w:hint="default" w:ascii="Times New Roman" w:hAnsi="Times New Roman" w:cs="Times New Roman"/>
                <w:color w:val="auto"/>
                <w:sz w:val="21"/>
                <w:szCs w:val="21"/>
                <w:highlight w:val="none"/>
              </w:rPr>
              <w:t>植被及植物</w:t>
            </w:r>
            <w:bookmarkEnd w:id="7186"/>
            <w:bookmarkEnd w:id="7187"/>
            <w:bookmarkEnd w:id="7188"/>
            <w:bookmarkEnd w:id="7189"/>
            <w:bookmarkEnd w:id="7190"/>
          </w:p>
        </w:tc>
        <w:tc>
          <w:tcPr>
            <w:tcW w:w="6110" w:type="dxa"/>
            <w:tcBorders>
              <w:tl2br w:val="nil"/>
              <w:tr2bl w:val="nil"/>
            </w:tcBorders>
            <w:vAlign w:val="center"/>
          </w:tcPr>
          <w:p w14:paraId="43C28885">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eastAsia="zh-CN"/>
              </w:rPr>
            </w:pPr>
            <w:bookmarkStart w:id="7191" w:name="_Toc6465"/>
            <w:bookmarkStart w:id="7192" w:name="_Toc18083"/>
            <w:bookmarkStart w:id="7193" w:name="_Toc11447"/>
            <w:bookmarkStart w:id="7194" w:name="_Toc31261"/>
            <w:bookmarkStart w:id="7195" w:name="_Toc1376"/>
            <w:r>
              <w:rPr>
                <w:rFonts w:hint="default" w:ascii="Times New Roman" w:hAnsi="Times New Roman" w:cs="Times New Roman"/>
                <w:color w:val="auto"/>
                <w:sz w:val="21"/>
                <w:szCs w:val="21"/>
                <w:highlight w:val="none"/>
              </w:rPr>
              <w:t>表土恢复，临时占地土地平整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对</w:t>
            </w:r>
            <w:r>
              <w:rPr>
                <w:rFonts w:hint="eastAsia" w:cs="Times New Roman"/>
                <w:color w:val="auto"/>
                <w:sz w:val="21"/>
                <w:szCs w:val="21"/>
                <w:highlight w:val="none"/>
                <w:lang w:eastAsia="zh-CN"/>
              </w:rPr>
              <w:t>临时占地</w:t>
            </w:r>
            <w:r>
              <w:rPr>
                <w:rFonts w:hint="default" w:ascii="Times New Roman" w:hAnsi="Times New Roman" w:cs="Times New Roman"/>
                <w:color w:val="auto"/>
                <w:sz w:val="21"/>
                <w:szCs w:val="21"/>
                <w:highlight w:val="none"/>
              </w:rPr>
              <w:t>撒播种草，恢复自然植被</w:t>
            </w:r>
            <w:bookmarkEnd w:id="7191"/>
            <w:bookmarkEnd w:id="7192"/>
            <w:bookmarkEnd w:id="7193"/>
            <w:bookmarkEnd w:id="7194"/>
            <w:bookmarkEnd w:id="7195"/>
          </w:p>
        </w:tc>
        <w:tc>
          <w:tcPr>
            <w:tcW w:w="3927" w:type="dxa"/>
            <w:tcBorders>
              <w:tl2br w:val="nil"/>
              <w:tr2bl w:val="nil"/>
            </w:tcBorders>
            <w:vAlign w:val="center"/>
          </w:tcPr>
          <w:p w14:paraId="4C1A14C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196" w:name="_Toc8229"/>
            <w:bookmarkStart w:id="7197" w:name="_Toc21439"/>
            <w:bookmarkStart w:id="7198" w:name="_Toc16762"/>
            <w:bookmarkStart w:id="7199" w:name="_Toc12161"/>
            <w:bookmarkStart w:id="7200" w:name="_Toc27630"/>
            <w:r>
              <w:rPr>
                <w:rFonts w:hint="default" w:ascii="Times New Roman" w:hAnsi="Times New Roman" w:cs="Times New Roman"/>
                <w:color w:val="auto"/>
                <w:sz w:val="21"/>
                <w:szCs w:val="21"/>
                <w:highlight w:val="none"/>
              </w:rPr>
              <w:t>减少对植物植被的影响</w:t>
            </w:r>
            <w:bookmarkEnd w:id="7196"/>
            <w:bookmarkEnd w:id="7197"/>
            <w:bookmarkEnd w:id="7198"/>
            <w:bookmarkEnd w:id="7199"/>
            <w:bookmarkEnd w:id="7200"/>
          </w:p>
        </w:tc>
      </w:tr>
      <w:tr w14:paraId="13E61D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459" w:type="dxa"/>
            <w:vMerge w:val="continue"/>
            <w:tcBorders>
              <w:tl2br w:val="nil"/>
              <w:tr2bl w:val="nil"/>
            </w:tcBorders>
            <w:vAlign w:val="center"/>
          </w:tcPr>
          <w:p w14:paraId="2805A49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447" w:type="dxa"/>
            <w:vMerge w:val="continue"/>
            <w:tcBorders>
              <w:tl2br w:val="nil"/>
              <w:tr2bl w:val="nil"/>
            </w:tcBorders>
            <w:vAlign w:val="center"/>
          </w:tcPr>
          <w:p w14:paraId="6C2EB893">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rPr>
            </w:pPr>
          </w:p>
        </w:tc>
        <w:tc>
          <w:tcPr>
            <w:tcW w:w="2230" w:type="dxa"/>
            <w:gridSpan w:val="2"/>
            <w:tcBorders>
              <w:tl2br w:val="nil"/>
              <w:tr2bl w:val="nil"/>
            </w:tcBorders>
            <w:vAlign w:val="center"/>
          </w:tcPr>
          <w:p w14:paraId="0D01F3F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01" w:name="_Toc18505"/>
            <w:bookmarkStart w:id="7202" w:name="_Toc6189"/>
            <w:bookmarkStart w:id="7203" w:name="_Toc8443"/>
            <w:bookmarkStart w:id="7204" w:name="_Toc27100"/>
            <w:bookmarkStart w:id="7205" w:name="_Toc3341"/>
            <w:r>
              <w:rPr>
                <w:rFonts w:hint="default" w:ascii="Times New Roman" w:hAnsi="Times New Roman" w:cs="Times New Roman"/>
                <w:color w:val="auto"/>
                <w:sz w:val="21"/>
                <w:szCs w:val="21"/>
                <w:highlight w:val="none"/>
              </w:rPr>
              <w:t>动物</w:t>
            </w:r>
            <w:bookmarkEnd w:id="7201"/>
            <w:bookmarkEnd w:id="7202"/>
            <w:bookmarkEnd w:id="7203"/>
            <w:bookmarkEnd w:id="7204"/>
            <w:bookmarkEnd w:id="7205"/>
          </w:p>
        </w:tc>
        <w:tc>
          <w:tcPr>
            <w:tcW w:w="6110" w:type="dxa"/>
            <w:tcBorders>
              <w:tl2br w:val="nil"/>
              <w:tr2bl w:val="nil"/>
            </w:tcBorders>
            <w:vAlign w:val="center"/>
          </w:tcPr>
          <w:p w14:paraId="58B832C2">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06" w:name="_Toc14341"/>
            <w:bookmarkStart w:id="7207" w:name="_Toc18931"/>
            <w:bookmarkStart w:id="7208" w:name="_Toc30870"/>
            <w:bookmarkStart w:id="7209" w:name="_Toc22422"/>
            <w:bookmarkStart w:id="7210" w:name="_Toc7700"/>
            <w:r>
              <w:rPr>
                <w:rFonts w:hint="default" w:ascii="Times New Roman" w:hAnsi="Times New Roman" w:cs="Times New Roman"/>
                <w:color w:val="auto"/>
                <w:sz w:val="21"/>
                <w:szCs w:val="21"/>
                <w:highlight w:val="none"/>
              </w:rPr>
              <w:t>加强宣传教育，</w:t>
            </w:r>
            <w:r>
              <w:rPr>
                <w:rFonts w:hint="eastAsia" w:cs="Times New Roman"/>
                <w:color w:val="auto"/>
                <w:sz w:val="21"/>
                <w:szCs w:val="21"/>
                <w:highlight w:val="none"/>
                <w:lang w:eastAsia="zh-CN"/>
              </w:rPr>
              <w:t>严禁</w:t>
            </w:r>
            <w:r>
              <w:rPr>
                <w:rFonts w:hint="default" w:ascii="Times New Roman" w:hAnsi="Times New Roman" w:cs="Times New Roman"/>
                <w:color w:val="auto"/>
                <w:sz w:val="21"/>
                <w:szCs w:val="21"/>
                <w:highlight w:val="none"/>
              </w:rPr>
              <w:t>捕猎野生动物</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提高施工人员、移民和管理人员环境保护意识，严禁施工人员猎捕野生动物。</w:t>
            </w:r>
            <w:bookmarkEnd w:id="7206"/>
            <w:bookmarkEnd w:id="7207"/>
            <w:bookmarkEnd w:id="7208"/>
            <w:bookmarkEnd w:id="7209"/>
            <w:bookmarkEnd w:id="7210"/>
          </w:p>
        </w:tc>
        <w:tc>
          <w:tcPr>
            <w:tcW w:w="3927" w:type="dxa"/>
            <w:tcBorders>
              <w:tl2br w:val="nil"/>
              <w:tr2bl w:val="nil"/>
            </w:tcBorders>
            <w:vAlign w:val="center"/>
          </w:tcPr>
          <w:p w14:paraId="12F349EF">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11" w:name="_Toc23007"/>
            <w:bookmarkStart w:id="7212" w:name="_Toc25112"/>
            <w:bookmarkStart w:id="7213" w:name="_Toc19401"/>
            <w:bookmarkStart w:id="7214" w:name="_Toc6907"/>
            <w:bookmarkStart w:id="7215" w:name="_Toc14041"/>
            <w:r>
              <w:rPr>
                <w:rFonts w:hint="default" w:ascii="Times New Roman" w:hAnsi="Times New Roman" w:cs="Times New Roman"/>
                <w:color w:val="auto"/>
                <w:sz w:val="21"/>
                <w:szCs w:val="21"/>
                <w:highlight w:val="none"/>
              </w:rPr>
              <w:t>减少对野生动物的影响</w:t>
            </w:r>
            <w:bookmarkEnd w:id="7211"/>
            <w:bookmarkEnd w:id="7212"/>
            <w:bookmarkEnd w:id="7213"/>
            <w:bookmarkEnd w:id="7214"/>
            <w:bookmarkEnd w:id="7215"/>
          </w:p>
        </w:tc>
      </w:tr>
      <w:tr w14:paraId="0AD337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459" w:type="dxa"/>
            <w:tcBorders>
              <w:tl2br w:val="nil"/>
              <w:tr2bl w:val="nil"/>
            </w:tcBorders>
            <w:vAlign w:val="center"/>
          </w:tcPr>
          <w:p w14:paraId="2C7F25C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16" w:name="_Toc792"/>
            <w:bookmarkStart w:id="7217" w:name="_Toc27993"/>
            <w:bookmarkStart w:id="7218" w:name="_Toc30289"/>
            <w:bookmarkStart w:id="7219" w:name="_Toc29701"/>
            <w:bookmarkStart w:id="7220" w:name="_Toc20863"/>
            <w:r>
              <w:rPr>
                <w:rFonts w:hint="default" w:ascii="Times New Roman" w:hAnsi="Times New Roman" w:cs="Times New Roman"/>
                <w:color w:val="auto"/>
                <w:sz w:val="21"/>
                <w:szCs w:val="21"/>
                <w:highlight w:val="none"/>
              </w:rPr>
              <w:t>运营期</w:t>
            </w:r>
            <w:bookmarkEnd w:id="7216"/>
            <w:bookmarkEnd w:id="7217"/>
            <w:bookmarkEnd w:id="7218"/>
            <w:bookmarkEnd w:id="7219"/>
            <w:bookmarkEnd w:id="7220"/>
          </w:p>
        </w:tc>
        <w:tc>
          <w:tcPr>
            <w:tcW w:w="447" w:type="dxa"/>
            <w:tcBorders>
              <w:tl2br w:val="nil"/>
              <w:tr2bl w:val="nil"/>
            </w:tcBorders>
            <w:vAlign w:val="center"/>
          </w:tcPr>
          <w:p w14:paraId="1D34EE7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21" w:name="_Toc5686"/>
            <w:bookmarkStart w:id="7222" w:name="_Toc27499"/>
            <w:bookmarkStart w:id="7223" w:name="_Toc18546"/>
            <w:bookmarkStart w:id="7224" w:name="_Toc30852"/>
            <w:bookmarkStart w:id="7225" w:name="_Toc13897"/>
            <w:r>
              <w:rPr>
                <w:rFonts w:hint="default" w:ascii="Times New Roman" w:hAnsi="Times New Roman" w:cs="Times New Roman"/>
                <w:color w:val="auto"/>
                <w:sz w:val="21"/>
                <w:szCs w:val="21"/>
                <w:highlight w:val="none"/>
              </w:rPr>
              <w:t>生态</w:t>
            </w:r>
            <w:bookmarkEnd w:id="7221"/>
            <w:bookmarkEnd w:id="7222"/>
            <w:bookmarkEnd w:id="7223"/>
            <w:bookmarkEnd w:id="7224"/>
            <w:bookmarkEnd w:id="7225"/>
          </w:p>
        </w:tc>
        <w:tc>
          <w:tcPr>
            <w:tcW w:w="2230" w:type="dxa"/>
            <w:gridSpan w:val="2"/>
            <w:tcBorders>
              <w:tl2br w:val="nil"/>
              <w:tr2bl w:val="nil"/>
            </w:tcBorders>
            <w:vAlign w:val="center"/>
          </w:tcPr>
          <w:p w14:paraId="5731849B">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26" w:name="_Toc2215"/>
            <w:bookmarkStart w:id="7227" w:name="_Toc12068"/>
            <w:bookmarkStart w:id="7228" w:name="_Toc9432"/>
            <w:bookmarkStart w:id="7229" w:name="_Toc30901"/>
            <w:bookmarkStart w:id="7230" w:name="_Toc2320"/>
            <w:r>
              <w:rPr>
                <w:rFonts w:hint="default" w:ascii="Times New Roman" w:hAnsi="Times New Roman" w:cs="Times New Roman"/>
                <w:color w:val="auto"/>
                <w:sz w:val="21"/>
                <w:szCs w:val="21"/>
                <w:highlight w:val="none"/>
              </w:rPr>
              <w:t>陆生生态监测</w:t>
            </w:r>
            <w:bookmarkEnd w:id="7226"/>
            <w:bookmarkEnd w:id="7227"/>
            <w:bookmarkEnd w:id="7228"/>
            <w:bookmarkEnd w:id="7229"/>
            <w:bookmarkEnd w:id="7230"/>
          </w:p>
        </w:tc>
        <w:tc>
          <w:tcPr>
            <w:tcW w:w="6110" w:type="dxa"/>
            <w:tcBorders>
              <w:tl2br w:val="nil"/>
              <w:tr2bl w:val="nil"/>
            </w:tcBorders>
            <w:vAlign w:val="center"/>
          </w:tcPr>
          <w:p w14:paraId="4504135A">
            <w:pPr>
              <w:pStyle w:val="29"/>
              <w:suppressLineNumbers w:val="0"/>
              <w:bidi w:val="0"/>
              <w:spacing w:beforeAutospacing="0" w:afterAutospacing="0"/>
              <w:ind w:left="0" w:right="0"/>
              <w:jc w:val="left"/>
              <w:rPr>
                <w:rFonts w:hint="default" w:ascii="Times New Roman" w:hAnsi="Times New Roman" w:cs="Times New Roman"/>
                <w:color w:val="auto"/>
                <w:sz w:val="21"/>
                <w:szCs w:val="21"/>
                <w:highlight w:val="none"/>
              </w:rPr>
            </w:pPr>
            <w:bookmarkStart w:id="7231" w:name="_Toc10347"/>
            <w:bookmarkStart w:id="7232" w:name="_Toc2535"/>
            <w:bookmarkStart w:id="7233" w:name="_Toc9265"/>
            <w:bookmarkStart w:id="7234" w:name="_Toc3850"/>
            <w:bookmarkStart w:id="7235" w:name="_Toc4788"/>
            <w:r>
              <w:rPr>
                <w:rFonts w:hint="default" w:ascii="Times New Roman" w:hAnsi="Times New Roman" w:cs="Times New Roman"/>
                <w:color w:val="auto"/>
                <w:sz w:val="21"/>
                <w:szCs w:val="21"/>
                <w:highlight w:val="none"/>
                <w:lang w:val="en-US" w:eastAsia="zh-CN"/>
              </w:rPr>
              <w:t>生态红线及植被恢复区</w:t>
            </w:r>
            <w:r>
              <w:rPr>
                <w:rFonts w:hint="default" w:ascii="Times New Roman" w:hAnsi="Times New Roman" w:cs="Times New Roman"/>
                <w:color w:val="auto"/>
                <w:sz w:val="21"/>
                <w:szCs w:val="21"/>
                <w:highlight w:val="none"/>
              </w:rPr>
              <w:t>，调查植被种类、盖度、平均高度等。</w:t>
            </w:r>
            <w:r>
              <w:rPr>
                <w:rFonts w:hint="default" w:ascii="Times New Roman" w:hAnsi="Times New Roman" w:eastAsia="Times New Roman" w:cs="Times New Roman"/>
                <w:color w:val="auto"/>
                <w:sz w:val="21"/>
                <w:szCs w:val="21"/>
                <w:highlight w:val="none"/>
                <w:lang w:val="zh-CN"/>
              </w:rPr>
              <w:t>动物的种类、数量等指标</w:t>
            </w:r>
            <w:bookmarkEnd w:id="7231"/>
            <w:bookmarkEnd w:id="7232"/>
            <w:bookmarkEnd w:id="7233"/>
            <w:r>
              <w:rPr>
                <w:rFonts w:hint="eastAsia" w:eastAsia="Times New Roman" w:cs="Times New Roman"/>
                <w:color w:val="auto"/>
                <w:sz w:val="21"/>
                <w:szCs w:val="21"/>
                <w:highlight w:val="none"/>
                <w:lang w:val="zh-CN"/>
              </w:rPr>
              <w:t>。</w:t>
            </w:r>
            <w:bookmarkEnd w:id="7234"/>
            <w:bookmarkEnd w:id="7235"/>
          </w:p>
        </w:tc>
        <w:tc>
          <w:tcPr>
            <w:tcW w:w="3927" w:type="dxa"/>
            <w:tcBorders>
              <w:tl2br w:val="nil"/>
              <w:tr2bl w:val="nil"/>
            </w:tcBorders>
            <w:vAlign w:val="center"/>
          </w:tcPr>
          <w:p w14:paraId="6B51E4F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236" w:name="_Toc5675"/>
            <w:bookmarkStart w:id="7237" w:name="_Toc25065"/>
            <w:bookmarkStart w:id="7238" w:name="_Toc12577"/>
            <w:bookmarkStart w:id="7239" w:name="_Toc927"/>
            <w:bookmarkStart w:id="7240" w:name="_Toc11623"/>
            <w:r>
              <w:rPr>
                <w:rFonts w:hint="default" w:ascii="Times New Roman" w:hAnsi="Times New Roman" w:cs="Times New Roman"/>
                <w:color w:val="auto"/>
                <w:sz w:val="21"/>
                <w:szCs w:val="21"/>
                <w:highlight w:val="none"/>
              </w:rPr>
              <w:t>了解项目建设前后评价区生物量及生物多样性变化情况。</w:t>
            </w:r>
            <w:bookmarkEnd w:id="7236"/>
            <w:bookmarkEnd w:id="7237"/>
            <w:bookmarkEnd w:id="7238"/>
            <w:bookmarkEnd w:id="7239"/>
            <w:bookmarkEnd w:id="7240"/>
          </w:p>
        </w:tc>
      </w:tr>
    </w:tbl>
    <w:p w14:paraId="34E5CA62">
      <w:pPr>
        <w:bidi w:val="0"/>
        <w:jc w:val="center"/>
        <w:rPr>
          <w:rFonts w:hint="default" w:ascii="Times New Roman" w:hAnsi="Times New Roman" w:cs="Times New Roman"/>
          <w:b/>
          <w:bCs/>
          <w:color w:val="auto"/>
          <w:sz w:val="28"/>
          <w:szCs w:val="28"/>
          <w:highlight w:val="none"/>
          <w:lang w:val="en-US" w:eastAsia="zh-CN"/>
        </w:rPr>
        <w:sectPr>
          <w:headerReference r:id="rId23" w:type="default"/>
          <w:footerReference r:id="rId24"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3479A20">
      <w:pPr>
        <w:pStyle w:val="3"/>
        <w:bidi w:val="0"/>
        <w:outlineLvl w:val="0"/>
        <w:rPr>
          <w:rFonts w:hint="default" w:ascii="Times New Roman" w:hAnsi="Times New Roman" w:cs="Times New Roman"/>
          <w:color w:val="auto"/>
          <w:sz w:val="28"/>
          <w:szCs w:val="28"/>
          <w:highlight w:val="none"/>
          <w:lang w:val="zh-CN"/>
        </w:rPr>
      </w:pPr>
      <w:bookmarkStart w:id="7241" w:name="_Toc23507"/>
      <w:bookmarkStart w:id="7242" w:name="_Toc26843"/>
      <w:bookmarkStart w:id="7243" w:name="_Toc2669"/>
      <w:bookmarkStart w:id="7244" w:name="_Toc25446"/>
      <w:bookmarkStart w:id="7245" w:name="_Toc15581"/>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结论及建议</w:t>
      </w:r>
      <w:bookmarkEnd w:id="7241"/>
      <w:bookmarkEnd w:id="7242"/>
      <w:bookmarkEnd w:id="7243"/>
      <w:bookmarkEnd w:id="7244"/>
      <w:bookmarkEnd w:id="7245"/>
    </w:p>
    <w:p w14:paraId="1533B4CE">
      <w:pPr>
        <w:pStyle w:val="4"/>
        <w:bidi w:val="0"/>
        <w:rPr>
          <w:rFonts w:hint="default" w:ascii="Times New Roman" w:hAnsi="Times New Roman" w:cs="Times New Roman"/>
          <w:color w:val="auto"/>
          <w:sz w:val="28"/>
          <w:szCs w:val="28"/>
          <w:highlight w:val="none"/>
          <w:lang w:val="zh-CN"/>
        </w:rPr>
      </w:pPr>
      <w:bookmarkStart w:id="7246" w:name="_Toc25492"/>
      <w:bookmarkStart w:id="7247" w:name="_Toc26917"/>
      <w:bookmarkStart w:id="7248" w:name="_Toc28504"/>
      <w:bookmarkStart w:id="7249" w:name="_Toc9001"/>
      <w:bookmarkStart w:id="7250" w:name="_Toc10484"/>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.1项目概况</w:t>
      </w:r>
      <w:bookmarkEnd w:id="7246"/>
      <w:bookmarkEnd w:id="7247"/>
      <w:bookmarkEnd w:id="7248"/>
      <w:bookmarkEnd w:id="7249"/>
      <w:bookmarkEnd w:id="7250"/>
    </w:p>
    <w:p w14:paraId="31BD7A61">
      <w:pPr>
        <w:pStyle w:val="6"/>
        <w:bidi w:val="0"/>
        <w:rPr>
          <w:rFonts w:hint="default" w:ascii="Times New Roman" w:hAnsi="Times New Roman" w:cs="Times New Roman"/>
          <w:color w:val="auto"/>
          <w:sz w:val="28"/>
          <w:szCs w:val="28"/>
          <w:highlight w:val="none"/>
          <w:lang w:val="zh-CN"/>
        </w:rPr>
      </w:pPr>
      <w:bookmarkStart w:id="7251" w:name="_Toc31610_WPSOffice_Level2"/>
      <w:bookmarkStart w:id="7252" w:name="_Toc32058"/>
      <w:bookmarkStart w:id="7253" w:name="_Toc31426_WPSOffice_Level2"/>
      <w:bookmarkStart w:id="7254" w:name="_Toc31894"/>
      <w:bookmarkStart w:id="7255" w:name="_Toc26357"/>
      <w:bookmarkStart w:id="7256" w:name="_Toc14709"/>
      <w:bookmarkStart w:id="7257" w:name="_Toc16011_WPSOffice_Level2"/>
      <w:bookmarkStart w:id="7258" w:name="_Toc3421_WPSOffice_Level2"/>
      <w:bookmarkStart w:id="7259" w:name="_Toc10027_WPSOffice_Level2"/>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.1.1工程概况</w:t>
      </w:r>
      <w:bookmarkEnd w:id="7251"/>
      <w:bookmarkEnd w:id="7252"/>
      <w:bookmarkEnd w:id="7253"/>
      <w:bookmarkEnd w:id="7254"/>
      <w:bookmarkEnd w:id="7255"/>
      <w:bookmarkEnd w:id="7256"/>
      <w:bookmarkEnd w:id="7257"/>
      <w:bookmarkEnd w:id="7258"/>
      <w:bookmarkEnd w:id="7259"/>
    </w:p>
    <w:p w14:paraId="70384AA6">
      <w:pPr>
        <w:pStyle w:val="30"/>
        <w:spacing w:after="0" w:line="360" w:lineRule="auto"/>
        <w:ind w:firstLine="360" w:firstLineChars="150"/>
        <w:jc w:val="both"/>
        <w:rPr>
          <w:rFonts w:hint="default" w:ascii="Times New Roman" w:hAnsi="Times New Roman" w:cs="Times New Roman"/>
          <w:color w:val="auto"/>
          <w:sz w:val="24"/>
          <w:highlight w:val="none"/>
        </w:rPr>
      </w:pPr>
      <w:bookmarkStart w:id="7260" w:name="_Toc32739_WPSOffice_Level2"/>
      <w:bookmarkStart w:id="7261" w:name="_Toc25894"/>
      <w:bookmarkStart w:id="7262" w:name="_Toc1407"/>
      <w:bookmarkStart w:id="7263" w:name="_Toc21775_WPSOffice_Level2"/>
      <w:bookmarkStart w:id="7264" w:name="_Toc21455"/>
      <w:bookmarkStart w:id="7265" w:name="_Toc10722_WPSOffice_Level2"/>
      <w:bookmarkStart w:id="7266" w:name="_Toc28771_WPSOffice_Level2"/>
      <w:bookmarkStart w:id="7267" w:name="_Toc16323_WPSOffice_Level2"/>
      <w:r>
        <w:rPr>
          <w:rFonts w:hint="default" w:ascii="Times New Roman" w:hAnsi="Times New Roman" w:cs="Times New Roman"/>
          <w:color w:val="auto"/>
          <w:sz w:val="24"/>
          <w:highlight w:val="none"/>
        </w:rPr>
        <w:t>针对中小河流防洪面临的新形势、新挑战，水利部李国英部长批示要切实改革治理模式，坚持以流域为单元，逐流域规划、逐流域治理、逐流域验收、逐流域建档立卡，一条河一条河治理，实现</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治理一条、见效一条</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。根据文件要求，彭阳县积极响应，认真梳理，提出了《彭阳县茹河（小河段）河道治理工程》。</w:t>
      </w:r>
    </w:p>
    <w:p w14:paraId="506C53D0">
      <w:pPr>
        <w:pStyle w:val="30"/>
        <w:spacing w:after="0" w:line="360" w:lineRule="auto"/>
        <w:ind w:firstLine="360" w:firstLineChars="15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工程分两期实施，一期为河道综合治理工程，涵盖川口河段与小河段两大区域：其中川口河段新建护岸11.76公里（含直墙砌护、坡式纯生态砌护等四种形式）、巡检道路7.80公里，疏浚河道9.43公里，同步翻建过水路面4座、新建警示牌50座；小河段新建护岸1.00公里（格宾坡式）、巡检道路1.57公里，翻建过水路面1座，相关构筑物均采用规范要求的砼、浆砌石等材料施工。二期为水库清淤</w:t>
      </w:r>
      <w:r>
        <w:rPr>
          <w:rFonts w:hint="eastAsia" w:cs="Times New Roman"/>
          <w:color w:val="auto"/>
          <w:sz w:val="24"/>
          <w:highlight w:val="none"/>
          <w:lang w:eastAsia="zh-CN"/>
        </w:rPr>
        <w:t>及堆场</w:t>
      </w:r>
      <w:r>
        <w:rPr>
          <w:rFonts w:hint="default" w:ascii="Times New Roman" w:hAnsi="Times New Roman" w:cs="Times New Roman"/>
          <w:color w:val="auto"/>
          <w:sz w:val="24"/>
          <w:highlight w:val="none"/>
        </w:rPr>
        <w:t>工程，计划完成水库清淤120.0万立方米，配套布设7.8公里临时运输道路网（路面宽</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.0米，间距100米），并在库尾设置7处堆场，总消纳容积136万立方米，用于</w:t>
      </w:r>
      <w:r>
        <w:rPr>
          <w:rFonts w:hint="eastAsia" w:cs="Times New Roman"/>
          <w:color w:val="auto"/>
          <w:sz w:val="24"/>
          <w:highlight w:val="none"/>
          <w:lang w:val="en-US" w:eastAsia="zh-CN"/>
        </w:rPr>
        <w:t>堆填</w:t>
      </w:r>
      <w:r>
        <w:rPr>
          <w:rFonts w:hint="default" w:ascii="Times New Roman" w:hAnsi="Times New Roman" w:cs="Times New Roman"/>
          <w:color w:val="auto"/>
          <w:sz w:val="24"/>
          <w:highlight w:val="none"/>
        </w:rPr>
        <w:t>清淤淤泥及临时道路清理土。通过本次工程实施，可有效提升河道防洪减灾能力，改善河道水生态环境，保护河道岸线稳定，为筑牢区域水安全屏障、建设生态宜居乡村、推动美丽河湖建设奠定坚实基础。</w:t>
      </w:r>
    </w:p>
    <w:p w14:paraId="35A5302C">
      <w:pPr>
        <w:pStyle w:val="6"/>
        <w:bidi w:val="0"/>
        <w:rPr>
          <w:rFonts w:hint="default" w:ascii="Times New Roman" w:hAnsi="Times New Roman" w:eastAsia="宋体" w:cs="Times New Roman"/>
          <w:b/>
          <w:bCs/>
          <w:snapToGrid w:val="0"/>
          <w:color w:val="auto"/>
          <w:sz w:val="28"/>
          <w:szCs w:val="28"/>
          <w:highlight w:val="none"/>
          <w:lang w:val="zh-CN"/>
        </w:rPr>
      </w:pPr>
      <w:bookmarkStart w:id="7268" w:name="_Toc17422"/>
      <w:r>
        <w:rPr>
          <w:rFonts w:hint="default" w:ascii="Times New Roman" w:hAnsi="Times New Roman" w:eastAsia="宋体" w:cs="Times New Roman"/>
          <w:b/>
          <w:bCs/>
          <w:snapToGrid w:val="0"/>
          <w:color w:val="auto"/>
          <w:sz w:val="28"/>
          <w:szCs w:val="28"/>
          <w:highlight w:val="none"/>
          <w:lang w:eastAsia="zh-CN"/>
        </w:rPr>
        <w:t>11</w:t>
      </w:r>
      <w:r>
        <w:rPr>
          <w:rFonts w:hint="default" w:ascii="Times New Roman" w:hAnsi="Times New Roman" w:eastAsia="宋体" w:cs="Times New Roman"/>
          <w:b/>
          <w:bCs/>
          <w:snapToGrid w:val="0"/>
          <w:color w:val="auto"/>
          <w:sz w:val="28"/>
          <w:szCs w:val="28"/>
          <w:highlight w:val="none"/>
          <w:lang w:val="zh-CN"/>
        </w:rPr>
        <w:t>.1.2工程环境合理性</w:t>
      </w:r>
      <w:bookmarkEnd w:id="7260"/>
      <w:bookmarkEnd w:id="7261"/>
      <w:bookmarkEnd w:id="7262"/>
      <w:bookmarkEnd w:id="7263"/>
      <w:bookmarkEnd w:id="7264"/>
      <w:bookmarkEnd w:id="7265"/>
      <w:bookmarkEnd w:id="7266"/>
      <w:bookmarkEnd w:id="7267"/>
      <w:bookmarkEnd w:id="7268"/>
    </w:p>
    <w:p w14:paraId="16B24BA1">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本工程属于</w:t>
      </w:r>
      <w:r>
        <w:rPr>
          <w:rFonts w:hint="default" w:ascii="Times New Roman" w:hAnsi="Times New Roman" w:cs="Times New Roman"/>
          <w:color w:val="auto"/>
          <w:sz w:val="24"/>
          <w:szCs w:val="24"/>
          <w:highlight w:val="none"/>
        </w:rPr>
        <w:t>《产业结构调整指导目录（2024年本）》</w:t>
      </w:r>
      <w:r>
        <w:rPr>
          <w:rFonts w:hint="eastAsia" w:cs="Times New Roman"/>
          <w:color w:val="auto"/>
          <w:sz w:val="24"/>
          <w:szCs w:val="24"/>
          <w:highlight w:val="none"/>
          <w:lang w:eastAsia="zh-CN"/>
        </w:rPr>
        <w:t>中鼓励类，</w:t>
      </w:r>
      <w:r>
        <w:rPr>
          <w:rFonts w:hint="default" w:ascii="Times New Roman" w:hAnsi="Times New Roman" w:eastAsia="宋体" w:cs="Times New Roman"/>
          <w:color w:val="auto"/>
          <w:sz w:val="24"/>
          <w:szCs w:val="24"/>
          <w:highlight w:val="none"/>
        </w:rPr>
        <w:t>防洪提升工程中江河湖海堤防建设及河道治理工程</w:t>
      </w:r>
      <w:r>
        <w:rPr>
          <w:rFonts w:hint="default" w:ascii="Times New Roman" w:hAnsi="Times New Roman" w:cs="Times New Roman"/>
          <w:color w:val="auto"/>
          <w:sz w:val="24"/>
          <w:szCs w:val="24"/>
          <w:highlight w:val="none"/>
        </w:rPr>
        <w:t>。</w:t>
      </w:r>
      <w:r>
        <w:rPr>
          <w:rFonts w:hint="default" w:ascii="Times New Roman" w:hAnsi="Times New Roman" w:eastAsia="Times New Roman" w:cs="Times New Roman"/>
          <w:color w:val="auto"/>
          <w:sz w:val="24"/>
          <w:szCs w:val="24"/>
          <w:highlight w:val="none"/>
          <w:lang w:val="zh-CN"/>
        </w:rPr>
        <w:t>符合</w:t>
      </w:r>
      <w:r>
        <w:rPr>
          <w:rFonts w:hint="default" w:ascii="Times New Roman" w:hAnsi="Times New Roman" w:cs="Times New Roman"/>
          <w:color w:val="auto"/>
          <w:sz w:val="24"/>
          <w:szCs w:val="24"/>
          <w:highlight w:val="none"/>
        </w:rPr>
        <w:t>《宁夏回族自治区生态保护红线管理条例》</w:t>
      </w:r>
      <w:r>
        <w:rPr>
          <w:rFonts w:hint="default" w:ascii="Times New Roman" w:hAnsi="Times New Roman" w:cs="Times New Roman"/>
          <w:color w:val="auto"/>
          <w:sz w:val="24"/>
          <w:szCs w:val="24"/>
          <w:highlight w:val="none"/>
          <w:lang w:val="en-US" w:eastAsia="zh-CN"/>
        </w:rPr>
        <w:t>等生态保护红线的相关要求，符合</w:t>
      </w:r>
      <w:r>
        <w:rPr>
          <w:rFonts w:hint="default" w:ascii="Times New Roman" w:hAnsi="Times New Roman" w:eastAsia="Times New Roman" w:cs="Times New Roman"/>
          <w:color w:val="auto"/>
          <w:sz w:val="24"/>
          <w:szCs w:val="24"/>
          <w:highlight w:val="none"/>
          <w:lang w:val="zh-CN"/>
        </w:rPr>
        <w:t>《黄河流域综合规划（2012~2030）》《宁夏水安全保障</w:t>
      </w:r>
      <w:r>
        <w:rPr>
          <w:rFonts w:hint="eastAsia" w:eastAsia="Times New Roman" w:cs="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rPr>
        <w:t>十四五</w:t>
      </w:r>
      <w:r>
        <w:rPr>
          <w:rFonts w:hint="eastAsia" w:eastAsia="Times New Roman" w:cs="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rPr>
        <w:t>规划》及其环评报告书审查意见、《宁夏主体功能区规划》等的总体要求，符合区域相关水资源规划和配置要求，符合用水总量红线控制指标要求。</w:t>
      </w:r>
    </w:p>
    <w:p w14:paraId="795964FF">
      <w:pPr>
        <w:pStyle w:val="4"/>
        <w:bidi w:val="0"/>
        <w:rPr>
          <w:rFonts w:hint="default" w:ascii="Times New Roman" w:hAnsi="Times New Roman" w:cs="Times New Roman"/>
          <w:color w:val="auto"/>
          <w:sz w:val="28"/>
          <w:szCs w:val="28"/>
          <w:highlight w:val="none"/>
          <w:lang w:val="zh-CN"/>
        </w:rPr>
      </w:pPr>
      <w:bookmarkStart w:id="7269" w:name="_Toc16286"/>
      <w:bookmarkStart w:id="7270" w:name="_Toc16931"/>
      <w:bookmarkStart w:id="7271" w:name="_Toc3132"/>
      <w:bookmarkStart w:id="7272" w:name="_Toc25144"/>
      <w:bookmarkStart w:id="7273" w:name="_Toc9826"/>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.2环境质量现状</w:t>
      </w:r>
      <w:bookmarkEnd w:id="7269"/>
      <w:bookmarkEnd w:id="7270"/>
      <w:bookmarkEnd w:id="7271"/>
      <w:bookmarkEnd w:id="7272"/>
      <w:bookmarkEnd w:id="7273"/>
    </w:p>
    <w:p w14:paraId="6FB713A3">
      <w:pPr>
        <w:pStyle w:val="6"/>
        <w:bidi w:val="0"/>
        <w:rPr>
          <w:rFonts w:hint="default" w:ascii="Times New Roman" w:hAnsi="Times New Roman" w:cs="Times New Roman"/>
          <w:color w:val="auto"/>
          <w:sz w:val="28"/>
          <w:szCs w:val="28"/>
          <w:highlight w:val="none"/>
          <w:lang w:val="zh-CN"/>
        </w:rPr>
      </w:pPr>
      <w:bookmarkStart w:id="7274" w:name="_Toc10108_WPSOffice_Level2"/>
      <w:bookmarkStart w:id="7275" w:name="_Toc26291"/>
      <w:bookmarkStart w:id="7276" w:name="_Toc26334"/>
      <w:bookmarkStart w:id="7277" w:name="_Toc4658"/>
      <w:bookmarkStart w:id="7278" w:name="_Toc21494_WPSOffice_Level2"/>
      <w:bookmarkStart w:id="7279" w:name="_Toc19438_WPSOffice_Level2"/>
      <w:bookmarkStart w:id="7280" w:name="_Toc26582_WPSOffice_Level2"/>
      <w:bookmarkStart w:id="7281" w:name="_Toc6023_WPSOffice_Level2"/>
      <w:bookmarkStart w:id="7282" w:name="_Toc25314"/>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.2.1生态环境</w:t>
      </w:r>
      <w:bookmarkEnd w:id="7274"/>
      <w:bookmarkEnd w:id="7275"/>
      <w:bookmarkEnd w:id="7276"/>
      <w:bookmarkEnd w:id="7277"/>
      <w:bookmarkEnd w:id="7278"/>
      <w:bookmarkEnd w:id="7279"/>
      <w:bookmarkEnd w:id="7280"/>
      <w:bookmarkEnd w:id="7281"/>
      <w:bookmarkEnd w:id="7282"/>
    </w:p>
    <w:p w14:paraId="3CE12F89">
      <w:pPr>
        <w:bidi w:val="0"/>
        <w:jc w:val="both"/>
        <w:outlineLvl w:val="9"/>
        <w:rPr>
          <w:rFonts w:hint="default" w:ascii="Times New Roman" w:hAnsi="Times New Roman" w:cs="Times New Roman"/>
          <w:color w:val="auto"/>
          <w:sz w:val="24"/>
          <w:szCs w:val="24"/>
          <w:highlight w:val="none"/>
          <w:lang w:eastAsia="zh-CN"/>
        </w:rPr>
      </w:pPr>
      <w:r>
        <w:rPr>
          <w:rFonts w:hint="default" w:ascii="Times New Roman" w:hAnsi="Times New Roman" w:eastAsia="Times New Roman" w:cs="Times New Roman"/>
          <w:color w:val="auto"/>
          <w:sz w:val="24"/>
          <w:szCs w:val="24"/>
          <w:highlight w:val="none"/>
          <w:lang w:val="zh-CN"/>
        </w:rPr>
        <w:t>根据《宁夏回族自治区生态功能区划》，</w:t>
      </w:r>
      <w:r>
        <w:rPr>
          <w:rFonts w:hint="eastAsia" w:cs="Times New Roman" w:eastAsiaTheme="minorEastAsia"/>
          <w:color w:val="auto"/>
          <w:sz w:val="24"/>
          <w:szCs w:val="24"/>
          <w:highlight w:val="none"/>
          <w:lang w:eastAsia="zh-CN"/>
        </w:rPr>
        <w:t>本工程</w:t>
      </w:r>
      <w:r>
        <w:rPr>
          <w:rFonts w:hint="default" w:ascii="Times New Roman" w:hAnsi="Times New Roman" w:cs="Times New Roman" w:eastAsiaTheme="minorEastAsia"/>
          <w:color w:val="auto"/>
          <w:sz w:val="24"/>
          <w:szCs w:val="24"/>
          <w:highlight w:val="none"/>
        </w:rPr>
        <w:t>属于南部黄土丘陵水土流失区一级功能区内，</w:t>
      </w:r>
      <w:r>
        <w:rPr>
          <w:rFonts w:hint="default" w:ascii="Times New Roman" w:hAnsi="Times New Roman" w:cs="Times New Roman"/>
          <w:color w:val="auto"/>
          <w:sz w:val="24"/>
          <w:szCs w:val="24"/>
          <w:highlight w:val="none"/>
          <w:lang w:val="en-US" w:eastAsia="zh-CN"/>
        </w:rPr>
        <w:t>原彭黄土丘陵牧林农生态亚区</w:t>
      </w:r>
      <w:r>
        <w:rPr>
          <w:rFonts w:hint="default" w:ascii="Times New Roman" w:hAnsi="Times New Roman" w:cs="Times New Roman" w:eastAsiaTheme="minorEastAsia"/>
          <w:color w:val="auto"/>
          <w:sz w:val="24"/>
          <w:szCs w:val="24"/>
          <w:highlight w:val="none"/>
        </w:rPr>
        <w:t>二级功能区内，原东彭北梁峁丘陵强度水土流失治理生态功能区三级功能区内</w:t>
      </w:r>
      <w:r>
        <w:rPr>
          <w:rFonts w:hint="default" w:ascii="Times New Roman" w:hAnsi="Times New Roman" w:eastAsia="Times New Roman"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项目评价范围内植被</w:t>
      </w:r>
      <w:r>
        <w:rPr>
          <w:rFonts w:hint="default" w:ascii="Times New Roman" w:hAnsi="Times New Roman" w:eastAsia="Times New Roman" w:cs="Times New Roman"/>
          <w:color w:val="auto"/>
          <w:sz w:val="24"/>
          <w:szCs w:val="24"/>
          <w:highlight w:val="none"/>
          <w:lang w:val="zh-CN"/>
        </w:rPr>
        <w:t>类型以</w:t>
      </w:r>
      <w:r>
        <w:rPr>
          <w:rFonts w:hint="default" w:ascii="Times New Roman" w:hAnsi="Times New Roman" w:eastAsia="宋体" w:cs="Times New Roman"/>
          <w:color w:val="auto"/>
          <w:sz w:val="24"/>
          <w:szCs w:val="24"/>
          <w:highlight w:val="none"/>
          <w:lang w:val="en-US" w:eastAsia="zh-CN"/>
        </w:rPr>
        <w:t>林地</w:t>
      </w:r>
      <w:r>
        <w:rPr>
          <w:rFonts w:hint="eastAsia" w:cs="Times New Roman"/>
          <w:color w:val="auto"/>
          <w:sz w:val="24"/>
          <w:szCs w:val="24"/>
          <w:highlight w:val="none"/>
          <w:lang w:val="en-US" w:eastAsia="zh-CN"/>
        </w:rPr>
        <w:t>和农田</w:t>
      </w:r>
      <w:r>
        <w:rPr>
          <w:rFonts w:hint="default" w:ascii="Times New Roman" w:hAnsi="Times New Roman" w:eastAsia="Times New Roman" w:cs="Times New Roman"/>
          <w:color w:val="auto"/>
          <w:sz w:val="24"/>
          <w:szCs w:val="24"/>
          <w:highlight w:val="none"/>
          <w:lang w:val="zh-CN"/>
        </w:rPr>
        <w:t>为主，</w:t>
      </w:r>
      <w:r>
        <w:rPr>
          <w:rFonts w:hint="eastAsia" w:eastAsia="Times New Roman" w:cs="Times New Roman"/>
          <w:color w:val="auto"/>
          <w:sz w:val="24"/>
          <w:szCs w:val="24"/>
          <w:highlight w:val="none"/>
          <w:lang w:val="zh-CN"/>
        </w:rPr>
        <w:t>评价区内生态红线范围植被类型以人工林（山杏）为主</w:t>
      </w:r>
      <w:r>
        <w:rPr>
          <w:rFonts w:hint="default" w:ascii="Times New Roman" w:hAnsi="Times New Roman" w:eastAsia="Times New Roman" w:cs="Times New Roman"/>
          <w:color w:val="auto"/>
          <w:sz w:val="24"/>
          <w:szCs w:val="24"/>
          <w:highlight w:val="none"/>
          <w:lang w:val="zh-CN"/>
        </w:rPr>
        <w:t>。评价范围内林地植被主要为景观绿化林地和退耕还林地，常见树种包括山杏、</w:t>
      </w:r>
      <w:r>
        <w:rPr>
          <w:rFonts w:hint="eastAsia" w:cs="Times New Roman"/>
          <w:color w:val="auto"/>
          <w:sz w:val="24"/>
          <w:szCs w:val="24"/>
          <w:highlight w:val="none"/>
          <w:lang w:val="en-US" w:eastAsia="zh-CN"/>
        </w:rPr>
        <w:t>云杉、杨树</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Times New Roman" w:cs="Times New Roman"/>
          <w:color w:val="auto"/>
          <w:sz w:val="24"/>
          <w:szCs w:val="24"/>
          <w:highlight w:val="none"/>
          <w:lang w:val="zh-CN"/>
        </w:rPr>
        <w:t>农作物类型主要</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Times New Roman" w:cs="Times New Roman"/>
          <w:color w:val="auto"/>
          <w:sz w:val="24"/>
          <w:szCs w:val="24"/>
          <w:highlight w:val="none"/>
          <w:lang w:val="zh-CN"/>
        </w:rPr>
        <w:t>玉米，草地植物类型主要包括针茅、黑沙蒿、</w:t>
      </w:r>
      <w:r>
        <w:rPr>
          <w:rFonts w:hint="eastAsia" w:eastAsia="Times New Roman" w:cs="Times New Roman"/>
          <w:color w:val="auto"/>
          <w:sz w:val="24"/>
          <w:szCs w:val="24"/>
          <w:highlight w:val="none"/>
          <w:lang w:val="zh-CN"/>
        </w:rPr>
        <w:t>白莲蒿</w:t>
      </w:r>
      <w:r>
        <w:rPr>
          <w:rFonts w:hint="default" w:ascii="Times New Roman" w:hAnsi="Times New Roman" w:eastAsia="Times New Roman" w:cs="Times New Roman"/>
          <w:color w:val="auto"/>
          <w:sz w:val="24"/>
          <w:szCs w:val="24"/>
          <w:highlight w:val="none"/>
          <w:lang w:val="zh-CN"/>
        </w:rPr>
        <w:t>等温带禾草草原及荒漠半荒漠草原常见植物种类。动物群系村庄农田动物群，野生动物种类为人类伴生种。评价区内未发现珍稀保护动植物。根据水生生物现状调查，</w:t>
      </w:r>
      <w:r>
        <w:rPr>
          <w:rFonts w:hint="default" w:ascii="Times New Roman" w:hAnsi="Times New Roman" w:cs="Times New Roman"/>
          <w:color w:val="auto"/>
          <w:sz w:val="24"/>
          <w:szCs w:val="24"/>
          <w:highlight w:val="none"/>
          <w:lang w:val="en-US" w:eastAsia="zh-CN"/>
        </w:rPr>
        <w:t>流域内鱼类主要来自增殖放流。</w:t>
      </w:r>
      <w:r>
        <w:rPr>
          <w:rFonts w:hint="default" w:ascii="Times New Roman" w:hAnsi="Times New Roman" w:cs="Times New Roman"/>
          <w:color w:val="auto"/>
          <w:sz w:val="24"/>
          <w:szCs w:val="24"/>
          <w:highlight w:val="none"/>
          <w:lang w:eastAsia="zh-CN"/>
        </w:rPr>
        <w:t>主要有鲫、草鱼、鲢、鳙、鲤</w:t>
      </w:r>
      <w:r>
        <w:rPr>
          <w:rFonts w:hint="eastAsia"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lang w:eastAsia="zh-CN"/>
        </w:rPr>
        <w:t>。</w:t>
      </w:r>
    </w:p>
    <w:p w14:paraId="1FAF1830">
      <w:pPr>
        <w:pStyle w:val="6"/>
        <w:bidi w:val="0"/>
        <w:rPr>
          <w:rFonts w:hint="default" w:ascii="Times New Roman" w:hAnsi="Times New Roman" w:cs="Times New Roman"/>
          <w:color w:val="auto"/>
          <w:sz w:val="28"/>
          <w:szCs w:val="28"/>
          <w:highlight w:val="none"/>
          <w:lang w:val="zh-CN"/>
        </w:rPr>
      </w:pPr>
      <w:bookmarkStart w:id="7283" w:name="_Toc12358_WPSOffice_Level2"/>
      <w:bookmarkStart w:id="7284" w:name="_Toc17370_WPSOffice_Level2"/>
      <w:bookmarkStart w:id="7285" w:name="_Toc24143"/>
      <w:bookmarkStart w:id="7286" w:name="_Toc31655"/>
      <w:bookmarkStart w:id="7287" w:name="_Toc12227_WPSOffice_Level2"/>
      <w:bookmarkStart w:id="7288" w:name="_Toc32636_WPSOffice_Level2"/>
      <w:bookmarkStart w:id="7289" w:name="_Toc4079_WPSOffice_Level2"/>
      <w:bookmarkStart w:id="7290" w:name="_Toc11437"/>
      <w:bookmarkStart w:id="7291" w:name="_Toc26326"/>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.2.</w:t>
      </w:r>
      <w:r>
        <w:rPr>
          <w:rFonts w:hint="default" w:ascii="Times New Roman" w:hAnsi="Times New Roman" w:cs="Times New Roman"/>
          <w:color w:val="auto"/>
          <w:sz w:val="28"/>
          <w:szCs w:val="28"/>
          <w:highlight w:val="none"/>
        </w:rPr>
        <w:t>2</w:t>
      </w:r>
      <w:r>
        <w:rPr>
          <w:rFonts w:hint="default" w:ascii="Times New Roman" w:hAnsi="Times New Roman" w:cs="Times New Roman"/>
          <w:color w:val="auto"/>
          <w:sz w:val="28"/>
          <w:szCs w:val="28"/>
          <w:highlight w:val="none"/>
          <w:lang w:val="zh-CN"/>
        </w:rPr>
        <w:t>环境空气</w:t>
      </w:r>
      <w:bookmarkEnd w:id="7283"/>
      <w:bookmarkEnd w:id="7284"/>
      <w:bookmarkEnd w:id="7285"/>
      <w:bookmarkEnd w:id="7286"/>
      <w:bookmarkEnd w:id="7287"/>
      <w:bookmarkEnd w:id="7288"/>
      <w:bookmarkEnd w:id="7289"/>
      <w:bookmarkEnd w:id="7290"/>
      <w:bookmarkEnd w:id="7291"/>
    </w:p>
    <w:p w14:paraId="1A36797A">
      <w:pPr>
        <w:spacing w:line="360" w:lineRule="auto"/>
        <w:ind w:firstLine="491"/>
        <w:jc w:val="both"/>
        <w:rPr>
          <w:rFonts w:hint="default" w:ascii="Times New Roman" w:hAnsi="Times New Roman" w:cs="Times New Roman"/>
          <w:bCs/>
          <w:color w:val="auto"/>
          <w:sz w:val="24"/>
          <w:szCs w:val="24"/>
          <w:highlight w:val="none"/>
        </w:rPr>
      </w:pPr>
      <w:bookmarkStart w:id="7292" w:name="_Toc23615_WPSOffice_Level2"/>
      <w:bookmarkStart w:id="7293" w:name="_Toc24700_WPSOffice_Level2"/>
      <w:bookmarkStart w:id="7294" w:name="_Toc5631_WPSOffice_Level2"/>
      <w:bookmarkStart w:id="7295" w:name="_Toc17999"/>
      <w:bookmarkStart w:id="7296" w:name="_Toc21621"/>
      <w:bookmarkStart w:id="7297" w:name="_Toc30116_WPSOffice_Level2"/>
      <w:bookmarkStart w:id="7298" w:name="_Toc28154"/>
      <w:bookmarkStart w:id="7299" w:name="_Toc32532_WPSOffice_Level2"/>
      <w:r>
        <w:rPr>
          <w:rFonts w:hint="default" w:ascii="Times New Roman" w:hAnsi="Times New Roman" w:cs="Times New Roman"/>
          <w:color w:val="auto"/>
          <w:sz w:val="24"/>
          <w:szCs w:val="24"/>
          <w:highlight w:val="none"/>
        </w:rPr>
        <w:t>根据《202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w:t>
      </w:r>
      <w:r>
        <w:rPr>
          <w:rFonts w:hint="default" w:ascii="Times New Roman" w:hAnsi="Times New Roman" w:cs="Times New Roman"/>
          <w:color w:val="auto"/>
          <w:sz w:val="24"/>
          <w:szCs w:val="24"/>
          <w:highlight w:val="none"/>
          <w:lang w:val="en-US" w:eastAsia="zh-CN"/>
        </w:rPr>
        <w:t>彭阳县</w:t>
      </w:r>
      <w:r>
        <w:rPr>
          <w:rFonts w:hint="eastAsia" w:ascii="Times New Roman" w:hAnsi="Times New Roman" w:cs="Times New Roman"/>
          <w:color w:val="auto"/>
          <w:sz w:val="24"/>
          <w:szCs w:val="24"/>
          <w:highlight w:val="none"/>
          <w:lang w:val="en-US" w:eastAsia="zh-CN"/>
        </w:rPr>
        <w:t>2024</w:t>
      </w:r>
      <w:r>
        <w:rPr>
          <w:rFonts w:hint="default" w:ascii="Times New Roman" w:hAnsi="Times New Roman" w:cs="Times New Roman"/>
          <w:color w:val="auto"/>
          <w:sz w:val="24"/>
          <w:szCs w:val="24"/>
          <w:highlight w:val="none"/>
        </w:rPr>
        <w:t>年度</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vertAlign w:val="subscript"/>
        </w:rPr>
        <w:t>24</w:t>
      </w:r>
      <w:r>
        <w:rPr>
          <w:rFonts w:hint="default" w:ascii="Times New Roman" w:hAnsi="Times New Roman" w:eastAsia="宋体" w:cs="Times New Roman"/>
          <w:color w:val="auto"/>
          <w:sz w:val="24"/>
          <w:szCs w:val="24"/>
          <w:highlight w:val="none"/>
        </w:rPr>
        <w:t>小时平均第95百分位数、O</w:t>
      </w:r>
      <w:r>
        <w:rPr>
          <w:rFonts w:hint="default" w:ascii="Times New Roman" w:hAnsi="Times New Roman" w:eastAsia="宋体" w:cs="Times New Roman"/>
          <w:color w:val="auto"/>
          <w:sz w:val="24"/>
          <w:szCs w:val="24"/>
          <w:highlight w:val="none"/>
          <w:vertAlign w:val="subscript"/>
        </w:rPr>
        <w:t>3-8H-90per</w:t>
      </w:r>
      <w:r>
        <w:rPr>
          <w:rFonts w:hint="default" w:ascii="Times New Roman" w:hAnsi="Times New Roman" w:eastAsia="宋体" w:cs="Times New Roman"/>
          <w:color w:val="auto"/>
          <w:sz w:val="24"/>
          <w:szCs w:val="24"/>
          <w:highlight w:val="none"/>
        </w:rPr>
        <w:t>年平均浓度值均达到《环境空气质量标准》（GB3095-2012）二级标准。根据《环境影响评价技术导则大气环境》（HJ2.2-2018）6.4.1.1的要求，六项污染物全部达标即为城市环境空气质量达标</w:t>
      </w:r>
      <w:r>
        <w:rPr>
          <w:rFonts w:hint="default" w:ascii="Times New Roman" w:hAnsi="Times New Roman" w:cs="Times New Roman"/>
          <w:color w:val="auto"/>
          <w:sz w:val="24"/>
          <w:szCs w:val="24"/>
          <w:highlight w:val="none"/>
        </w:rPr>
        <w:t>，符合大气环境质量底线要求。</w:t>
      </w:r>
    </w:p>
    <w:p w14:paraId="65D4F5B0">
      <w:pPr>
        <w:pStyle w:val="6"/>
        <w:bidi w:val="0"/>
        <w:rPr>
          <w:rFonts w:hint="default" w:ascii="Times New Roman" w:hAnsi="Times New Roman" w:cs="Times New Roman"/>
          <w:color w:val="auto"/>
          <w:sz w:val="28"/>
          <w:szCs w:val="28"/>
          <w:highlight w:val="none"/>
          <w:lang w:val="zh-CN"/>
        </w:rPr>
      </w:pPr>
      <w:bookmarkStart w:id="7300" w:name="_Toc31013"/>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.2.3地表水</w:t>
      </w:r>
      <w:bookmarkEnd w:id="7292"/>
      <w:bookmarkEnd w:id="7293"/>
      <w:bookmarkEnd w:id="7294"/>
      <w:bookmarkEnd w:id="7295"/>
      <w:bookmarkEnd w:id="7296"/>
      <w:bookmarkEnd w:id="7297"/>
      <w:bookmarkEnd w:id="7298"/>
      <w:bookmarkEnd w:id="7299"/>
      <w:bookmarkEnd w:id="7300"/>
    </w:p>
    <w:p w14:paraId="7855B798">
      <w:pPr>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rPr>
        <w:t>《202</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年宁夏生态环境质量状况》</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茹河乃家河水库</w:t>
      </w:r>
      <w:r>
        <w:rPr>
          <w:rFonts w:hint="eastAsia" w:ascii="Times New Roman" w:hAnsi="Times New Roman" w:cs="Times New Roman"/>
          <w:color w:val="auto"/>
          <w:sz w:val="24"/>
          <w:szCs w:val="24"/>
          <w:highlight w:val="none"/>
          <w:lang w:eastAsia="zh-CN"/>
        </w:rPr>
        <w:t>水质为</w:t>
      </w:r>
      <w:r>
        <w:rPr>
          <w:rFonts w:hint="eastAsia" w:cs="Times New Roman"/>
          <w:color w:val="auto"/>
          <w:sz w:val="24"/>
          <w:szCs w:val="24"/>
          <w:highlight w:val="none"/>
          <w:lang w:eastAsia="zh-CN"/>
        </w:rPr>
        <w:t>Ⅱ类</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沟圈</w:t>
      </w:r>
      <w:r>
        <w:rPr>
          <w:rFonts w:hint="default" w:ascii="Times New Roman" w:hAnsi="Times New Roman" w:eastAsia="宋体" w:cs="Times New Roman"/>
          <w:color w:val="auto"/>
          <w:sz w:val="24"/>
          <w:szCs w:val="24"/>
          <w:highlight w:val="none"/>
          <w:lang w:val="en-US" w:eastAsia="zh-CN"/>
        </w:rPr>
        <w:t>断面水质均为</w:t>
      </w:r>
      <w:r>
        <w:rPr>
          <w:rFonts w:hint="eastAsia" w:cs="Times New Roman"/>
          <w:color w:val="auto"/>
          <w:sz w:val="24"/>
          <w:szCs w:val="24"/>
          <w:highlight w:val="none"/>
          <w:lang w:val="en-US" w:eastAsia="zh-CN"/>
        </w:rPr>
        <w:t>Ⅲ类</w:t>
      </w:r>
      <w:r>
        <w:rPr>
          <w:rFonts w:hint="default" w:ascii="Times New Roman" w:hAnsi="Times New Roman" w:eastAsia="宋体" w:cs="Times New Roman"/>
          <w:color w:val="auto"/>
          <w:sz w:val="24"/>
          <w:szCs w:val="24"/>
          <w:highlight w:val="none"/>
          <w:lang w:val="en-US" w:eastAsia="zh-CN"/>
        </w:rPr>
        <w:t>。</w:t>
      </w:r>
    </w:p>
    <w:p w14:paraId="45B87AE8">
      <w:pPr>
        <w:pStyle w:val="6"/>
        <w:bidi w:val="0"/>
        <w:rPr>
          <w:rFonts w:hint="default" w:ascii="Times New Roman" w:hAnsi="Times New Roman" w:cs="Times New Roman"/>
          <w:color w:val="auto"/>
          <w:sz w:val="28"/>
          <w:szCs w:val="28"/>
          <w:highlight w:val="none"/>
          <w:lang w:val="zh-CN"/>
        </w:rPr>
      </w:pPr>
      <w:bookmarkStart w:id="7301" w:name="_Toc23627"/>
      <w:bookmarkStart w:id="7302" w:name="_Toc14278_WPSOffice_Level2"/>
      <w:bookmarkStart w:id="7303" w:name="_Toc1059_WPSOffice_Level2"/>
      <w:bookmarkStart w:id="7304" w:name="_Toc23904_WPSOffice_Level2"/>
      <w:bookmarkStart w:id="7305" w:name="_Toc10232_WPSOffice_Level2"/>
      <w:bookmarkStart w:id="7306" w:name="_Toc7162_WPSOffice_Level2"/>
      <w:bookmarkStart w:id="7307" w:name="_Toc10322"/>
      <w:bookmarkStart w:id="7308" w:name="_Toc10330"/>
      <w:bookmarkStart w:id="7309" w:name="_Toc14258"/>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.2.</w:t>
      </w:r>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zh-CN"/>
        </w:rPr>
        <w:t>声环境</w:t>
      </w:r>
      <w:bookmarkEnd w:id="7301"/>
      <w:bookmarkEnd w:id="7302"/>
      <w:bookmarkEnd w:id="7303"/>
      <w:bookmarkEnd w:id="7304"/>
      <w:bookmarkEnd w:id="7305"/>
      <w:bookmarkEnd w:id="7306"/>
      <w:bookmarkEnd w:id="7307"/>
      <w:bookmarkEnd w:id="7308"/>
      <w:bookmarkEnd w:id="7309"/>
    </w:p>
    <w:p w14:paraId="1026B27D">
      <w:pPr>
        <w:spacing w:line="360" w:lineRule="auto"/>
        <w:ind w:firstLine="480" w:firstLineChars="200"/>
        <w:outlineLvl w:val="9"/>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本次评价选取</w:t>
      </w:r>
      <w:r>
        <w:rPr>
          <w:rFonts w:hint="eastAsia" w:eastAsia="Times New Roman" w:cs="Times New Roman"/>
          <w:color w:val="auto"/>
          <w:sz w:val="24"/>
          <w:szCs w:val="24"/>
          <w:highlight w:val="none"/>
          <w:lang w:val="zh-CN"/>
        </w:rPr>
        <w:t>河道沿岸</w:t>
      </w:r>
      <w:r>
        <w:rPr>
          <w:rFonts w:hint="default" w:ascii="Times New Roman" w:hAnsi="Times New Roman" w:eastAsia="宋体" w:cs="Times New Roman"/>
          <w:color w:val="auto"/>
          <w:sz w:val="24"/>
          <w:szCs w:val="24"/>
          <w:highlight w:val="none"/>
          <w:lang w:val="en-US" w:eastAsia="zh-CN"/>
        </w:rPr>
        <w:t>代表性的</w:t>
      </w:r>
      <w:r>
        <w:rPr>
          <w:rFonts w:hint="default" w:ascii="Times New Roman" w:hAnsi="Times New Roman" w:eastAsia="Times New Roman" w:cs="Times New Roman"/>
          <w:color w:val="auto"/>
          <w:sz w:val="24"/>
          <w:szCs w:val="24"/>
          <w:highlight w:val="none"/>
          <w:lang w:val="zh-CN"/>
        </w:rPr>
        <w:t>敏感点进行声环境现状监测，共布设</w:t>
      </w:r>
      <w:r>
        <w:rPr>
          <w:rFonts w:hint="eastAsia" w:cs="Times New Roman"/>
          <w:color w:val="auto"/>
          <w:sz w:val="24"/>
          <w:szCs w:val="24"/>
          <w:highlight w:val="none"/>
          <w:lang w:val="en-US" w:eastAsia="zh-CN"/>
        </w:rPr>
        <w:t>14</w:t>
      </w:r>
      <w:r>
        <w:rPr>
          <w:rFonts w:hint="default" w:ascii="Times New Roman" w:hAnsi="Times New Roman" w:eastAsia="Times New Roman" w:cs="Times New Roman"/>
          <w:color w:val="auto"/>
          <w:sz w:val="24"/>
          <w:szCs w:val="24"/>
          <w:highlight w:val="none"/>
          <w:lang w:val="zh-CN"/>
        </w:rPr>
        <w:t>个敏感点</w:t>
      </w:r>
      <w:r>
        <w:rPr>
          <w:rFonts w:hint="default" w:ascii="Times New Roman" w:hAnsi="Times New Roman" w:eastAsia="宋体" w:cs="Times New Roman"/>
          <w:color w:val="auto"/>
          <w:sz w:val="24"/>
          <w:szCs w:val="24"/>
          <w:highlight w:val="none"/>
        </w:rPr>
        <w:t>噪声</w:t>
      </w:r>
      <w:r>
        <w:rPr>
          <w:rFonts w:hint="default" w:ascii="Times New Roman" w:hAnsi="Times New Roman" w:eastAsia="Times New Roman" w:cs="Times New Roman"/>
          <w:color w:val="auto"/>
          <w:sz w:val="24"/>
          <w:szCs w:val="24"/>
          <w:highlight w:val="none"/>
          <w:lang w:val="zh-CN"/>
        </w:rPr>
        <w:t>监测点。根据监测结果，</w:t>
      </w:r>
      <w:r>
        <w:rPr>
          <w:rFonts w:hint="default" w:ascii="Times New Roman" w:hAnsi="Times New Roman" w:cs="Times New Roman"/>
          <w:color w:val="auto"/>
          <w:sz w:val="24"/>
          <w:szCs w:val="24"/>
          <w:highlight w:val="none"/>
        </w:rPr>
        <w:t>项目所在区域昼夜间噪声值均不超标，项目各监测点昼夜间噪声均满足《声环境质量标准》（GB3096-2008）1类区标准要求。</w:t>
      </w:r>
    </w:p>
    <w:p w14:paraId="6DEC423B">
      <w:pPr>
        <w:pStyle w:val="6"/>
        <w:bidi w:val="0"/>
        <w:rPr>
          <w:rFonts w:hint="default" w:ascii="Times New Roman" w:hAnsi="Times New Roman" w:cs="Times New Roman"/>
          <w:color w:val="auto"/>
          <w:sz w:val="28"/>
          <w:szCs w:val="28"/>
          <w:highlight w:val="none"/>
          <w:lang w:val="zh-CN"/>
        </w:rPr>
      </w:pPr>
      <w:bookmarkStart w:id="7310" w:name="_Toc26422_WPSOffice_Level2"/>
      <w:bookmarkStart w:id="7311" w:name="_Toc11861_WPSOffice_Level2"/>
      <w:bookmarkStart w:id="7312" w:name="_Toc31781"/>
      <w:bookmarkStart w:id="7313" w:name="_Toc27654_WPSOffice_Level2"/>
      <w:bookmarkStart w:id="7314" w:name="_Toc25983"/>
      <w:bookmarkStart w:id="7315" w:name="_Toc1562"/>
      <w:bookmarkStart w:id="7316" w:name="_Toc1921_WPSOffice_Level2"/>
      <w:bookmarkStart w:id="7317" w:name="_Toc31217"/>
      <w:bookmarkStart w:id="7318" w:name="_Toc15652_WPSOffice_Level2"/>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.2.</w:t>
      </w:r>
      <w:r>
        <w:rPr>
          <w:rFonts w:hint="default" w:ascii="Times New Roman" w:hAnsi="Times New Roman" w:cs="Times New Roman"/>
          <w:color w:val="auto"/>
          <w:sz w:val="28"/>
          <w:szCs w:val="28"/>
          <w:highlight w:val="none"/>
        </w:rPr>
        <w:t>5</w:t>
      </w:r>
      <w:r>
        <w:rPr>
          <w:rFonts w:hint="default" w:ascii="Times New Roman" w:hAnsi="Times New Roman" w:cs="Times New Roman"/>
          <w:color w:val="auto"/>
          <w:sz w:val="28"/>
          <w:szCs w:val="28"/>
          <w:highlight w:val="none"/>
          <w:lang w:val="zh-CN"/>
        </w:rPr>
        <w:t>土壤环境</w:t>
      </w:r>
      <w:bookmarkEnd w:id="7310"/>
      <w:bookmarkEnd w:id="7311"/>
      <w:bookmarkEnd w:id="7312"/>
      <w:bookmarkEnd w:id="7313"/>
      <w:bookmarkEnd w:id="7314"/>
      <w:bookmarkEnd w:id="7315"/>
      <w:bookmarkEnd w:id="7316"/>
      <w:bookmarkEnd w:id="7317"/>
      <w:bookmarkEnd w:id="7318"/>
    </w:p>
    <w:p w14:paraId="7050B5EC">
      <w:pPr>
        <w:spacing w:line="360" w:lineRule="auto"/>
        <w:ind w:firstLine="480"/>
        <w:jc w:val="both"/>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本次评价共布设</w:t>
      </w:r>
      <w:r>
        <w:rPr>
          <w:rFonts w:hint="eastAsia" w:cs="Times New Roman"/>
          <w:color w:val="auto"/>
          <w:sz w:val="24"/>
          <w:szCs w:val="24"/>
          <w:highlight w:val="none"/>
          <w:lang w:val="en-US" w:eastAsia="zh-CN"/>
        </w:rPr>
        <w:t>3</w:t>
      </w:r>
      <w:r>
        <w:rPr>
          <w:rFonts w:hint="default" w:ascii="Times New Roman" w:hAnsi="Times New Roman" w:eastAsia="Times New Roman" w:cs="Times New Roman"/>
          <w:color w:val="auto"/>
          <w:sz w:val="24"/>
          <w:szCs w:val="24"/>
          <w:highlight w:val="none"/>
          <w:lang w:val="zh-CN"/>
        </w:rPr>
        <w:t>个土壤监测点</w:t>
      </w:r>
      <w:r>
        <w:rPr>
          <w:rFonts w:hint="eastAsia" w:eastAsia="Times New Roman" w:cs="Times New Roman"/>
          <w:color w:val="auto"/>
          <w:sz w:val="24"/>
          <w:szCs w:val="24"/>
          <w:highlight w:val="none"/>
          <w:lang w:val="zh-CN"/>
        </w:rPr>
        <w:t>，两处底泥监测点。</w:t>
      </w:r>
      <w:r>
        <w:rPr>
          <w:rFonts w:hint="default" w:ascii="Times New Roman" w:hAnsi="Times New Roman" w:eastAsia="Times New Roman" w:cs="Times New Roman"/>
          <w:color w:val="auto"/>
          <w:sz w:val="24"/>
          <w:szCs w:val="24"/>
          <w:highlight w:val="none"/>
          <w:lang w:val="zh-CN"/>
        </w:rPr>
        <w:t>根据监测结果，各监测点监测结果均满足《土壤环境质量农用地土壤污染风险管控标准（试行）》（GB15618-2018）表1用地土壤污染风险筛选值（</w:t>
      </w:r>
      <w:r>
        <w:rPr>
          <w:rFonts w:hint="eastAsia" w:eastAsia="Times New Roman" w:cs="Times New Roman"/>
          <w:color w:val="auto"/>
          <w:sz w:val="24"/>
          <w:szCs w:val="24"/>
          <w:highlight w:val="none"/>
          <w:lang w:val="zh-CN"/>
        </w:rPr>
        <w:t>基本项目</w:t>
      </w:r>
      <w:r>
        <w:rPr>
          <w:rFonts w:hint="default" w:ascii="Times New Roman" w:hAnsi="Times New Roman" w:eastAsia="Times New Roman" w:cs="Times New Roman"/>
          <w:color w:val="auto"/>
          <w:sz w:val="24"/>
          <w:szCs w:val="24"/>
          <w:highlight w:val="none"/>
          <w:lang w:val="zh-CN"/>
        </w:rPr>
        <w:t>）限值要求，区域土壤环境质量良好。</w:t>
      </w:r>
    </w:p>
    <w:p w14:paraId="7C509DEF">
      <w:pPr>
        <w:pStyle w:val="6"/>
        <w:bidi w:val="0"/>
        <w:rPr>
          <w:rFonts w:hint="default" w:ascii="Times New Roman" w:hAnsi="Times New Roman" w:cs="Times New Roman"/>
          <w:color w:val="auto"/>
          <w:sz w:val="28"/>
          <w:szCs w:val="28"/>
          <w:highlight w:val="none"/>
          <w:lang w:val="zh-CN"/>
        </w:rPr>
      </w:pPr>
      <w:bookmarkStart w:id="7319" w:name="_Toc8035"/>
      <w:bookmarkStart w:id="7320" w:name="_Toc27397"/>
      <w:bookmarkStart w:id="7321" w:name="_Toc14864"/>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.2.</w:t>
      </w:r>
      <w:r>
        <w:rPr>
          <w:rFonts w:hint="default" w:ascii="Times New Roman" w:hAnsi="Times New Roman" w:cs="Times New Roman"/>
          <w:color w:val="auto"/>
          <w:sz w:val="28"/>
          <w:szCs w:val="28"/>
          <w:highlight w:val="none"/>
          <w:lang w:val="en-US" w:eastAsia="zh-CN"/>
        </w:rPr>
        <w:t>6地下水</w:t>
      </w:r>
      <w:r>
        <w:rPr>
          <w:rFonts w:hint="default" w:ascii="Times New Roman" w:hAnsi="Times New Roman" w:cs="Times New Roman"/>
          <w:color w:val="auto"/>
          <w:sz w:val="28"/>
          <w:szCs w:val="28"/>
          <w:highlight w:val="none"/>
          <w:lang w:val="zh-CN"/>
        </w:rPr>
        <w:t>环境</w:t>
      </w:r>
      <w:bookmarkEnd w:id="7319"/>
      <w:bookmarkEnd w:id="7320"/>
      <w:bookmarkEnd w:id="7321"/>
    </w:p>
    <w:p w14:paraId="33FCD4BC">
      <w:pPr>
        <w:rPr>
          <w:rFonts w:hint="default"/>
          <w:color w:val="auto"/>
          <w:highlight w:val="none"/>
        </w:rPr>
      </w:pPr>
      <w:bookmarkStart w:id="7322" w:name="_Toc32484"/>
      <w:bookmarkStart w:id="7323" w:name="_Toc24172"/>
      <w:bookmarkStart w:id="7324" w:name="_Toc11583"/>
      <w:r>
        <w:rPr>
          <w:rFonts w:hint="eastAsia" w:cs="Times New Roman"/>
          <w:snapToGrid w:val="0"/>
          <w:color w:val="auto"/>
          <w:szCs w:val="24"/>
          <w:highlight w:val="none"/>
          <w:lang w:eastAsia="zh-CN"/>
        </w:rPr>
        <w:t>本次在茹河工程段上游、侧游及下游各布设</w:t>
      </w:r>
      <w:r>
        <w:rPr>
          <w:rFonts w:hint="eastAsia" w:cs="Times New Roman"/>
          <w:snapToGrid w:val="0"/>
          <w:color w:val="auto"/>
          <w:szCs w:val="24"/>
          <w:highlight w:val="none"/>
          <w:lang w:val="en-US" w:eastAsia="zh-CN"/>
        </w:rPr>
        <w:t>1处监测点位。</w:t>
      </w:r>
      <w:r>
        <w:rPr>
          <w:rFonts w:hint="default" w:ascii="Times New Roman" w:hAnsi="Times New Roman" w:cs="Times New Roman"/>
          <w:b w:val="0"/>
          <w:bCs w:val="0"/>
          <w:color w:val="auto"/>
          <w:sz w:val="24"/>
          <w:szCs w:val="24"/>
          <w:highlight w:val="none"/>
          <w:lang w:val="en-US" w:eastAsia="zh-CN"/>
        </w:rPr>
        <w:t>根据</w:t>
      </w:r>
      <w:r>
        <w:rPr>
          <w:rFonts w:hint="eastAsia" w:ascii="Times New Roman" w:hAnsi="Times New Roman" w:cs="Times New Roman"/>
          <w:b w:val="0"/>
          <w:bCs w:val="0"/>
          <w:color w:val="auto"/>
          <w:sz w:val="24"/>
          <w:szCs w:val="24"/>
          <w:highlight w:val="none"/>
          <w:lang w:val="en-US" w:eastAsia="zh-CN"/>
        </w:rPr>
        <w:t>监测结果可知</w:t>
      </w:r>
      <w:r>
        <w:rPr>
          <w:rFonts w:hint="default" w:ascii="Times New Roman" w:hAnsi="Times New Roman" w:cs="Times New Roman"/>
          <w:b w:val="0"/>
          <w:bCs w:val="0"/>
          <w:color w:val="auto"/>
          <w:sz w:val="24"/>
          <w:szCs w:val="24"/>
          <w:highlight w:val="none"/>
          <w:lang w:val="en-US" w:eastAsia="zh-CN"/>
        </w:rPr>
        <w:t>，</w:t>
      </w:r>
      <w:r>
        <w:rPr>
          <w:rFonts w:hint="default"/>
          <w:color w:val="auto"/>
          <w:highlight w:val="none"/>
        </w:rPr>
        <w:t>除总硬度、硫酸盐、总大肠菌群部分点位超标外，其余监测因子均满足《地下水质量标准》（GB/T 14848-2017）Ⅲ类标准限值要求。</w:t>
      </w:r>
    </w:p>
    <w:p w14:paraId="75B2C7E7">
      <w:pPr>
        <w:rPr>
          <w:rFonts w:hint="eastAsia" w:eastAsia="宋体"/>
          <w:color w:val="auto"/>
          <w:highlight w:val="none"/>
          <w:lang w:eastAsia="zh-CN"/>
        </w:rPr>
      </w:pPr>
      <w:r>
        <w:rPr>
          <w:rFonts w:hint="default"/>
          <w:color w:val="auto"/>
          <w:highlight w:val="none"/>
        </w:rPr>
        <w:t>1</w:t>
      </w:r>
      <w:r>
        <w:rPr>
          <w:rFonts w:hint="eastAsia"/>
          <w:color w:val="auto"/>
          <w:highlight w:val="none"/>
          <w:vertAlign w:val="superscript"/>
          <w:lang w:eastAsia="zh-CN"/>
        </w:rPr>
        <w:t>#</w:t>
      </w:r>
      <w:r>
        <w:rPr>
          <w:rFonts w:hint="default"/>
          <w:color w:val="auto"/>
          <w:highlight w:val="none"/>
        </w:rPr>
        <w:t>点位总硬度超标</w:t>
      </w:r>
      <w:r>
        <w:rPr>
          <w:rFonts w:hint="eastAsia"/>
          <w:color w:val="auto"/>
          <w:highlight w:val="none"/>
          <w:lang w:eastAsia="zh-CN"/>
        </w:rPr>
        <w:t>，</w:t>
      </w:r>
      <w:r>
        <w:rPr>
          <w:rFonts w:hint="default"/>
          <w:color w:val="auto"/>
          <w:highlight w:val="none"/>
        </w:rPr>
        <w:t>1</w:t>
      </w:r>
      <w:r>
        <w:rPr>
          <w:rFonts w:hint="eastAsia"/>
          <w:color w:val="auto"/>
          <w:highlight w:val="none"/>
          <w:vertAlign w:val="superscript"/>
          <w:lang w:eastAsia="zh-CN"/>
        </w:rPr>
        <w:t>#</w:t>
      </w:r>
      <w:r>
        <w:rPr>
          <w:rFonts w:hint="default"/>
          <w:color w:val="auto"/>
          <w:highlight w:val="none"/>
        </w:rPr>
        <w:t>、3</w:t>
      </w:r>
      <w:r>
        <w:rPr>
          <w:rFonts w:hint="eastAsia"/>
          <w:color w:val="auto"/>
          <w:highlight w:val="none"/>
          <w:vertAlign w:val="superscript"/>
          <w:lang w:eastAsia="zh-CN"/>
        </w:rPr>
        <w:t>#</w:t>
      </w:r>
      <w:r>
        <w:rPr>
          <w:rFonts w:hint="default"/>
          <w:color w:val="auto"/>
          <w:highlight w:val="none"/>
        </w:rPr>
        <w:t>点位硫酸盐超标</w:t>
      </w:r>
      <w:r>
        <w:rPr>
          <w:rFonts w:hint="eastAsia"/>
          <w:color w:val="auto"/>
          <w:highlight w:val="none"/>
          <w:lang w:eastAsia="zh-CN"/>
        </w:rPr>
        <w:t>，</w:t>
      </w:r>
      <w:r>
        <w:rPr>
          <w:rFonts w:hint="default"/>
          <w:color w:val="auto"/>
          <w:highlight w:val="none"/>
        </w:rPr>
        <w:t>1</w:t>
      </w:r>
      <w:r>
        <w:rPr>
          <w:rFonts w:hint="eastAsia"/>
          <w:color w:val="auto"/>
          <w:highlight w:val="none"/>
          <w:vertAlign w:val="superscript"/>
          <w:lang w:eastAsia="zh-CN"/>
        </w:rPr>
        <w:t>#</w:t>
      </w:r>
      <w:r>
        <w:rPr>
          <w:rFonts w:hint="eastAsia"/>
          <w:color w:val="auto"/>
          <w:highlight w:val="none"/>
          <w:lang w:val="en-US" w:eastAsia="zh-CN"/>
        </w:rPr>
        <w:t>、</w:t>
      </w:r>
      <w:r>
        <w:rPr>
          <w:rFonts w:hint="default"/>
          <w:color w:val="auto"/>
          <w:highlight w:val="none"/>
        </w:rPr>
        <w:t>2</w:t>
      </w:r>
      <w:r>
        <w:rPr>
          <w:rFonts w:hint="eastAsia"/>
          <w:color w:val="auto"/>
          <w:highlight w:val="none"/>
          <w:vertAlign w:val="superscript"/>
          <w:lang w:eastAsia="zh-CN"/>
        </w:rPr>
        <w:t>#</w:t>
      </w:r>
      <w:r>
        <w:rPr>
          <w:rFonts w:hint="default"/>
          <w:color w:val="auto"/>
          <w:highlight w:val="none"/>
        </w:rPr>
        <w:t>点位总大肠菌群超标</w:t>
      </w:r>
      <w:r>
        <w:rPr>
          <w:rFonts w:hint="eastAsia"/>
          <w:color w:val="auto"/>
          <w:highlight w:val="none"/>
          <w:lang w:eastAsia="zh-CN"/>
        </w:rPr>
        <w:t>，其余</w:t>
      </w:r>
      <w:r>
        <w:rPr>
          <w:rFonts w:hint="default"/>
          <w:color w:val="auto"/>
          <w:highlight w:val="none"/>
        </w:rPr>
        <w:t>监测因子均满足《地下水质量标准》（GB/T 14848-2017）Ⅲ类标准限值要求。</w:t>
      </w:r>
      <w:r>
        <w:rPr>
          <w:rFonts w:hint="eastAsia"/>
          <w:color w:val="auto"/>
          <w:highlight w:val="none"/>
          <w:lang w:eastAsia="zh-CN"/>
        </w:rPr>
        <w:t>其中</w:t>
      </w:r>
      <w:r>
        <w:rPr>
          <w:rFonts w:hint="default"/>
          <w:color w:val="auto"/>
          <w:highlight w:val="none"/>
        </w:rPr>
        <w:t>总硬度、硫酸盐</w:t>
      </w:r>
      <w:r>
        <w:rPr>
          <w:rFonts w:hint="eastAsia"/>
          <w:color w:val="auto"/>
          <w:highlight w:val="none"/>
          <w:lang w:eastAsia="zh-CN"/>
        </w:rPr>
        <w:t>超标主要</w:t>
      </w:r>
      <w:r>
        <w:rPr>
          <w:rFonts w:hint="default" w:ascii="Times New Roman" w:hAnsi="Times New Roman" w:eastAsia="宋体" w:cs="Times New Roman"/>
          <w:b w:val="0"/>
          <w:bCs w:val="0"/>
          <w:color w:val="auto"/>
          <w:sz w:val="24"/>
          <w:szCs w:val="24"/>
          <w:highlight w:val="none"/>
          <w:lang w:val="en-US" w:eastAsia="zh-CN"/>
        </w:rPr>
        <w:t>为当地地下水本底值较高</w:t>
      </w:r>
      <w:r>
        <w:rPr>
          <w:rFonts w:hint="eastAsia" w:ascii="Times New Roman" w:hAnsi="Times New Roman" w:eastAsia="宋体" w:cs="Times New Roman"/>
          <w:b w:val="0"/>
          <w:bCs w:val="0"/>
          <w:color w:val="auto"/>
          <w:sz w:val="24"/>
          <w:szCs w:val="24"/>
          <w:highlight w:val="none"/>
          <w:lang w:val="en-US" w:eastAsia="zh-CN"/>
        </w:rPr>
        <w:t>；</w:t>
      </w:r>
      <w:r>
        <w:rPr>
          <w:rFonts w:hint="default"/>
          <w:color w:val="auto"/>
          <w:highlight w:val="none"/>
        </w:rPr>
        <w:t>1</w:t>
      </w:r>
      <w:r>
        <w:rPr>
          <w:rFonts w:hint="eastAsia"/>
          <w:color w:val="auto"/>
          <w:highlight w:val="none"/>
          <w:vertAlign w:val="superscript"/>
          <w:lang w:eastAsia="zh-CN"/>
        </w:rPr>
        <w:t>#</w:t>
      </w:r>
      <w:r>
        <w:rPr>
          <w:rFonts w:hint="eastAsia"/>
          <w:color w:val="auto"/>
          <w:highlight w:val="none"/>
          <w:lang w:val="en-US" w:eastAsia="zh-CN"/>
        </w:rPr>
        <w:t>、</w:t>
      </w:r>
      <w:r>
        <w:rPr>
          <w:rFonts w:hint="default"/>
          <w:color w:val="auto"/>
          <w:highlight w:val="none"/>
        </w:rPr>
        <w:t>2</w:t>
      </w:r>
      <w:r>
        <w:rPr>
          <w:rFonts w:hint="eastAsia"/>
          <w:color w:val="auto"/>
          <w:highlight w:val="none"/>
          <w:vertAlign w:val="superscript"/>
          <w:lang w:eastAsia="zh-CN"/>
        </w:rPr>
        <w:t>#</w:t>
      </w:r>
      <w:r>
        <w:rPr>
          <w:rFonts w:hint="default"/>
          <w:color w:val="auto"/>
          <w:highlight w:val="none"/>
        </w:rPr>
        <w:t>点位总大肠菌群超标</w:t>
      </w:r>
      <w:r>
        <w:rPr>
          <w:rFonts w:hint="eastAsia"/>
          <w:color w:val="auto"/>
          <w:highlight w:val="none"/>
          <w:lang w:eastAsia="zh-CN"/>
        </w:rPr>
        <w:t>可能与周边村庄</w:t>
      </w:r>
      <w:r>
        <w:rPr>
          <w:rFonts w:ascii="Segoe UI" w:hAnsi="Segoe UI" w:eastAsia="Segoe UI" w:cs="Segoe UI"/>
          <w:i w:val="0"/>
          <w:iCs w:val="0"/>
          <w:caps w:val="0"/>
          <w:color w:val="auto"/>
          <w:spacing w:val="0"/>
          <w:sz w:val="24"/>
          <w:szCs w:val="24"/>
          <w:highlight w:val="none"/>
          <w:shd w:val="clear" w:fill="FFFFFF"/>
        </w:rPr>
        <w:t>人类活动</w:t>
      </w:r>
      <w:r>
        <w:rPr>
          <w:rFonts w:hint="eastAsia" w:ascii="Segoe UI" w:hAnsi="Segoe UI" w:eastAsia="宋体" w:cs="Segoe UI"/>
          <w:i w:val="0"/>
          <w:iCs w:val="0"/>
          <w:caps w:val="0"/>
          <w:color w:val="auto"/>
          <w:spacing w:val="0"/>
          <w:sz w:val="24"/>
          <w:szCs w:val="24"/>
          <w:highlight w:val="none"/>
          <w:shd w:val="clear" w:fill="FFFFFF"/>
          <w:lang w:eastAsia="zh-CN"/>
        </w:rPr>
        <w:t>有关</w:t>
      </w:r>
      <w:r>
        <w:rPr>
          <w:rFonts w:hint="default"/>
          <w:color w:val="auto"/>
          <w:highlight w:val="none"/>
        </w:rPr>
        <w:t>。</w:t>
      </w:r>
    </w:p>
    <w:p w14:paraId="72827A4F">
      <w:pPr>
        <w:pStyle w:val="4"/>
        <w:bidi w:val="0"/>
        <w:rPr>
          <w:rFonts w:hint="default" w:ascii="Times New Roman" w:hAnsi="Times New Roman" w:cs="Times New Roman"/>
          <w:color w:val="auto"/>
          <w:sz w:val="28"/>
          <w:szCs w:val="28"/>
          <w:highlight w:val="none"/>
          <w:lang w:val="zh-CN"/>
        </w:rPr>
      </w:pPr>
      <w:bookmarkStart w:id="7325" w:name="_Toc4352"/>
      <w:bookmarkStart w:id="7326" w:name="_Toc880"/>
      <w:r>
        <w:rPr>
          <w:rFonts w:hint="default" w:ascii="Times New Roman" w:hAnsi="Times New Roman" w:cs="Times New Roman"/>
          <w:color w:val="auto"/>
          <w:sz w:val="28"/>
          <w:szCs w:val="28"/>
          <w:highlight w:val="none"/>
          <w:lang w:eastAsia="zh-CN"/>
        </w:rPr>
        <w:t>11</w:t>
      </w:r>
      <w:r>
        <w:rPr>
          <w:rFonts w:hint="default" w:ascii="Times New Roman" w:hAnsi="Times New Roman" w:cs="Times New Roman"/>
          <w:color w:val="auto"/>
          <w:sz w:val="28"/>
          <w:szCs w:val="28"/>
          <w:highlight w:val="none"/>
          <w:lang w:val="zh-CN"/>
        </w:rPr>
        <w:t>.3环境影响分析</w:t>
      </w:r>
      <w:bookmarkEnd w:id="7322"/>
      <w:bookmarkEnd w:id="7323"/>
      <w:bookmarkEnd w:id="7324"/>
      <w:bookmarkEnd w:id="7325"/>
      <w:bookmarkEnd w:id="7326"/>
    </w:p>
    <w:p w14:paraId="4B424E30">
      <w:pPr>
        <w:pStyle w:val="6"/>
        <w:bidi w:val="0"/>
        <w:spacing w:beforeLines="-2147483648" w:beforeAutospacing="0" w:afterLines="-2147483648" w:afterAutospacing="0"/>
        <w:jc w:val="left"/>
        <w:rPr>
          <w:rFonts w:hint="default" w:ascii="Times New Roman" w:hAnsi="Times New Roman" w:eastAsia="宋体" w:cs="Times New Roman"/>
          <w:color w:val="auto"/>
          <w:sz w:val="28"/>
          <w:szCs w:val="28"/>
          <w:highlight w:val="none"/>
          <w:lang w:eastAsia="zh-CN"/>
        </w:rPr>
      </w:pPr>
      <w:bookmarkStart w:id="7327" w:name="_Toc8277"/>
      <w:bookmarkStart w:id="7328" w:name="_Toc19268"/>
      <w:bookmarkStart w:id="7329" w:name="_Toc4381"/>
      <w:r>
        <w:rPr>
          <w:rFonts w:hint="default" w:ascii="Times New Roman" w:hAnsi="Times New Roman" w:eastAsia="宋体" w:cs="Times New Roman"/>
          <w:color w:val="auto"/>
          <w:sz w:val="28"/>
          <w:szCs w:val="28"/>
          <w:highlight w:val="none"/>
          <w:lang w:val="en-US" w:eastAsia="zh-CN"/>
        </w:rPr>
        <w:t>11.3.1</w:t>
      </w:r>
      <w:r>
        <w:rPr>
          <w:rFonts w:hint="default" w:ascii="Times New Roman" w:hAnsi="Times New Roman" w:eastAsia="宋体" w:cs="Times New Roman"/>
          <w:color w:val="auto"/>
          <w:sz w:val="28"/>
          <w:szCs w:val="28"/>
          <w:highlight w:val="none"/>
          <w:lang w:eastAsia="zh-CN"/>
        </w:rPr>
        <w:t>水文情势影响</w:t>
      </w:r>
      <w:bookmarkEnd w:id="7327"/>
      <w:bookmarkEnd w:id="7328"/>
      <w:bookmarkEnd w:id="7329"/>
    </w:p>
    <w:p w14:paraId="1C6D5B3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sz w:val="24"/>
          <w:szCs w:val="24"/>
          <w:highlight w:val="none"/>
          <w:lang w:val="en-US" w:eastAsia="zh-CN"/>
        </w:rPr>
      </w:pPr>
      <w:bookmarkStart w:id="7330" w:name="_Toc15633"/>
      <w:bookmarkStart w:id="7331" w:name="_Toc15998"/>
      <w:r>
        <w:rPr>
          <w:rFonts w:hint="eastAsia" w:cs="Times New Roman"/>
          <w:color w:val="auto"/>
          <w:sz w:val="24"/>
          <w:szCs w:val="24"/>
          <w:highlight w:val="none"/>
          <w:lang w:val="en-US" w:eastAsia="zh-CN"/>
        </w:rPr>
        <w:t>本工程</w:t>
      </w:r>
      <w:r>
        <w:rPr>
          <w:rFonts w:hint="eastAsia" w:ascii="Times New Roman" w:hAnsi="Times New Roman" w:eastAsia="宋体" w:cs="Times New Roman"/>
          <w:color w:val="auto"/>
          <w:sz w:val="24"/>
          <w:szCs w:val="24"/>
          <w:highlight w:val="none"/>
          <w:lang w:val="en-US" w:eastAsia="zh-CN"/>
        </w:rPr>
        <w:t>建设对水环境的影响主要表现在施工活动对局部水环境的影响，影响污染物主要为SS，河道疏浚改变了茹河河道局部河势，水库清淤仅对库底进行局部扰动，不改变水库容积、水深等。疏浚及清淤前的导流将导致该段水文情势有所变化，进而使茹河川口河段、小河段上游及下游水流扩散规律发生一定程度的变化。</w:t>
      </w:r>
      <w:r>
        <w:rPr>
          <w:rFonts w:hint="eastAsia" w:cs="Times New Roman"/>
          <w:color w:val="auto"/>
          <w:sz w:val="24"/>
          <w:szCs w:val="24"/>
          <w:highlight w:val="none"/>
          <w:lang w:val="en-US" w:eastAsia="zh-CN"/>
        </w:rPr>
        <w:t>本工程</w:t>
      </w:r>
      <w:r>
        <w:rPr>
          <w:rFonts w:hint="eastAsia" w:ascii="Times New Roman" w:hAnsi="Times New Roman" w:eastAsia="宋体" w:cs="Times New Roman"/>
          <w:color w:val="auto"/>
          <w:sz w:val="24"/>
          <w:szCs w:val="24"/>
          <w:highlight w:val="none"/>
          <w:lang w:val="en-US" w:eastAsia="zh-CN"/>
        </w:rPr>
        <w:t>河道疏浚及库底清淤对河流水文情势影响非常有限。河道疏浚将提高茹河过流能力，水流流速将加快，水体自净能力将逐渐提高；库底清淤有利于减少河道底部的氮磷等营养物质再悬浮回到水库及河流水体中，因此项目施工过程不会对茹河川口河段、小河段及石头崾岘水库水文情势产生不利影响。</w:t>
      </w:r>
    </w:p>
    <w:p w14:paraId="010614A7">
      <w:pPr>
        <w:pStyle w:val="6"/>
        <w:bidi w:val="0"/>
        <w:spacing w:beforeLines="-2147483648" w:beforeAutospacing="0" w:afterLines="-2147483648" w:afterAutospacing="0"/>
        <w:jc w:val="left"/>
        <w:rPr>
          <w:rFonts w:hint="default" w:ascii="Times New Roman" w:hAnsi="Times New Roman" w:eastAsia="宋体" w:cs="Times New Roman"/>
          <w:color w:val="auto"/>
          <w:sz w:val="28"/>
          <w:szCs w:val="28"/>
          <w:highlight w:val="none"/>
          <w:lang w:val="en-US" w:eastAsia="zh-CN"/>
        </w:rPr>
      </w:pPr>
      <w:bookmarkStart w:id="7332" w:name="_Toc1117"/>
      <w:r>
        <w:rPr>
          <w:rFonts w:hint="default" w:ascii="Times New Roman" w:hAnsi="Times New Roman" w:eastAsia="宋体" w:cs="Times New Roman"/>
          <w:color w:val="auto"/>
          <w:sz w:val="28"/>
          <w:szCs w:val="28"/>
          <w:highlight w:val="none"/>
          <w:lang w:val="en-US" w:eastAsia="zh-CN"/>
        </w:rPr>
        <w:t>11.3.2生态环境</w:t>
      </w:r>
      <w:bookmarkEnd w:id="7330"/>
      <w:bookmarkEnd w:id="7331"/>
      <w:bookmarkEnd w:id="7332"/>
    </w:p>
    <w:p w14:paraId="121BE7EE">
      <w:pPr>
        <w:pStyle w:val="7"/>
        <w:bidi w:val="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.3.2.1陆生生态</w:t>
      </w:r>
    </w:p>
    <w:p w14:paraId="28758A13">
      <w:pPr>
        <w:pStyle w:val="27"/>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本工程对陆生生态环境的影响总体可控且较为轻微。工程永久和临时占地总面积有限</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土地利用格局改变幅度小。施工活动虽将暂时破坏局部植被、扰动土壤并干扰野生动物，但通过严格限制施工范围、优化施工布置、及时实施生态修复（包括补植苗木、播撒草籽、恢复地貌等）以及加强施工期环境管理（如控制污染、防火防疫、规范人员活动）等措施，这些影响可在施工结束后得到有效缓解和恢复。</w:t>
      </w:r>
    </w:p>
    <w:p w14:paraId="444C33D1">
      <w:pPr>
        <w:pStyle w:val="27"/>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工程不涉及重要保护动植物</w:t>
      </w:r>
      <w:r>
        <w:rPr>
          <w:rFonts w:hint="eastAsia" w:ascii="Times New Roman" w:hAnsi="Times New Roman" w:eastAsia="宋体" w:cs="Times New Roman"/>
          <w:color w:val="auto"/>
          <w:kern w:val="2"/>
          <w:sz w:val="24"/>
          <w:szCs w:val="24"/>
          <w:highlight w:val="none"/>
          <w:lang w:val="en-US" w:eastAsia="zh-CN" w:bidi="ar-SA"/>
        </w:rPr>
        <w:t>，不占用生态保护红线</w:t>
      </w:r>
      <w:r>
        <w:rPr>
          <w:rFonts w:hint="default" w:ascii="Times New Roman" w:hAnsi="Times New Roman" w:eastAsia="宋体" w:cs="Times New Roman"/>
          <w:color w:val="auto"/>
          <w:kern w:val="2"/>
          <w:sz w:val="24"/>
          <w:szCs w:val="24"/>
          <w:highlight w:val="none"/>
          <w:lang w:val="en-US" w:eastAsia="zh-CN" w:bidi="ar-SA"/>
        </w:rPr>
        <w:t>，对区域生态系统多样性、物种组成、生物群落结构及生态完整性的影响有限，不会导致生物栖息地显著破碎化或生态系统功能退化。运营期在生态恢复基础上，区域生境将逐步改善，对动物的干扰基本消失。</w:t>
      </w:r>
    </w:p>
    <w:p w14:paraId="522A0EEE">
      <w:pPr>
        <w:pStyle w:val="27"/>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综上所述，工程建设对陆生生态环境的影响是暂时和局部的，在落实各项生态保护和恢复措施后，可从整体上维持区域生态系统的稳定性和服务功能。</w:t>
      </w:r>
    </w:p>
    <w:p w14:paraId="065D06CC">
      <w:pPr>
        <w:pStyle w:val="7"/>
        <w:bidi w:val="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10.3.2.2水生生态</w:t>
      </w:r>
    </w:p>
    <w:p w14:paraId="270D323C">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sz w:val="24"/>
          <w:szCs w:val="24"/>
          <w:highlight w:val="none"/>
          <w:lang w:val="en-US" w:eastAsia="zh-CN"/>
        </w:rPr>
      </w:pPr>
      <w:bookmarkStart w:id="7333" w:name="_Toc21892"/>
      <w:bookmarkStart w:id="7334" w:name="_Toc25385"/>
      <w:r>
        <w:rPr>
          <w:rFonts w:hint="eastAsia" w:cs="Times New Roman"/>
          <w:color w:val="auto"/>
          <w:sz w:val="24"/>
          <w:szCs w:val="24"/>
          <w:highlight w:val="none"/>
          <w:lang w:val="en-US" w:eastAsia="zh-CN"/>
        </w:rPr>
        <w:t>工</w:t>
      </w:r>
      <w:r>
        <w:rPr>
          <w:rFonts w:hint="default" w:ascii="Times New Roman" w:hAnsi="Times New Roman" w:cs="Times New Roman"/>
          <w:color w:val="auto"/>
          <w:sz w:val="24"/>
          <w:szCs w:val="24"/>
          <w:highlight w:val="none"/>
          <w:lang w:val="en-US" w:eastAsia="zh-CN"/>
        </w:rPr>
        <w:t>程施工期对水生生态的影响主要体现在局部河段水流流路的调整可能会对鱼类等产生影响。但根据工程性质，本工程不改变总体河势，局部河段河势稍有调整，对于生存在该河段的定居性鱼类不会造成明显不利影响。工程的实施起到了减轻部分河段主流对凹岸冲刷，提高了</w:t>
      </w:r>
      <w:r>
        <w:rPr>
          <w:rFonts w:hint="eastAsia" w:cs="Times New Roman"/>
          <w:color w:val="auto"/>
          <w:sz w:val="24"/>
          <w:szCs w:val="24"/>
          <w:highlight w:val="none"/>
          <w:lang w:val="en-US" w:eastAsia="zh-CN"/>
        </w:rPr>
        <w:t>茹河川口河段和小河段</w:t>
      </w:r>
      <w:r>
        <w:rPr>
          <w:rFonts w:hint="default" w:ascii="Times New Roman" w:hAnsi="Times New Roman" w:cs="Times New Roman"/>
          <w:color w:val="auto"/>
          <w:sz w:val="24"/>
          <w:szCs w:val="24"/>
          <w:highlight w:val="none"/>
          <w:lang w:val="en-US" w:eastAsia="zh-CN"/>
        </w:rPr>
        <w:t>控导河势能力，缓解塌岸等问题，对河势影响是有利的。从长远角度看，工程的运行对水生生境的维护将是有利的。</w:t>
      </w:r>
    </w:p>
    <w:p w14:paraId="4130168A">
      <w:pPr>
        <w:pStyle w:val="6"/>
        <w:bidi w:val="0"/>
        <w:rPr>
          <w:rFonts w:hint="default" w:ascii="Times New Roman" w:hAnsi="Times New Roman" w:cs="Times New Roman"/>
          <w:color w:val="auto"/>
          <w:sz w:val="28"/>
          <w:szCs w:val="28"/>
          <w:highlight w:val="none"/>
        </w:rPr>
      </w:pPr>
      <w:bookmarkStart w:id="7335" w:name="_Toc15119"/>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.3.3声环境</w:t>
      </w:r>
      <w:bookmarkEnd w:id="7333"/>
      <w:bookmarkEnd w:id="7334"/>
      <w:bookmarkEnd w:id="7335"/>
    </w:p>
    <w:p w14:paraId="2A02D302">
      <w:pPr>
        <w:rPr>
          <w:rFonts w:hint="default" w:ascii="Times New Roman" w:hAnsi="Times New Roman" w:cs="Times New Roman"/>
          <w:color w:val="auto"/>
          <w:sz w:val="24"/>
          <w:szCs w:val="24"/>
          <w:highlight w:val="none"/>
          <w:lang w:eastAsia="zh-CN"/>
        </w:rPr>
      </w:pPr>
      <w:bookmarkStart w:id="7336" w:name="_Toc1415"/>
      <w:bookmarkStart w:id="7337" w:name="_Toc9314"/>
      <w:r>
        <w:rPr>
          <w:rFonts w:hint="eastAsia" w:ascii="Times New Roman" w:hAnsi="Times New Roman" w:cs="Times New Roman"/>
          <w:color w:val="auto"/>
          <w:sz w:val="24"/>
          <w:szCs w:val="24"/>
          <w:highlight w:val="none"/>
          <w:lang w:eastAsia="zh-CN"/>
        </w:rPr>
        <w:t>项目对周边的声环境影响主要来自施工期，项目运营期不产生噪声。</w:t>
      </w:r>
      <w:r>
        <w:rPr>
          <w:rFonts w:hint="default" w:ascii="Times New Roman" w:hAnsi="Times New Roman" w:cs="Times New Roman"/>
          <w:color w:val="auto"/>
          <w:sz w:val="24"/>
          <w:szCs w:val="24"/>
          <w:highlight w:val="none"/>
          <w:lang w:eastAsia="zh-CN"/>
        </w:rPr>
        <w:t>施工机械设备噪声主要对现场施工人员影响较大，对周围敏感点影响较小，考虑工程施工时间短，施工工区分散，因此，施工机械噪声不会对区域声环境产生大的影响；通过控制车流量和行车速度，施工车辆经过敏感点及施工生活区附近道路时，禁止鸣笛、减速慢行，尽量减少车辆运输噪声对声环境的影响。综上考虑，评价认为施工期对周围声环境不会产生明显影响。</w:t>
      </w:r>
    </w:p>
    <w:p w14:paraId="5A2C61D9">
      <w:pPr>
        <w:pStyle w:val="6"/>
        <w:bidi w:val="0"/>
        <w:rPr>
          <w:rFonts w:hint="default" w:ascii="Times New Roman" w:hAnsi="Times New Roman" w:cs="Times New Roman"/>
          <w:color w:val="auto"/>
          <w:sz w:val="28"/>
          <w:szCs w:val="28"/>
          <w:highlight w:val="none"/>
        </w:rPr>
      </w:pPr>
      <w:bookmarkStart w:id="7338" w:name="_Toc74"/>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w:t>
      </w: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地下水环境</w:t>
      </w:r>
      <w:bookmarkEnd w:id="7336"/>
      <w:bookmarkEnd w:id="7337"/>
      <w:bookmarkEnd w:id="7338"/>
    </w:p>
    <w:p w14:paraId="6CA0CD76">
      <w:pPr>
        <w:bidi w:val="0"/>
        <w:rPr>
          <w:rFonts w:hint="default" w:ascii="Times New Roman" w:hAnsi="Times New Roman" w:cs="Times New Roman"/>
          <w:color w:val="auto"/>
          <w:sz w:val="24"/>
          <w:szCs w:val="24"/>
          <w:highlight w:val="none"/>
          <w:lang w:eastAsia="zh-CN"/>
        </w:rPr>
      </w:pPr>
      <w:bookmarkStart w:id="7339" w:name="_Toc13124"/>
      <w:bookmarkStart w:id="7340" w:name="_Toc28540"/>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有可能对地下水造成影响的主要是施工</w:t>
      </w:r>
      <w:r>
        <w:rPr>
          <w:rFonts w:hint="eastAsia" w:cs="Times New Roman"/>
          <w:color w:val="auto"/>
          <w:sz w:val="24"/>
          <w:szCs w:val="24"/>
          <w:highlight w:val="none"/>
          <w:lang w:eastAsia="zh-CN"/>
        </w:rPr>
        <w:t>区</w:t>
      </w:r>
      <w:r>
        <w:rPr>
          <w:rFonts w:hint="default" w:ascii="Times New Roman" w:hAnsi="Times New Roman" w:cs="Times New Roman"/>
          <w:color w:val="auto"/>
          <w:sz w:val="24"/>
          <w:szCs w:val="24"/>
          <w:highlight w:val="none"/>
          <w:lang w:eastAsia="zh-CN"/>
        </w:rPr>
        <w:t>产生的生产废</w:t>
      </w:r>
      <w:r>
        <w:rPr>
          <w:rFonts w:hint="eastAsia" w:cs="Times New Roman"/>
          <w:color w:val="auto"/>
          <w:sz w:val="24"/>
          <w:szCs w:val="24"/>
          <w:highlight w:val="none"/>
          <w:lang w:eastAsia="zh-CN"/>
        </w:rPr>
        <w:t>水</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运营期对区域地下水无影响。</w:t>
      </w:r>
    </w:p>
    <w:p w14:paraId="4DBFF6C9">
      <w:pPr>
        <w:bidi w:val="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lang w:eastAsia="zh-CN"/>
        </w:rPr>
        <w:t>整体工程共</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个施工区。各施工区采用集中布置方案，</w:t>
      </w:r>
      <w:r>
        <w:rPr>
          <w:rFonts w:hint="eastAsia" w:cs="Times New Roman"/>
          <w:color w:val="auto"/>
          <w:sz w:val="24"/>
          <w:szCs w:val="24"/>
          <w:highlight w:val="none"/>
          <w:lang w:eastAsia="zh-CN"/>
        </w:rPr>
        <w:t>建设生产区，生活区租用附近民房</w:t>
      </w:r>
      <w:r>
        <w:rPr>
          <w:rFonts w:hint="default" w:ascii="Times New Roman" w:hAnsi="Times New Roman" w:cs="Times New Roman"/>
          <w:color w:val="auto"/>
          <w:sz w:val="24"/>
          <w:szCs w:val="24"/>
          <w:highlight w:val="none"/>
          <w:lang w:eastAsia="zh-CN"/>
        </w:rPr>
        <w:t>。根据施工总布置</w:t>
      </w:r>
      <w:r>
        <w:rPr>
          <w:rFonts w:hint="eastAsia" w:cs="Times New Roman"/>
          <w:color w:val="auto"/>
          <w:sz w:val="24"/>
          <w:szCs w:val="24"/>
          <w:highlight w:val="none"/>
          <w:lang w:eastAsia="zh-CN"/>
        </w:rPr>
        <w:t>及</w:t>
      </w:r>
      <w:r>
        <w:rPr>
          <w:rFonts w:hint="default" w:ascii="Times New Roman" w:hAnsi="Times New Roman" w:cs="Times New Roman"/>
          <w:color w:val="auto"/>
          <w:sz w:val="24"/>
          <w:szCs w:val="24"/>
          <w:highlight w:val="none"/>
          <w:lang w:eastAsia="zh-CN"/>
        </w:rPr>
        <w:t>施工区设计方案，可能产生地下水影响的主要是施工废水处理设施。施工营地的生产废水主要是混凝土养护废水、机械车辆冲洗废水，设置</w:t>
      </w:r>
      <w:r>
        <w:rPr>
          <w:rFonts w:hint="eastAsia" w:cs="Times New Roman"/>
          <w:color w:val="auto"/>
          <w:sz w:val="24"/>
          <w:szCs w:val="24"/>
          <w:highlight w:val="none"/>
          <w:lang w:eastAsia="zh-CN"/>
        </w:rPr>
        <w:t>临时</w:t>
      </w:r>
      <w:r>
        <w:rPr>
          <w:rFonts w:hint="default" w:ascii="Times New Roman" w:hAnsi="Times New Roman" w:cs="Times New Roman"/>
          <w:color w:val="auto"/>
          <w:sz w:val="24"/>
          <w:szCs w:val="24"/>
          <w:highlight w:val="none"/>
          <w:lang w:eastAsia="zh-CN"/>
        </w:rPr>
        <w:t>沉淀池，池底及池壁进行防渗设计</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对地下水污染影响较小。</w:t>
      </w:r>
    </w:p>
    <w:p w14:paraId="1CFDBA5E">
      <w:pPr>
        <w:pStyle w:val="6"/>
        <w:bidi w:val="0"/>
        <w:rPr>
          <w:rFonts w:hint="default" w:ascii="Times New Roman" w:hAnsi="Times New Roman" w:cs="Times New Roman"/>
          <w:color w:val="auto"/>
          <w:sz w:val="28"/>
          <w:szCs w:val="28"/>
          <w:highlight w:val="none"/>
        </w:rPr>
      </w:pPr>
      <w:bookmarkStart w:id="7341" w:name="_Toc7572"/>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w:t>
      </w:r>
      <w:r>
        <w:rPr>
          <w:rFonts w:hint="default" w:ascii="Times New Roman" w:hAnsi="Times New Roman" w:cs="Times New Roman"/>
          <w:color w:val="auto"/>
          <w:sz w:val="28"/>
          <w:szCs w:val="28"/>
          <w:highlight w:val="none"/>
          <w:lang w:val="en-US" w:eastAsia="zh-CN"/>
        </w:rPr>
        <w:t>5</w:t>
      </w:r>
      <w:r>
        <w:rPr>
          <w:rFonts w:hint="default" w:ascii="Times New Roman" w:hAnsi="Times New Roman" w:cs="Times New Roman"/>
          <w:color w:val="auto"/>
          <w:sz w:val="28"/>
          <w:szCs w:val="28"/>
          <w:highlight w:val="none"/>
        </w:rPr>
        <w:t>土壤环境</w:t>
      </w:r>
      <w:bookmarkEnd w:id="7339"/>
      <w:bookmarkEnd w:id="7340"/>
      <w:bookmarkEnd w:id="7341"/>
    </w:p>
    <w:p w14:paraId="0E112438">
      <w:pPr>
        <w:bidi w:val="0"/>
        <w:jc w:val="both"/>
        <w:rPr>
          <w:rFonts w:hint="default" w:ascii="Times New Roman" w:hAnsi="Times New Roman" w:cs="Times New Roman"/>
          <w:color w:val="auto"/>
          <w:sz w:val="24"/>
          <w:szCs w:val="24"/>
          <w:highlight w:val="none"/>
          <w:lang w:eastAsia="zh-CN"/>
        </w:rPr>
      </w:pPr>
      <w:bookmarkStart w:id="7342" w:name="_Toc16185"/>
      <w:bookmarkStart w:id="7343" w:name="_Toc31595"/>
      <w:r>
        <w:rPr>
          <w:rFonts w:hint="default" w:ascii="Times New Roman" w:hAnsi="Times New Roman" w:cs="Times New Roman"/>
          <w:color w:val="auto"/>
          <w:sz w:val="24"/>
          <w:szCs w:val="24"/>
          <w:highlight w:val="none"/>
          <w:lang w:eastAsia="zh-CN"/>
        </w:rPr>
        <w:t>本工程为线性工程，工程建设将会对施工区域的土壤理化性质产生一定的影响，由于工程不新增永久占地，对临时占地采取了松土及覆盖剥离表土后植被恢复，不足以对整个区域的土壤理化性质产生影响，不会使区域土壤理化性质恶化。</w:t>
      </w:r>
    </w:p>
    <w:p w14:paraId="66D9452F">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因此，工程施工期土壤受到的影响是短期暂时的，施工结束后，通过采取工程措施和生态措施，临时占地区域的地表会逐渐恢复，土壤结构和功能</w:t>
      </w:r>
      <w:r>
        <w:rPr>
          <w:rFonts w:hint="eastAsia" w:cs="Times New Roman"/>
          <w:color w:val="auto"/>
          <w:sz w:val="24"/>
          <w:szCs w:val="24"/>
          <w:highlight w:val="none"/>
          <w:lang w:eastAsia="zh-CN"/>
        </w:rPr>
        <w:t>逐步恢复</w:t>
      </w:r>
      <w:r>
        <w:rPr>
          <w:rFonts w:hint="default" w:ascii="Times New Roman" w:hAnsi="Times New Roman" w:cs="Times New Roman"/>
          <w:color w:val="auto"/>
          <w:sz w:val="24"/>
          <w:szCs w:val="24"/>
          <w:highlight w:val="none"/>
          <w:lang w:eastAsia="zh-CN"/>
        </w:rPr>
        <w:t>到自然状态。</w:t>
      </w:r>
    </w:p>
    <w:p w14:paraId="7A75A472">
      <w:pPr>
        <w:pStyle w:val="6"/>
        <w:bidi w:val="0"/>
        <w:rPr>
          <w:rFonts w:hint="default" w:ascii="Times New Roman" w:hAnsi="Times New Roman" w:cs="Times New Roman"/>
          <w:color w:val="auto"/>
          <w:sz w:val="28"/>
          <w:szCs w:val="28"/>
          <w:highlight w:val="none"/>
        </w:rPr>
      </w:pPr>
      <w:bookmarkStart w:id="7344" w:name="_Toc22968"/>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w:t>
      </w:r>
      <w:r>
        <w:rPr>
          <w:rFonts w:hint="default" w:ascii="Times New Roman" w:hAnsi="Times New Roman" w:cs="Times New Roman"/>
          <w:color w:val="auto"/>
          <w:sz w:val="28"/>
          <w:szCs w:val="28"/>
          <w:highlight w:val="none"/>
          <w:lang w:val="en-US" w:eastAsia="zh-CN"/>
        </w:rPr>
        <w:t>6</w:t>
      </w:r>
      <w:r>
        <w:rPr>
          <w:rFonts w:hint="default" w:ascii="Times New Roman" w:hAnsi="Times New Roman" w:cs="Times New Roman"/>
          <w:color w:val="auto"/>
          <w:sz w:val="28"/>
          <w:szCs w:val="28"/>
          <w:highlight w:val="none"/>
        </w:rPr>
        <w:t>大气环境</w:t>
      </w:r>
      <w:bookmarkEnd w:id="7342"/>
      <w:bookmarkEnd w:id="7343"/>
      <w:bookmarkEnd w:id="7344"/>
    </w:p>
    <w:p w14:paraId="589E5382">
      <w:pPr>
        <w:bidi w:val="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工程施工期对大气环境的影响主要来源于施工扬尘、机械燃油废气、道路扬尘及清淤产生的短暂恶臭，其影响具有局部性、短期性和可逆性。通过采取严格的施工管理和针对性的污染防治措施——如对施工场地及运输道路定期洒水抑尘、对临时堆土及物料进行苫盖、优化运输路线、选用达标机械并加强维护</w:t>
      </w:r>
      <w:r>
        <w:rPr>
          <w:rFonts w:hint="eastAsia" w:cs="Times New Roman"/>
          <w:color w:val="auto"/>
          <w:sz w:val="24"/>
          <w:szCs w:val="24"/>
          <w:highlight w:val="none"/>
          <w:lang w:eastAsia="zh-CN"/>
        </w:rPr>
        <w:t>，以及</w:t>
      </w:r>
      <w:r>
        <w:rPr>
          <w:rFonts w:hint="default" w:ascii="Times New Roman" w:hAnsi="Times New Roman" w:eastAsia="宋体" w:cs="Times New Roman"/>
          <w:color w:val="auto"/>
          <w:sz w:val="24"/>
          <w:szCs w:val="24"/>
          <w:highlight w:val="none"/>
          <w:lang w:eastAsia="zh-CN"/>
        </w:rPr>
        <w:t>控制清淤作业与晾晒时间</w:t>
      </w:r>
      <w:r>
        <w:rPr>
          <w:rFonts w:hint="eastAsia" w:ascii="Times New Roman" w:hAnsi="Times New Roman" w:eastAsia="宋体"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lang w:eastAsia="zh-CN"/>
        </w:rPr>
        <w:t>可使其对周边敏感点及区域大气环境的影响降至最低。由于工程</w:t>
      </w:r>
      <w:r>
        <w:rPr>
          <w:rFonts w:hint="eastAsia" w:ascii="Times New Roman" w:hAnsi="Times New Roman" w:eastAsia="宋体" w:cs="Times New Roman"/>
          <w:color w:val="auto"/>
          <w:sz w:val="24"/>
          <w:szCs w:val="24"/>
          <w:highlight w:val="none"/>
          <w:lang w:eastAsia="zh-CN"/>
        </w:rPr>
        <w:t>分段分期进行</w:t>
      </w:r>
      <w:r>
        <w:rPr>
          <w:rFonts w:hint="default" w:ascii="Times New Roman" w:hAnsi="Times New Roman" w:eastAsia="宋体" w:cs="Times New Roman"/>
          <w:color w:val="auto"/>
          <w:sz w:val="24"/>
          <w:szCs w:val="24"/>
          <w:highlight w:val="none"/>
          <w:lang w:eastAsia="zh-CN"/>
        </w:rPr>
        <w:t>，且运营期无废气产生，因此，本工程对大气环境的影响是暂时的、有限的，并随施工结束而消失。在全面落实报告所述环保措施的前提下，工程施工和运营对区域大气环境质量的影响总体可控。</w:t>
      </w:r>
    </w:p>
    <w:p w14:paraId="76466BD0">
      <w:pPr>
        <w:pStyle w:val="6"/>
        <w:bidi w:val="0"/>
        <w:rPr>
          <w:rFonts w:hint="default" w:ascii="Times New Roman" w:hAnsi="Times New Roman" w:cs="Times New Roman"/>
          <w:color w:val="auto"/>
          <w:sz w:val="28"/>
          <w:szCs w:val="28"/>
          <w:highlight w:val="none"/>
        </w:rPr>
      </w:pPr>
      <w:bookmarkStart w:id="7345" w:name="_Toc6262"/>
      <w:bookmarkStart w:id="7346" w:name="_Toc21983"/>
      <w:bookmarkStart w:id="7347" w:name="_Toc22415"/>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w:t>
      </w:r>
      <w:r>
        <w:rPr>
          <w:rFonts w:hint="default"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rPr>
        <w:t>固体废物</w:t>
      </w:r>
      <w:bookmarkEnd w:id="7345"/>
      <w:bookmarkEnd w:id="7346"/>
      <w:bookmarkEnd w:id="7347"/>
    </w:p>
    <w:p w14:paraId="37304F56">
      <w:pPr>
        <w:bidi w:val="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本工程固体废物环境影响主要集中于施工期，产生包括弃土、施工人员生活垃圾及少量建筑垃圾。通过科学的土方平衡与调配，</w:t>
      </w:r>
      <w:r>
        <w:rPr>
          <w:rFonts w:hint="eastAsia" w:ascii="Times New Roman" w:hAnsi="Times New Roman" w:eastAsia="宋体" w:cs="Times New Roman"/>
          <w:color w:val="auto"/>
          <w:sz w:val="24"/>
          <w:szCs w:val="24"/>
          <w:highlight w:val="none"/>
          <w:lang w:eastAsia="zh-CN"/>
        </w:rPr>
        <w:t>一期工程</w:t>
      </w:r>
      <w:r>
        <w:rPr>
          <w:rFonts w:hint="default" w:ascii="Times New Roman" w:hAnsi="Times New Roman" w:eastAsia="宋体" w:cs="Times New Roman"/>
          <w:color w:val="auto"/>
          <w:sz w:val="24"/>
          <w:szCs w:val="24"/>
          <w:highlight w:val="none"/>
        </w:rPr>
        <w:t>弃土基本实现场内消纳，水库清淤弃土将堆放于工程规划的7座堆场进行规范处置。生活垃圾依托现有环卫体系统一收集清运，建筑垃圾则运送至指定处置场。在落实以上分类收集与妥善处置措施的前提下，施工期固废可实现资源化利用或无害化处理，对环境影响较小且可控。工程运营期不产生固体废物，不会对环境产生持续性的固废影响。总体而言，本工程固体废物的环境影响是暂时和局部的，在严格执行管理措施后，对环境的影响可接受。</w:t>
      </w:r>
      <w:r>
        <w:rPr>
          <w:rFonts w:hint="default" w:ascii="Times New Roman" w:hAnsi="Times New Roman" w:eastAsia="宋体" w:cs="Times New Roman"/>
          <w:color w:val="auto"/>
          <w:sz w:val="24"/>
          <w:szCs w:val="24"/>
          <w:highlight w:val="none"/>
          <w:lang w:eastAsia="zh-CN"/>
        </w:rPr>
        <w:t>通过采取以上措施，工程运行期固废对环境的影响较小。</w:t>
      </w:r>
    </w:p>
    <w:p w14:paraId="7D8F69B2">
      <w:pPr>
        <w:pStyle w:val="6"/>
        <w:bidi w:val="0"/>
        <w:rPr>
          <w:rFonts w:hint="default" w:ascii="Times New Roman" w:hAnsi="Times New Roman" w:cs="Times New Roman"/>
          <w:color w:val="auto"/>
          <w:sz w:val="28"/>
          <w:szCs w:val="28"/>
          <w:highlight w:val="none"/>
        </w:rPr>
      </w:pPr>
      <w:bookmarkStart w:id="7348" w:name="_Toc10028"/>
      <w:bookmarkStart w:id="7349" w:name="_Toc13386"/>
      <w:bookmarkStart w:id="7350" w:name="_Toc13612"/>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.3.</w:t>
      </w:r>
      <w:r>
        <w:rPr>
          <w:rFonts w:hint="default" w:ascii="Times New Roman" w:hAnsi="Times New Roman"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对自治区生态保护红线的影响</w:t>
      </w:r>
      <w:bookmarkEnd w:id="7348"/>
      <w:bookmarkEnd w:id="7349"/>
      <w:bookmarkEnd w:id="7350"/>
    </w:p>
    <w:p w14:paraId="7451617E">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项目占地不涉及生态保护红线，仅评价范围进入红线区域，施工过程严格</w:t>
      </w:r>
      <w:r>
        <w:rPr>
          <w:rFonts w:hint="default"/>
          <w:color w:val="auto"/>
          <w:highlight w:val="none"/>
          <w:lang w:val="en-US" w:eastAsia="zh-CN"/>
        </w:rPr>
        <w:t>控制施工作业带宽度，</w:t>
      </w:r>
      <w:r>
        <w:rPr>
          <w:rFonts w:hint="eastAsia"/>
          <w:color w:val="auto"/>
          <w:highlight w:val="none"/>
          <w:lang w:val="en-US" w:eastAsia="zh-CN"/>
        </w:rPr>
        <w:t>禁止占用生态保护红线，禁止在红线范围堆放施工材料，严格管理施工人员，严禁破坏红线内植被及野生动物，严禁烟火，采取上述措施后，将</w:t>
      </w:r>
      <w:r>
        <w:rPr>
          <w:rFonts w:hint="default" w:ascii="Times New Roman" w:hAnsi="Times New Roman" w:cs="Times New Roman"/>
          <w:color w:val="auto"/>
          <w:sz w:val="24"/>
          <w:szCs w:val="24"/>
          <w:highlight w:val="none"/>
        </w:rPr>
        <w:t>不会对红线范围内生物多样性造成影响，也不会破坏整个生态系统的结构和稳定性。</w:t>
      </w:r>
    </w:p>
    <w:p w14:paraId="40369328">
      <w:pPr>
        <w:pStyle w:val="4"/>
        <w:bidi w:val="0"/>
        <w:rPr>
          <w:rFonts w:hint="default" w:ascii="Times New Roman" w:hAnsi="Times New Roman" w:cs="Times New Roman"/>
          <w:color w:val="auto"/>
          <w:sz w:val="28"/>
          <w:szCs w:val="28"/>
          <w:highlight w:val="none"/>
        </w:rPr>
      </w:pPr>
      <w:bookmarkStart w:id="7351" w:name="_Toc3238"/>
      <w:bookmarkStart w:id="7352" w:name="_Toc4643"/>
      <w:bookmarkStart w:id="7353" w:name="_Toc5279"/>
      <w:bookmarkStart w:id="7354" w:name="_Toc9519"/>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.4环境保护及减缓措施</w:t>
      </w:r>
      <w:bookmarkEnd w:id="7351"/>
      <w:bookmarkEnd w:id="7352"/>
      <w:bookmarkEnd w:id="7353"/>
      <w:bookmarkEnd w:id="7354"/>
    </w:p>
    <w:p w14:paraId="14662B60">
      <w:pPr>
        <w:pStyle w:val="6"/>
        <w:bidi w:val="0"/>
        <w:rPr>
          <w:rFonts w:hint="default" w:ascii="Times New Roman" w:hAnsi="Times New Roman" w:cs="Times New Roman"/>
          <w:color w:val="auto"/>
          <w:sz w:val="28"/>
          <w:szCs w:val="28"/>
          <w:highlight w:val="none"/>
        </w:rPr>
      </w:pPr>
      <w:bookmarkStart w:id="7355" w:name="_Toc27589"/>
      <w:bookmarkStart w:id="7356" w:name="_Toc31587"/>
      <w:bookmarkStart w:id="7357" w:name="_Toc23191"/>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.4.1生态环境保护及减缓措施</w:t>
      </w:r>
      <w:bookmarkEnd w:id="7355"/>
      <w:bookmarkEnd w:id="7356"/>
      <w:bookmarkEnd w:id="7357"/>
    </w:p>
    <w:p w14:paraId="285E3C4C">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进一步优化工程选址选线占地，尽可能避让及减少在生态红线内占地；做好施工组织，划定施工活动范围，确保工程建设对陆生生态的影响降至最低。施工过程中保留表层土，施工完成以后，应及时对临时施工场地进行平整，采取植被恢复措施。</w:t>
      </w:r>
      <w:r>
        <w:rPr>
          <w:rFonts w:hint="eastAsia" w:cs="Times New Roman"/>
          <w:color w:val="auto"/>
          <w:sz w:val="24"/>
          <w:szCs w:val="24"/>
          <w:highlight w:val="none"/>
          <w:lang w:eastAsia="zh-CN"/>
        </w:rPr>
        <w:t>对</w:t>
      </w:r>
      <w:r>
        <w:rPr>
          <w:rFonts w:hint="default" w:ascii="Times New Roman" w:hAnsi="Times New Roman" w:cs="Times New Roman"/>
          <w:color w:val="auto"/>
          <w:sz w:val="24"/>
          <w:szCs w:val="24"/>
          <w:highlight w:val="none"/>
        </w:rPr>
        <w:t>永久</w:t>
      </w:r>
      <w:r>
        <w:rPr>
          <w:rFonts w:hint="eastAsia" w:cs="Times New Roman"/>
          <w:color w:val="auto"/>
          <w:sz w:val="24"/>
          <w:szCs w:val="24"/>
          <w:highlight w:val="none"/>
          <w:lang w:eastAsia="zh-CN"/>
        </w:rPr>
        <w:t>占地巡检道路两侧种植生态林，</w:t>
      </w:r>
      <w:r>
        <w:rPr>
          <w:rFonts w:hint="default" w:ascii="Times New Roman" w:hAnsi="Times New Roman" w:cs="Times New Roman"/>
          <w:color w:val="auto"/>
          <w:sz w:val="24"/>
          <w:szCs w:val="24"/>
          <w:highlight w:val="none"/>
        </w:rPr>
        <w:t>补充其生物损失量。工程结束后，做好水土保持方案中的各项措施，在临时占地区、</w:t>
      </w:r>
      <w:r>
        <w:rPr>
          <w:rFonts w:hint="default" w:ascii="Times New Roman" w:hAnsi="Times New Roman" w:cs="Times New Roman"/>
          <w:color w:val="auto"/>
          <w:sz w:val="24"/>
          <w:szCs w:val="24"/>
          <w:highlight w:val="none"/>
          <w:lang w:eastAsia="zh-CN"/>
        </w:rPr>
        <w:t>堆场</w:t>
      </w:r>
      <w:r>
        <w:rPr>
          <w:rFonts w:hint="default" w:ascii="Times New Roman" w:hAnsi="Times New Roman" w:cs="Times New Roman"/>
          <w:color w:val="auto"/>
          <w:sz w:val="24"/>
          <w:szCs w:val="24"/>
          <w:highlight w:val="none"/>
        </w:rPr>
        <w:t>以及施工道路两侧进行植被恢复</w:t>
      </w:r>
      <w:r>
        <w:rPr>
          <w:rFonts w:hint="eastAsia" w:cs="Times New Roman"/>
          <w:color w:val="auto"/>
          <w:sz w:val="24"/>
          <w:szCs w:val="24"/>
          <w:highlight w:val="none"/>
          <w:lang w:eastAsia="zh-CN"/>
        </w:rPr>
        <w:t>，在</w:t>
      </w:r>
      <w:r>
        <w:rPr>
          <w:rFonts w:hint="default" w:ascii="Times New Roman" w:hAnsi="Times New Roman" w:cs="Times New Roman"/>
          <w:color w:val="auto"/>
          <w:sz w:val="24"/>
          <w:szCs w:val="24"/>
          <w:highlight w:val="none"/>
        </w:rPr>
        <w:t>植被恢复过程中优先选用本地土著植物并减少人为活动的痕迹，使该地区的动植物尽快恢复到施工前的种群状态。加强管理，降低对红线范围生态环境的扰动。</w:t>
      </w:r>
    </w:p>
    <w:p w14:paraId="7ED26C15">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运营期</w:t>
      </w:r>
      <w:r>
        <w:rPr>
          <w:rFonts w:hint="default" w:ascii="Times New Roman" w:hAnsi="Times New Roman" w:cs="Times New Roman"/>
          <w:color w:val="auto"/>
          <w:sz w:val="24"/>
          <w:szCs w:val="24"/>
          <w:highlight w:val="none"/>
        </w:rPr>
        <w:t>开展生态监测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在生态修复和绿化工程完工后</w:t>
      </w:r>
      <w:r>
        <w:rPr>
          <w:rFonts w:hint="default" w:ascii="Times New Roman" w:hAnsi="Times New Roman" w:cs="Times New Roman"/>
          <w:color w:val="auto"/>
          <w:sz w:val="24"/>
          <w:szCs w:val="24"/>
          <w:highlight w:val="none"/>
          <w:lang w:val="en-US" w:eastAsia="zh-CN"/>
        </w:rPr>
        <w:t>对</w:t>
      </w:r>
      <w:r>
        <w:rPr>
          <w:rFonts w:hint="default" w:ascii="Times New Roman" w:hAnsi="Times New Roman" w:cs="Times New Roman"/>
          <w:color w:val="auto"/>
          <w:sz w:val="24"/>
          <w:szCs w:val="24"/>
          <w:highlight w:val="none"/>
        </w:rPr>
        <w:t>施工营地的临时占地</w:t>
      </w:r>
      <w:r>
        <w:rPr>
          <w:rFonts w:hint="default" w:ascii="Times New Roman" w:hAnsi="Times New Roman" w:cs="Times New Roman"/>
          <w:color w:val="auto"/>
          <w:sz w:val="24"/>
          <w:szCs w:val="24"/>
          <w:highlight w:val="none"/>
          <w:lang w:val="en-US" w:eastAsia="zh-CN"/>
        </w:rPr>
        <w:t>及生态红线内植被</w:t>
      </w:r>
      <w:r>
        <w:rPr>
          <w:rFonts w:hint="default" w:ascii="Times New Roman" w:hAnsi="Times New Roman" w:cs="Times New Roman"/>
          <w:color w:val="auto"/>
          <w:sz w:val="24"/>
          <w:szCs w:val="24"/>
          <w:highlight w:val="none"/>
        </w:rPr>
        <w:t>恢复区进行重点监控，监测内容包括陆生生态植被种类、数量、覆盖度、生物量、结构等。</w:t>
      </w:r>
    </w:p>
    <w:p w14:paraId="77FE47A5">
      <w:pPr>
        <w:pStyle w:val="6"/>
        <w:bidi w:val="0"/>
        <w:rPr>
          <w:rFonts w:hint="default" w:ascii="Times New Roman" w:hAnsi="Times New Roman" w:cs="Times New Roman"/>
          <w:color w:val="auto"/>
          <w:sz w:val="28"/>
          <w:szCs w:val="28"/>
          <w:highlight w:val="none"/>
        </w:rPr>
      </w:pPr>
      <w:bookmarkStart w:id="7358" w:name="_Toc4678"/>
      <w:bookmarkStart w:id="7359" w:name="_Toc2918"/>
      <w:bookmarkStart w:id="7360" w:name="_Toc28237"/>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.4.2地表水环境保护及减缓措施</w:t>
      </w:r>
      <w:bookmarkEnd w:id="7358"/>
      <w:bookmarkEnd w:id="7359"/>
      <w:bookmarkEnd w:id="7360"/>
    </w:p>
    <w:p w14:paraId="4A31DEF1">
      <w:pPr>
        <w:bidi w:val="0"/>
        <w:jc w:val="both"/>
        <w:rPr>
          <w:rFonts w:hint="default" w:ascii="Times New Roman" w:hAnsi="Times New Roman" w:eastAsia="宋体" w:cs="Times New Roman"/>
          <w:color w:val="auto"/>
          <w:sz w:val="24"/>
          <w:szCs w:val="24"/>
          <w:highlight w:val="none"/>
        </w:rPr>
      </w:pPr>
      <w:bookmarkStart w:id="7361" w:name="_Toc18121"/>
      <w:bookmarkStart w:id="7362" w:name="_Toc7232"/>
      <w:r>
        <w:rPr>
          <w:rFonts w:hint="default" w:ascii="Times New Roman" w:hAnsi="Times New Roman" w:eastAsia="宋体" w:cs="Times New Roman"/>
          <w:color w:val="auto"/>
          <w:sz w:val="24"/>
          <w:szCs w:val="24"/>
          <w:highlight w:val="none"/>
        </w:rPr>
        <w:t>本工程施工期废水主要包括混凝土养护废水、施工机械车辆冲洗废水和施工人员生活污水，均得到妥善处理并实现资源化利用。混凝土养护废水经沉淀池沉淀后用于养护工序；施工机械和车辆冲洗废水经沉淀处理后回用于冲洗或洒水降尘；施工人员生活污水依托租用民房的旱厕系统，定期清掏用作农肥。所有废水均做到处理后回用或资源化利用，</w:t>
      </w:r>
      <w:r>
        <w:rPr>
          <w:rFonts w:hint="eastAsia" w:ascii="Times New Roman" w:hAnsi="Times New Roman" w:eastAsia="宋体" w:cs="Times New Roman"/>
          <w:color w:val="auto"/>
          <w:sz w:val="24"/>
          <w:szCs w:val="24"/>
          <w:highlight w:val="none"/>
          <w:lang w:eastAsia="zh-CN"/>
        </w:rPr>
        <w:t>不外排</w:t>
      </w:r>
      <w:r>
        <w:rPr>
          <w:rFonts w:hint="default" w:ascii="Times New Roman" w:hAnsi="Times New Roman" w:eastAsia="宋体" w:cs="Times New Roman"/>
          <w:color w:val="auto"/>
          <w:sz w:val="24"/>
          <w:szCs w:val="24"/>
          <w:highlight w:val="none"/>
        </w:rPr>
        <w:t>，处理方式针对性强且经济可行，能够有效控制施工期对水环境的影响。</w:t>
      </w:r>
    </w:p>
    <w:p w14:paraId="79F9040F">
      <w:pPr>
        <w:pStyle w:val="6"/>
        <w:bidi w:val="0"/>
        <w:rPr>
          <w:rFonts w:hint="default" w:ascii="Times New Roman" w:hAnsi="Times New Roman" w:cs="Times New Roman"/>
          <w:color w:val="auto"/>
          <w:sz w:val="28"/>
          <w:szCs w:val="28"/>
          <w:highlight w:val="none"/>
        </w:rPr>
      </w:pPr>
      <w:bookmarkStart w:id="7363" w:name="_Toc8610"/>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.4.3声环境保护及减缓措施</w:t>
      </w:r>
      <w:bookmarkEnd w:id="7361"/>
      <w:bookmarkEnd w:id="7362"/>
      <w:bookmarkEnd w:id="7363"/>
    </w:p>
    <w:p w14:paraId="7E2C98C6">
      <w:pPr>
        <w:bidi w:val="0"/>
        <w:jc w:val="both"/>
        <w:rPr>
          <w:rFonts w:hint="default" w:ascii="Times New Roman" w:hAnsi="Times New Roman" w:eastAsia="宋体" w:cs="Times New Roman"/>
          <w:color w:val="auto"/>
          <w:sz w:val="24"/>
          <w:szCs w:val="24"/>
          <w:highlight w:val="none"/>
        </w:rPr>
      </w:pPr>
      <w:bookmarkStart w:id="7364" w:name="_Toc12992"/>
      <w:bookmarkStart w:id="7365" w:name="_Toc26190"/>
      <w:r>
        <w:rPr>
          <w:rFonts w:hint="default" w:ascii="Times New Roman" w:hAnsi="Times New Roman" w:eastAsia="宋体" w:cs="Times New Roman"/>
          <w:color w:val="auto"/>
          <w:sz w:val="24"/>
          <w:szCs w:val="24"/>
          <w:highlight w:val="none"/>
        </w:rPr>
        <w:t>本工程施工期噪声防治采用</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全过程、多层次</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的综合防控体系。通过优先选用低噪设备、优化施工组织与作业时序，从源头降低噪声产生。在传播途径上，针对超标敏感点设置高效声屏障（平均隔声量≥25dB(A)），并结合划定</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夜间禁止施工区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限时作业等管理措施有效阻断噪声传播。对于极近敏感点，采用纯人工施工作为最终保障。同时，通过主动公示方案、畅通投诉渠道强化公众沟通与应急响应。该体系技术可行、管理有序，能确保施工噪声满足《声环境质量标准》（GB3096-2008）1类区要求，且影响随施工结束而消除。</w:t>
      </w:r>
    </w:p>
    <w:p w14:paraId="2311FCEF">
      <w:pPr>
        <w:pStyle w:val="6"/>
        <w:bidi w:val="0"/>
        <w:rPr>
          <w:rFonts w:hint="default" w:ascii="Times New Roman" w:hAnsi="Times New Roman" w:cs="Times New Roman"/>
          <w:color w:val="auto"/>
          <w:sz w:val="28"/>
          <w:szCs w:val="28"/>
          <w:highlight w:val="none"/>
        </w:rPr>
      </w:pPr>
      <w:bookmarkStart w:id="7366" w:name="_Toc29939"/>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.4.4地下水环境保护及减缓措施</w:t>
      </w:r>
      <w:bookmarkEnd w:id="7364"/>
      <w:bookmarkEnd w:id="7365"/>
      <w:bookmarkEnd w:id="7366"/>
    </w:p>
    <w:p w14:paraId="19FB6044">
      <w:pPr>
        <w:bidi w:val="0"/>
        <w:jc w:val="both"/>
        <w:rPr>
          <w:rFonts w:hint="default" w:ascii="Times New Roman" w:hAnsi="Times New Roman" w:cs="Times New Roman"/>
          <w:color w:val="auto"/>
          <w:sz w:val="24"/>
          <w:szCs w:val="24"/>
          <w:highlight w:val="none"/>
        </w:rPr>
      </w:pPr>
      <w:bookmarkStart w:id="7367" w:name="_Toc7937"/>
      <w:bookmarkStart w:id="7368" w:name="_Toc31090"/>
      <w:r>
        <w:rPr>
          <w:rFonts w:hint="eastAsia" w:cs="Times New Roman"/>
          <w:color w:val="auto"/>
          <w:sz w:val="24"/>
          <w:szCs w:val="24"/>
          <w:highlight w:val="none"/>
          <w:lang w:eastAsia="zh-CN"/>
        </w:rPr>
        <w:t>（1）</w:t>
      </w:r>
      <w:r>
        <w:rPr>
          <w:rFonts w:hint="default" w:ascii="Times New Roman" w:hAnsi="Times New Roman" w:cs="Times New Roman"/>
          <w:color w:val="auto"/>
          <w:sz w:val="24"/>
          <w:szCs w:val="24"/>
          <w:highlight w:val="none"/>
        </w:rPr>
        <w:t>对施工营地的生产废水进行集中收集处理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各混凝土养护废水、机械车辆冲洗废水沉淀池等应采取满足要求的防渗措施，经处理后的废水全部回用于生产或洒水降尘，不得外排。</w:t>
      </w:r>
      <w:r>
        <w:rPr>
          <w:rFonts w:hint="eastAsia" w:cs="Times New Roman"/>
          <w:color w:val="auto"/>
          <w:sz w:val="24"/>
          <w:szCs w:val="24"/>
          <w:highlight w:val="none"/>
          <w:lang w:eastAsia="zh-CN"/>
        </w:rPr>
        <w:t>生活污水依托周边民房</w:t>
      </w:r>
      <w:r>
        <w:rPr>
          <w:rFonts w:hint="default" w:ascii="Times New Roman" w:hAnsi="Times New Roman" w:cs="Times New Roman"/>
          <w:color w:val="auto"/>
          <w:sz w:val="24"/>
          <w:szCs w:val="24"/>
          <w:highlight w:val="none"/>
          <w:lang w:val="en-US" w:eastAsia="zh-CN"/>
        </w:rPr>
        <w:t>，定期清掏</w:t>
      </w:r>
      <w:r>
        <w:rPr>
          <w:rFonts w:hint="eastAsia" w:cs="Times New Roman"/>
          <w:color w:val="auto"/>
          <w:sz w:val="24"/>
          <w:szCs w:val="24"/>
          <w:highlight w:val="none"/>
          <w:lang w:val="en-US" w:eastAsia="zh-CN"/>
        </w:rPr>
        <w:t>用于农肥</w:t>
      </w:r>
      <w:r>
        <w:rPr>
          <w:rFonts w:hint="default" w:ascii="Times New Roman" w:hAnsi="Times New Roman" w:cs="Times New Roman"/>
          <w:color w:val="auto"/>
          <w:sz w:val="24"/>
          <w:szCs w:val="24"/>
          <w:highlight w:val="none"/>
        </w:rPr>
        <w:t>。</w:t>
      </w:r>
    </w:p>
    <w:p w14:paraId="43DFAD3A">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（2）</w:t>
      </w:r>
      <w:r>
        <w:rPr>
          <w:rFonts w:hint="default" w:ascii="Times New Roman" w:hAnsi="Times New Roman" w:cs="Times New Roman"/>
          <w:color w:val="auto"/>
          <w:sz w:val="24"/>
          <w:szCs w:val="24"/>
          <w:highlight w:val="none"/>
        </w:rPr>
        <w:t>工程</w:t>
      </w:r>
      <w:r>
        <w:rPr>
          <w:rFonts w:hint="eastAsia" w:cs="Times New Roman"/>
          <w:color w:val="auto"/>
          <w:sz w:val="24"/>
          <w:szCs w:val="24"/>
          <w:highlight w:val="none"/>
          <w:lang w:eastAsia="zh-CN"/>
        </w:rPr>
        <w:t>施工废水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应</w:t>
      </w:r>
      <w:r>
        <w:rPr>
          <w:rFonts w:hint="eastAsia" w:cs="Times New Roman"/>
          <w:color w:val="auto"/>
          <w:sz w:val="24"/>
          <w:szCs w:val="24"/>
          <w:highlight w:val="none"/>
          <w:lang w:eastAsia="zh-CN"/>
        </w:rPr>
        <w:t>采取相应措施</w:t>
      </w:r>
      <w:r>
        <w:rPr>
          <w:rFonts w:hint="default" w:ascii="Times New Roman" w:hAnsi="Times New Roman" w:cs="Times New Roman"/>
          <w:color w:val="auto"/>
          <w:sz w:val="24"/>
          <w:szCs w:val="24"/>
          <w:highlight w:val="none"/>
        </w:rPr>
        <w:t>尽可能回收再利用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用于洒水降尘等。</w:t>
      </w:r>
    </w:p>
    <w:p w14:paraId="46E81F20">
      <w:pPr>
        <w:pStyle w:val="6"/>
        <w:bidi w:val="0"/>
        <w:rPr>
          <w:rFonts w:hint="default" w:ascii="Times New Roman" w:hAnsi="Times New Roman" w:cs="Times New Roman"/>
          <w:color w:val="auto"/>
          <w:sz w:val="28"/>
          <w:szCs w:val="28"/>
          <w:highlight w:val="none"/>
        </w:rPr>
      </w:pPr>
      <w:bookmarkStart w:id="7369" w:name="_Toc23427"/>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.4.5大气环境保护与减缓措施</w:t>
      </w:r>
      <w:bookmarkEnd w:id="7367"/>
      <w:bookmarkEnd w:id="7368"/>
      <w:bookmarkEnd w:id="7369"/>
    </w:p>
    <w:p w14:paraId="28BB1FFD">
      <w:pPr>
        <w:bidi w:val="0"/>
        <w:jc w:val="both"/>
        <w:rPr>
          <w:rFonts w:hint="default" w:ascii="Times New Roman" w:hAnsi="Times New Roman" w:eastAsia="宋体" w:cs="Times New Roman"/>
          <w:color w:val="auto"/>
          <w:sz w:val="24"/>
          <w:szCs w:val="24"/>
          <w:highlight w:val="none"/>
        </w:rPr>
      </w:pPr>
      <w:bookmarkStart w:id="7370" w:name="_Toc14076"/>
      <w:bookmarkStart w:id="7371" w:name="_Toc19007"/>
      <w:r>
        <w:rPr>
          <w:rFonts w:hint="default" w:ascii="Times New Roman" w:hAnsi="Times New Roman" w:eastAsia="宋体" w:cs="Times New Roman"/>
          <w:color w:val="auto"/>
          <w:sz w:val="24"/>
          <w:szCs w:val="24"/>
          <w:highlight w:val="none"/>
        </w:rPr>
        <w:t>本工程施工期大气污染防治采取综合性措施。通过土石方作业避开大风天气、场地与道路定时洒水、物料堆场苫盖围挡、出入口设置洗车平台等举措有效控制施工与道路扬尘。对施工机械与车辆加强维护并使用高标燃油，减少尾气排放。针对水库清淤可能产生的恶臭，采取枯水期干法清淤、投加微生物抑制剂、及时清运淤泥并喷洒除臭剂等方法进行源头与过程控制。在临近居民区等敏感点，进一步通过缩短作业时间、强化围挡遮盖、限制车辆时速及增加洒水频次等措施予以重点防护。整套措施针对性强、操作可行，能够最大程度减轻施工活动对大气环境及敏感目标的影响。</w:t>
      </w:r>
    </w:p>
    <w:p w14:paraId="61EEA280">
      <w:pPr>
        <w:pStyle w:val="6"/>
        <w:bidi w:val="0"/>
        <w:rPr>
          <w:rFonts w:hint="default" w:ascii="Times New Roman" w:hAnsi="Times New Roman" w:cs="Times New Roman"/>
          <w:color w:val="auto"/>
          <w:sz w:val="28"/>
          <w:szCs w:val="28"/>
          <w:highlight w:val="none"/>
        </w:rPr>
      </w:pPr>
      <w:bookmarkStart w:id="7372" w:name="_Toc19708"/>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.4.6固体废物环境保护与减缓措施</w:t>
      </w:r>
      <w:bookmarkEnd w:id="7370"/>
      <w:bookmarkEnd w:id="7371"/>
      <w:bookmarkEnd w:id="7372"/>
    </w:p>
    <w:p w14:paraId="64FF8554">
      <w:pPr>
        <w:pStyle w:val="27"/>
        <w:keepNext w:val="0"/>
        <w:keepLines w:val="0"/>
        <w:widowControl/>
        <w:suppressLineNumbers w:val="0"/>
        <w:spacing w:before="0" w:beforeAutospacing="0" w:after="0" w:afterAutospacing="0"/>
        <w:ind w:left="0" w:right="0"/>
        <w:rPr>
          <w:color w:val="auto"/>
          <w:highlight w:val="none"/>
        </w:rPr>
      </w:pPr>
      <w:bookmarkStart w:id="7373" w:name="_Toc31817"/>
      <w:bookmarkStart w:id="7374" w:name="_Toc6999"/>
      <w:r>
        <w:rPr>
          <w:rFonts w:ascii="var(--dsw-font-markdown-base)" w:hAnsi="var(--dsw-font-markdown-base)" w:eastAsia="var(--dsw-font-markdown-base)" w:cs="var(--dsw-font-markdown-base)"/>
          <w:color w:val="auto"/>
          <w:highlight w:val="none"/>
        </w:rPr>
        <w:t>本工程施工期固体废物通过加强施工组织管理和工艺优化从源头减少建筑垃圾产生，并实行分类规范堆存；建筑垃圾统一运送至政府指定填埋场处置，生活垃圾由专人集中收集并纳入城市环卫系统。施工结束后全面拆除临建设施，进行场地清理、消毒并落实水土保持措施，确保施工区域环境恢复。整套措施系统完善，能有效控制固体废物的环境影响。</w:t>
      </w:r>
    </w:p>
    <w:p w14:paraId="6E6D760F">
      <w:pPr>
        <w:pStyle w:val="6"/>
        <w:bidi w:val="0"/>
        <w:rPr>
          <w:rFonts w:hint="default" w:ascii="Times New Roman" w:hAnsi="Times New Roman" w:cs="Times New Roman"/>
          <w:color w:val="auto"/>
          <w:sz w:val="28"/>
          <w:szCs w:val="28"/>
          <w:highlight w:val="none"/>
        </w:rPr>
      </w:pPr>
      <w:bookmarkStart w:id="7375" w:name="_Toc29955"/>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.4.7</w:t>
      </w:r>
      <w:bookmarkEnd w:id="7373"/>
      <w:bookmarkEnd w:id="7374"/>
      <w:r>
        <w:rPr>
          <w:rFonts w:hint="default" w:ascii="Times New Roman" w:hAnsi="Times New Roman" w:cs="Times New Roman"/>
          <w:color w:val="auto"/>
          <w:sz w:val="28"/>
          <w:szCs w:val="28"/>
          <w:highlight w:val="none"/>
        </w:rPr>
        <w:t>环境敏感区保护措施</w:t>
      </w:r>
      <w:bookmarkEnd w:id="7375"/>
    </w:p>
    <w:p w14:paraId="19E28EAC">
      <w:pPr>
        <w:bidi w:val="0"/>
        <w:jc w:val="both"/>
        <w:rPr>
          <w:rFonts w:hint="default" w:ascii="Times New Roman" w:hAnsi="Times New Roman" w:eastAsia="宋体" w:cs="Times New Roman"/>
          <w:color w:val="auto"/>
          <w:sz w:val="24"/>
          <w:szCs w:val="24"/>
          <w:highlight w:val="none"/>
        </w:rPr>
      </w:pPr>
      <w:bookmarkStart w:id="7376" w:name="_Toc617"/>
      <w:bookmarkStart w:id="7377" w:name="_Toc7672"/>
      <w:r>
        <w:rPr>
          <w:rFonts w:hint="eastAsia" w:cs="Times New Roman"/>
          <w:color w:val="auto"/>
          <w:sz w:val="24"/>
          <w:szCs w:val="24"/>
          <w:highlight w:val="none"/>
          <w:lang w:eastAsia="zh-CN"/>
        </w:rPr>
        <w:t>本工程</w:t>
      </w:r>
      <w:r>
        <w:rPr>
          <w:rFonts w:hint="default" w:ascii="Times New Roman" w:hAnsi="Times New Roman" w:eastAsia="宋体" w:cs="Times New Roman"/>
          <w:color w:val="auto"/>
          <w:sz w:val="24"/>
          <w:szCs w:val="24"/>
          <w:highlight w:val="none"/>
        </w:rPr>
        <w:t>在邻近生态保护红线区域施工，严格落实</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避让优先、管控从严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原则，确保工程活动不占用红线范围。通过优化工程设计和施工组织，最大限度减少了施工对红线区域的扰动，并制定了系统的管控措施：包括严格限定施工范围与时间、禁止在红线内设置营地和堆料、加强施工人员环保教育、控制施工扬尘与弃土、集中处理固体废物、实施植被恢复与补偿、完善水土保持设施，并强化全过程环境监理。上述措施体系完整、可操作性强，能有效预防和控制施工活动对生态保护红线的潜在影响，确保区域生态安全。</w:t>
      </w:r>
    </w:p>
    <w:p w14:paraId="5A14C3A8">
      <w:pPr>
        <w:pStyle w:val="6"/>
        <w:bidi w:val="0"/>
        <w:rPr>
          <w:rFonts w:hint="default" w:ascii="Times New Roman" w:hAnsi="Times New Roman" w:cs="Times New Roman"/>
          <w:color w:val="auto"/>
          <w:sz w:val="28"/>
          <w:szCs w:val="28"/>
          <w:highlight w:val="none"/>
          <w:lang w:eastAsia="zh-CN"/>
        </w:rPr>
      </w:pPr>
      <w:bookmarkStart w:id="7378" w:name="_Toc971"/>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.4.</w:t>
      </w:r>
      <w:r>
        <w:rPr>
          <w:rFonts w:hint="default" w:ascii="Times New Roman" w:hAnsi="Times New Roman" w:cs="Times New Roman"/>
          <w:color w:val="auto"/>
          <w:sz w:val="28"/>
          <w:szCs w:val="28"/>
          <w:highlight w:val="none"/>
          <w:lang w:val="en-US" w:eastAsia="zh-CN"/>
        </w:rPr>
        <w:t>8</w:t>
      </w:r>
      <w:r>
        <w:rPr>
          <w:rFonts w:hint="default" w:ascii="Times New Roman" w:hAnsi="Times New Roman" w:cs="Times New Roman"/>
          <w:color w:val="auto"/>
          <w:sz w:val="28"/>
          <w:szCs w:val="28"/>
          <w:highlight w:val="none"/>
        </w:rPr>
        <w:t>环境风险防范措施</w:t>
      </w:r>
      <w:bookmarkEnd w:id="7376"/>
      <w:bookmarkEnd w:id="7377"/>
      <w:bookmarkEnd w:id="7378"/>
    </w:p>
    <w:p w14:paraId="289B2A63">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本工程施工机械用油由专业公司加油车提供，各施工营地范围内不建设油库，场地范围内无危险化学品贮存。因此，本工程不涉及爆炸、火灾及危险品运输的风险源。</w:t>
      </w:r>
    </w:p>
    <w:p w14:paraId="195449D2">
      <w:pPr>
        <w:pStyle w:val="4"/>
        <w:bidi w:val="0"/>
        <w:rPr>
          <w:rFonts w:hint="default" w:ascii="Times New Roman" w:hAnsi="Times New Roman" w:cs="Times New Roman"/>
          <w:color w:val="auto"/>
          <w:sz w:val="28"/>
          <w:szCs w:val="28"/>
          <w:highlight w:val="none"/>
        </w:rPr>
      </w:pPr>
      <w:bookmarkStart w:id="7379" w:name="_Toc8189"/>
      <w:bookmarkStart w:id="7380" w:name="_Toc15010"/>
      <w:bookmarkStart w:id="7381" w:name="_Toc17472"/>
      <w:bookmarkStart w:id="7382" w:name="_Toc3661"/>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.6公众参与</w:t>
      </w:r>
      <w:bookmarkEnd w:id="7379"/>
      <w:bookmarkEnd w:id="7380"/>
      <w:bookmarkEnd w:id="7381"/>
      <w:bookmarkEnd w:id="7382"/>
    </w:p>
    <w:p w14:paraId="5A4D2FE4">
      <w:pPr>
        <w:bidi w:val="0"/>
        <w:jc w:val="both"/>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根据生态环境</w:t>
      </w:r>
      <w:r>
        <w:rPr>
          <w:rFonts w:hint="eastAsia" w:cs="Times New Roman"/>
          <w:color w:val="auto"/>
          <w:sz w:val="24"/>
          <w:szCs w:val="24"/>
          <w:highlight w:val="none"/>
          <w:lang w:eastAsia="zh-CN"/>
        </w:rPr>
        <w:t>部</w:t>
      </w:r>
      <w:r>
        <w:rPr>
          <w:rFonts w:hint="default" w:ascii="Times New Roman" w:hAnsi="Times New Roman" w:cs="Times New Roman"/>
          <w:color w:val="auto"/>
          <w:sz w:val="24"/>
          <w:szCs w:val="24"/>
          <w:highlight w:val="none"/>
        </w:rPr>
        <w:t>令第4号《环境影响评价公众参与办法》的规定开展了公众参与。</w:t>
      </w:r>
      <w:r>
        <w:rPr>
          <w:rFonts w:hint="default" w:ascii="Times New Roman" w:hAnsi="Times New Roman"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年1</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月</w:t>
      </w:r>
      <w:r>
        <w:rPr>
          <w:rFonts w:hint="eastAsia"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日在</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生态环境公示网</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上进行环境影响评价公众参与第一次</w:t>
      </w:r>
      <w:r>
        <w:rPr>
          <w:rFonts w:hint="default" w:ascii="Times New Roman" w:hAnsi="Times New Roman" w:eastAsia="宋体" w:cs="Times New Roman"/>
          <w:color w:val="auto"/>
          <w:sz w:val="24"/>
          <w:szCs w:val="24"/>
          <w:highlight w:val="none"/>
        </w:rPr>
        <w:t>公示信息；在环境影响报告书（征求意见稿）完成后于202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23—2026年1</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日，在</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生态环境公示网</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进行征求意见稿公示，公示期内同时在项目所在地现场张贴公告，并于202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日及</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日两天在《</w:t>
      </w:r>
      <w:r>
        <w:rPr>
          <w:rFonts w:hint="default" w:ascii="Times New Roman" w:hAnsi="Times New Roman" w:eastAsia="宋体" w:cs="Times New Roman"/>
          <w:color w:val="auto"/>
          <w:sz w:val="24"/>
          <w:szCs w:val="24"/>
          <w:highlight w:val="none"/>
          <w:lang w:val="en-US" w:eastAsia="zh-CN"/>
        </w:rPr>
        <w:t>固原日报</w:t>
      </w:r>
      <w:r>
        <w:rPr>
          <w:rFonts w:hint="default" w:ascii="Times New Roman" w:hAnsi="Times New Roman" w:eastAsia="宋体" w:cs="Times New Roman"/>
          <w:color w:val="auto"/>
          <w:sz w:val="24"/>
          <w:szCs w:val="24"/>
          <w:highlight w:val="none"/>
        </w:rPr>
        <w:t>》上进行报纸公示。</w:t>
      </w:r>
    </w:p>
    <w:p w14:paraId="69D743B0">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公示期间建设单位及评价单位未收到任何关于</w:t>
      </w:r>
      <w:r>
        <w:rPr>
          <w:rFonts w:hint="eastAsia" w:cs="Times New Roman"/>
          <w:color w:val="auto"/>
          <w:sz w:val="24"/>
          <w:szCs w:val="24"/>
          <w:highlight w:val="none"/>
          <w:lang w:eastAsia="zh-CN"/>
        </w:rPr>
        <w:t>本工程</w:t>
      </w:r>
      <w:r>
        <w:rPr>
          <w:rFonts w:hint="default" w:ascii="Times New Roman" w:hAnsi="Times New Roman" w:cs="Times New Roman"/>
          <w:color w:val="auto"/>
          <w:sz w:val="24"/>
          <w:szCs w:val="24"/>
          <w:highlight w:val="none"/>
        </w:rPr>
        <w:t>的信件、电子邮件、电话等反馈信息，也未收到公众填写意见后的</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建设项目环境影</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响评价公众意见表</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p w14:paraId="3229403A">
      <w:pPr>
        <w:pStyle w:val="4"/>
        <w:bidi w:val="0"/>
        <w:rPr>
          <w:rFonts w:hint="default" w:ascii="Times New Roman" w:hAnsi="Times New Roman" w:cs="Times New Roman"/>
          <w:color w:val="auto"/>
          <w:sz w:val="28"/>
          <w:szCs w:val="28"/>
          <w:highlight w:val="none"/>
        </w:rPr>
      </w:pPr>
      <w:bookmarkStart w:id="7383" w:name="_Toc9030"/>
      <w:bookmarkStart w:id="7384" w:name="_Toc10214"/>
      <w:bookmarkStart w:id="7385" w:name="_Toc3252"/>
      <w:bookmarkStart w:id="7386" w:name="_Toc20344"/>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.7评价总结论</w:t>
      </w:r>
      <w:bookmarkEnd w:id="7383"/>
      <w:bookmarkEnd w:id="7384"/>
      <w:bookmarkEnd w:id="7385"/>
      <w:bookmarkEnd w:id="7386"/>
    </w:p>
    <w:p w14:paraId="3EA95C8A">
      <w:pPr>
        <w:bidi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建设对环境的不利影响，主要为施工期土地占用、噪声、扬尘、生产生活污水和固体废物排放对环境的不利影响，这些不利影响，可以通过采取环境保护措施得到有效减免。项目实施后，工程环境保护效益远大于不利影响，不利影响只是局部的、小范围的，通过合理的规划和科学管理可以减免。</w:t>
      </w:r>
    </w:p>
    <w:p w14:paraId="661B002D">
      <w:pPr>
        <w:bidi w:val="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综上所述，</w:t>
      </w:r>
      <w:r>
        <w:rPr>
          <w:rFonts w:hint="eastAsia"/>
          <w:color w:val="auto"/>
          <w:highlight w:val="none"/>
          <w:lang w:eastAsia="zh-CN"/>
        </w:rPr>
        <w:t>彭阳县茹河（小河段）河道治理工程</w:t>
      </w:r>
      <w:r>
        <w:rPr>
          <w:rFonts w:hint="default" w:ascii="Times New Roman" w:hAnsi="Times New Roman" w:cs="Times New Roman"/>
          <w:color w:val="auto"/>
          <w:sz w:val="24"/>
          <w:szCs w:val="24"/>
          <w:highlight w:val="none"/>
        </w:rPr>
        <w:t>的建设不会对区域生态系统多样性、完整性造成大的影响，所产生的影响通过采取保护措施减缓后，在可接受范围内。从环境保护角度来看，工程建设不存在重大的环境制约性因素，</w:t>
      </w:r>
      <w:r>
        <w:rPr>
          <w:rFonts w:hint="eastAsia" w:cs="Times New Roman"/>
          <w:color w:val="auto"/>
          <w:sz w:val="24"/>
          <w:szCs w:val="24"/>
          <w:highlight w:val="none"/>
          <w:lang w:eastAsia="zh-CN"/>
        </w:rPr>
        <w:t>工程建设</w:t>
      </w:r>
      <w:r>
        <w:rPr>
          <w:rFonts w:hint="default" w:ascii="Times New Roman" w:hAnsi="Times New Roman" w:cs="Times New Roman"/>
          <w:color w:val="auto"/>
          <w:sz w:val="24"/>
          <w:szCs w:val="24"/>
          <w:highlight w:val="none"/>
        </w:rPr>
        <w:t>可行</w:t>
      </w:r>
      <w:r>
        <w:rPr>
          <w:rFonts w:hint="default" w:ascii="Times New Roman" w:hAnsi="Times New Roman" w:cs="Times New Roman"/>
          <w:color w:val="auto"/>
          <w:sz w:val="24"/>
          <w:szCs w:val="24"/>
          <w:highlight w:val="none"/>
          <w:lang w:eastAsia="zh-CN"/>
        </w:rPr>
        <w:t>。</w:t>
      </w:r>
    </w:p>
    <w:p w14:paraId="54829CD7">
      <w:pPr>
        <w:pStyle w:val="4"/>
        <w:bidi w:val="0"/>
        <w:rPr>
          <w:rFonts w:hint="default" w:ascii="Times New Roman" w:hAnsi="Times New Roman" w:cs="Times New Roman"/>
          <w:color w:val="auto"/>
          <w:sz w:val="28"/>
          <w:szCs w:val="28"/>
          <w:highlight w:val="none"/>
        </w:rPr>
      </w:pPr>
      <w:bookmarkStart w:id="7387" w:name="_Toc3009"/>
      <w:bookmarkStart w:id="7388" w:name="_Toc8879"/>
      <w:bookmarkStart w:id="7389" w:name="_Toc20357"/>
      <w:bookmarkStart w:id="7390" w:name="_Toc29952"/>
      <w:r>
        <w:rPr>
          <w:rStyle w:val="69"/>
          <w:rFonts w:hint="default" w:ascii="Times New Roman" w:hAnsi="Times New Roman" w:cs="Times New Roman"/>
          <w:b/>
          <w:color w:val="auto"/>
          <w:sz w:val="28"/>
          <w:szCs w:val="28"/>
          <w:highlight w:val="none"/>
        </w:rPr>
        <w:t>1</w:t>
      </w:r>
      <w:r>
        <w:rPr>
          <w:rStyle w:val="69"/>
          <w:rFonts w:hint="default" w:ascii="Times New Roman" w:hAnsi="Times New Roman" w:cs="Times New Roman"/>
          <w:b/>
          <w:color w:val="auto"/>
          <w:sz w:val="28"/>
          <w:szCs w:val="28"/>
          <w:highlight w:val="none"/>
          <w:lang w:val="en-US" w:eastAsia="zh-CN"/>
        </w:rPr>
        <w:t>1</w:t>
      </w:r>
      <w:r>
        <w:rPr>
          <w:rStyle w:val="69"/>
          <w:rFonts w:hint="default" w:ascii="Times New Roman" w:hAnsi="Times New Roman" w:cs="Times New Roman"/>
          <w:b/>
          <w:color w:val="auto"/>
          <w:sz w:val="28"/>
          <w:szCs w:val="28"/>
          <w:highlight w:val="none"/>
        </w:rPr>
        <w:t>.8建议</w:t>
      </w:r>
      <w:bookmarkEnd w:id="7387"/>
      <w:bookmarkEnd w:id="7388"/>
      <w:bookmarkEnd w:id="7389"/>
      <w:bookmarkEnd w:id="7390"/>
    </w:p>
    <w:p w14:paraId="4E10F019">
      <w:pPr>
        <w:spacing w:line="360" w:lineRule="auto"/>
        <w:ind w:firstLine="480" w:firstLineChars="20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（1）强化施工管理，工程施工期间设置专（兼）职环保人员，建立健全环境管理制度规章，污染治理设施应有专人负责，确保施工期环保措施的落实。加强对施工人员文明教育，严禁破坏沿线周边生态环境。</w:t>
      </w:r>
    </w:p>
    <w:p w14:paraId="4AA5FAEC">
      <w:pPr>
        <w:spacing w:line="360" w:lineRule="auto"/>
        <w:ind w:firstLine="480"/>
        <w:rPr>
          <w:rFonts w:hint="default" w:ascii="Times New Roman" w:hAnsi="Times New Roman" w:eastAsia="Times New Roman" w:cs="Times New Roman"/>
          <w:color w:val="auto"/>
          <w:sz w:val="24"/>
          <w:szCs w:val="24"/>
          <w:highlight w:val="none"/>
          <w:lang w:val="zh-CN"/>
        </w:rPr>
      </w:pPr>
      <w:r>
        <w:rPr>
          <w:rFonts w:hint="default" w:ascii="Times New Roman" w:hAnsi="Times New Roman" w:eastAsia="Times New Roman" w:cs="Times New Roman"/>
          <w:color w:val="auto"/>
          <w:sz w:val="24"/>
          <w:szCs w:val="24"/>
          <w:highlight w:val="none"/>
          <w:lang w:val="zh-CN"/>
        </w:rPr>
        <w:t>（2）工程完毕后及时清理施工场地。对施工场地、临时堆场等，及时进行清理和进行植被恢复。</w:t>
      </w:r>
    </w:p>
    <w:p w14:paraId="021CF2B6">
      <w:pPr>
        <w:spacing w:line="360" w:lineRule="auto"/>
        <w:ind w:firstLine="480"/>
        <w:rPr>
          <w:rFonts w:hint="default" w:ascii="Times New Roman" w:hAnsi="Times New Roman" w:eastAsia="Times New Roman" w:cs="Times New Roman"/>
          <w:color w:val="auto"/>
          <w:sz w:val="24"/>
          <w:szCs w:val="24"/>
          <w:highlight w:val="none"/>
          <w:lang w:val="zh-CN" w:eastAsia="zh-CN"/>
        </w:rPr>
      </w:pPr>
      <w:r>
        <w:rPr>
          <w:rFonts w:hint="default" w:ascii="Times New Roman" w:hAnsi="Times New Roman" w:eastAsia="Times New Roman" w:cs="Times New Roman"/>
          <w:color w:val="auto"/>
          <w:sz w:val="24"/>
          <w:szCs w:val="24"/>
          <w:highlight w:val="none"/>
          <w:lang w:val="zh-CN"/>
        </w:rPr>
        <w:t>（</w:t>
      </w:r>
      <w:r>
        <w:rPr>
          <w:rFonts w:hint="default" w:ascii="Times New Roman" w:hAnsi="Times New Roman" w:eastAsia="Times New Roman" w:cs="Times New Roman"/>
          <w:color w:val="auto"/>
          <w:sz w:val="24"/>
          <w:szCs w:val="24"/>
          <w:highlight w:val="none"/>
          <w:lang w:val="zh-CN" w:eastAsia="zh-CN"/>
        </w:rPr>
        <w:t>3）应加强生态环境保护的宣传教育工作，在工地及周边设立与环境保护有关的科普性宣传牌，包括生态保护的科普知识、相关法规、项目所采取的生态保护措施及意义等。</w:t>
      </w:r>
    </w:p>
    <w:p w14:paraId="0308E084">
      <w:pPr>
        <w:bidi w:val="0"/>
        <w:jc w:val="both"/>
        <w:rPr>
          <w:rFonts w:hint="default" w:ascii="Times New Roman" w:hAnsi="Times New Roman" w:cs="Times New Roman"/>
          <w:color w:val="auto"/>
          <w:sz w:val="24"/>
          <w:szCs w:val="24"/>
          <w:highlight w:val="none"/>
        </w:rPr>
      </w:pPr>
      <w:r>
        <w:rPr>
          <w:rFonts w:hint="default" w:ascii="Times New Roman" w:hAnsi="Times New Roman" w:eastAsia="Times New Roman" w:cs="Times New Roman"/>
          <w:color w:val="auto"/>
          <w:sz w:val="24"/>
          <w:szCs w:val="24"/>
          <w:highlight w:val="none"/>
          <w:lang w:val="zh-CN" w:eastAsia="zh-CN"/>
        </w:rPr>
        <w:t>（</w:t>
      </w:r>
      <w:r>
        <w:rPr>
          <w:rFonts w:hint="default" w:ascii="Times New Roman" w:hAnsi="Times New Roman" w:eastAsia="Times New Roman" w:cs="Times New Roman"/>
          <w:color w:val="auto"/>
          <w:sz w:val="24"/>
          <w:szCs w:val="24"/>
          <w:highlight w:val="none"/>
          <w:lang w:val="en-US" w:eastAsia="zh-CN"/>
        </w:rPr>
        <w:t>4</w:t>
      </w:r>
      <w:r>
        <w:rPr>
          <w:rFonts w:hint="default" w:ascii="Times New Roman" w:hAnsi="Times New Roman" w:eastAsia="Times New Roman" w:cs="Times New Roman"/>
          <w:color w:val="auto"/>
          <w:sz w:val="24"/>
          <w:szCs w:val="24"/>
          <w:highlight w:val="none"/>
          <w:lang w:val="zh-CN" w:eastAsia="zh-CN"/>
        </w:rPr>
        <w:t>）</w:t>
      </w:r>
      <w:r>
        <w:rPr>
          <w:rFonts w:hint="default" w:ascii="Times New Roman" w:hAnsi="Times New Roman" w:cs="Times New Roman"/>
          <w:color w:val="auto"/>
          <w:sz w:val="24"/>
          <w:szCs w:val="24"/>
          <w:highlight w:val="none"/>
        </w:rPr>
        <w:t>为使环境保护措施落到实处，下一步应开展环境保护设计工作，对本阶段措施进行优化，进一步深化，达到</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三同时</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的要求。</w:t>
      </w:r>
    </w:p>
    <w:p w14:paraId="79DF37CC">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br w:type="page"/>
      </w:r>
    </w:p>
    <w:p w14:paraId="66859FDF">
      <w:pPr>
        <w:bidi w:val="0"/>
        <w:jc w:val="center"/>
        <w:outlineLvl w:val="1"/>
        <w:rPr>
          <w:rFonts w:hint="default" w:ascii="Times New Roman" w:hAnsi="Times New Roman" w:cs="Times New Roman"/>
          <w:b/>
          <w:bCs/>
          <w:color w:val="auto"/>
          <w:sz w:val="24"/>
          <w:szCs w:val="24"/>
          <w:highlight w:val="none"/>
          <w:lang w:val="en-US" w:eastAsia="zh-CN"/>
        </w:rPr>
      </w:pPr>
      <w:bookmarkStart w:id="7391" w:name="_Toc24096"/>
      <w:bookmarkStart w:id="7392" w:name="_Toc5118"/>
      <w:bookmarkStart w:id="7393" w:name="_Toc20651"/>
      <w:bookmarkStart w:id="7394" w:name="_Toc6481"/>
      <w:r>
        <w:rPr>
          <w:rFonts w:hint="default" w:ascii="Times New Roman" w:hAnsi="Times New Roman" w:cs="Times New Roman"/>
          <w:b/>
          <w:bCs/>
          <w:color w:val="auto"/>
          <w:sz w:val="24"/>
          <w:szCs w:val="24"/>
          <w:highlight w:val="none"/>
          <w:lang w:val="en-US" w:eastAsia="zh-CN"/>
        </w:rPr>
        <w:t>生态影响评价自查表</w:t>
      </w:r>
      <w:bookmarkEnd w:id="7391"/>
      <w:bookmarkEnd w:id="7392"/>
      <w:bookmarkEnd w:id="7393"/>
      <w:bookmarkEnd w:id="7394"/>
    </w:p>
    <w:tbl>
      <w:tblPr>
        <w:tblStyle w:val="31"/>
        <w:tblW w:w="8336"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4"/>
        <w:gridCol w:w="1257"/>
        <w:gridCol w:w="3118"/>
        <w:gridCol w:w="3077"/>
      </w:tblGrid>
      <w:tr w14:paraId="6231560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blHeader/>
        </w:trPr>
        <w:tc>
          <w:tcPr>
            <w:tcW w:w="2141" w:type="dxa"/>
            <w:gridSpan w:val="2"/>
            <w:tcBorders>
              <w:right w:val="single" w:color="000000" w:sz="4" w:space="0"/>
            </w:tcBorders>
            <w:noWrap w:val="0"/>
            <w:vAlign w:val="center"/>
          </w:tcPr>
          <w:p w14:paraId="4370268C">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7395" w:name="_Toc7172"/>
            <w:bookmarkStart w:id="7396" w:name="_Toc25854"/>
            <w:bookmarkStart w:id="7397" w:name="_Toc30336"/>
            <w:bookmarkStart w:id="7398" w:name="_Toc15811"/>
            <w:bookmarkStart w:id="7399" w:name="_Toc19576"/>
            <w:r>
              <w:rPr>
                <w:rFonts w:hint="default" w:ascii="Times New Roman" w:hAnsi="Times New Roman" w:cs="Times New Roman"/>
                <w:b/>
                <w:bCs/>
                <w:color w:val="auto"/>
                <w:sz w:val="21"/>
                <w:szCs w:val="21"/>
                <w:highlight w:val="none"/>
              </w:rPr>
              <w:t>工作内容</w:t>
            </w:r>
            <w:bookmarkEnd w:id="7395"/>
            <w:bookmarkEnd w:id="7396"/>
            <w:bookmarkEnd w:id="7397"/>
            <w:bookmarkEnd w:id="7398"/>
            <w:bookmarkEnd w:id="7399"/>
          </w:p>
        </w:tc>
        <w:tc>
          <w:tcPr>
            <w:tcW w:w="6195" w:type="dxa"/>
            <w:gridSpan w:val="2"/>
            <w:tcBorders>
              <w:left w:val="single" w:color="000000" w:sz="4" w:space="0"/>
            </w:tcBorders>
            <w:noWrap w:val="0"/>
            <w:vAlign w:val="center"/>
          </w:tcPr>
          <w:p w14:paraId="5A507196">
            <w:pPr>
              <w:pStyle w:val="29"/>
              <w:suppressLineNumbers w:val="0"/>
              <w:bidi w:val="0"/>
              <w:spacing w:beforeAutospacing="0" w:afterAutospacing="0"/>
              <w:ind w:left="0" w:right="0"/>
              <w:rPr>
                <w:rFonts w:hint="default" w:ascii="Times New Roman" w:hAnsi="Times New Roman" w:cs="Times New Roman"/>
                <w:b/>
                <w:bCs/>
                <w:color w:val="auto"/>
                <w:sz w:val="21"/>
                <w:szCs w:val="21"/>
                <w:highlight w:val="none"/>
              </w:rPr>
            </w:pPr>
            <w:bookmarkStart w:id="7400" w:name="_Toc23780"/>
            <w:bookmarkStart w:id="7401" w:name="_Toc27617"/>
            <w:bookmarkStart w:id="7402" w:name="_Toc31862"/>
            <w:bookmarkStart w:id="7403" w:name="_Toc11061"/>
            <w:bookmarkStart w:id="7404" w:name="_Toc21801"/>
            <w:r>
              <w:rPr>
                <w:rFonts w:hint="default" w:ascii="Times New Roman" w:hAnsi="Times New Roman" w:cs="Times New Roman"/>
                <w:b/>
                <w:bCs/>
                <w:color w:val="auto"/>
                <w:sz w:val="21"/>
                <w:szCs w:val="21"/>
                <w:highlight w:val="none"/>
              </w:rPr>
              <w:t>自查项目</w:t>
            </w:r>
            <w:bookmarkEnd w:id="7400"/>
            <w:bookmarkEnd w:id="7401"/>
            <w:bookmarkEnd w:id="7402"/>
            <w:bookmarkEnd w:id="7403"/>
            <w:bookmarkEnd w:id="7404"/>
          </w:p>
        </w:tc>
      </w:tr>
      <w:tr w14:paraId="5CF57B6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884" w:type="dxa"/>
            <w:vMerge w:val="restart"/>
            <w:tcBorders>
              <w:bottom w:val="single" w:color="000000" w:sz="4" w:space="0"/>
              <w:right w:val="single" w:color="000000" w:sz="4" w:space="0"/>
            </w:tcBorders>
            <w:noWrap w:val="0"/>
            <w:vAlign w:val="center"/>
          </w:tcPr>
          <w:p w14:paraId="24D6302E">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405" w:name="_Toc19705"/>
            <w:bookmarkStart w:id="7406" w:name="_Toc17573"/>
            <w:bookmarkStart w:id="7407" w:name="_Toc9387"/>
            <w:bookmarkStart w:id="7408" w:name="_Toc23412"/>
            <w:bookmarkStart w:id="7409" w:name="_Toc27734"/>
            <w:r>
              <w:rPr>
                <w:rFonts w:hint="default" w:ascii="Times New Roman" w:hAnsi="Times New Roman" w:cs="Times New Roman"/>
                <w:color w:val="auto"/>
                <w:sz w:val="21"/>
                <w:szCs w:val="21"/>
                <w:highlight w:val="none"/>
                <w:lang w:val="en-US" w:eastAsia="zh-CN"/>
              </w:rPr>
              <w:t>生态影响识别</w:t>
            </w:r>
            <w:bookmarkEnd w:id="7405"/>
            <w:bookmarkEnd w:id="7406"/>
            <w:bookmarkEnd w:id="7407"/>
            <w:bookmarkEnd w:id="7408"/>
            <w:bookmarkEnd w:id="7409"/>
          </w:p>
        </w:tc>
        <w:tc>
          <w:tcPr>
            <w:tcW w:w="1257" w:type="dxa"/>
            <w:tcBorders>
              <w:left w:val="single" w:color="000000" w:sz="4" w:space="0"/>
              <w:bottom w:val="single" w:color="000000" w:sz="4" w:space="0"/>
              <w:right w:val="single" w:color="000000" w:sz="4" w:space="0"/>
            </w:tcBorders>
            <w:noWrap w:val="0"/>
            <w:vAlign w:val="center"/>
          </w:tcPr>
          <w:p w14:paraId="375A13B6">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410" w:name="_Toc29434"/>
            <w:bookmarkStart w:id="7411" w:name="_Toc9289"/>
            <w:bookmarkStart w:id="7412" w:name="_Toc24794"/>
            <w:bookmarkStart w:id="7413" w:name="_Toc27697"/>
            <w:bookmarkStart w:id="7414" w:name="_Toc26754"/>
            <w:r>
              <w:rPr>
                <w:rFonts w:hint="default" w:ascii="Times New Roman" w:hAnsi="Times New Roman" w:cs="Times New Roman"/>
                <w:color w:val="auto"/>
                <w:sz w:val="21"/>
                <w:szCs w:val="21"/>
                <w:highlight w:val="none"/>
                <w:lang w:val="en-US" w:eastAsia="zh-CN"/>
              </w:rPr>
              <w:t>生态保护</w:t>
            </w:r>
            <w:bookmarkEnd w:id="7410"/>
            <w:bookmarkEnd w:id="7411"/>
            <w:bookmarkEnd w:id="7412"/>
            <w:bookmarkEnd w:id="7413"/>
            <w:bookmarkEnd w:id="7414"/>
          </w:p>
          <w:p w14:paraId="6846E015">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415" w:name="_Toc22374"/>
            <w:bookmarkStart w:id="7416" w:name="_Toc21574"/>
            <w:bookmarkStart w:id="7417" w:name="_Toc10401"/>
            <w:bookmarkStart w:id="7418" w:name="_Toc25789"/>
            <w:bookmarkStart w:id="7419" w:name="_Toc3510"/>
            <w:r>
              <w:rPr>
                <w:rFonts w:hint="default" w:ascii="Times New Roman" w:hAnsi="Times New Roman" w:cs="Times New Roman"/>
                <w:color w:val="auto"/>
                <w:sz w:val="21"/>
                <w:szCs w:val="21"/>
                <w:highlight w:val="none"/>
                <w:lang w:val="en-US" w:eastAsia="zh-CN"/>
              </w:rPr>
              <w:t>目标</w:t>
            </w:r>
            <w:bookmarkEnd w:id="7415"/>
            <w:bookmarkEnd w:id="7416"/>
            <w:bookmarkEnd w:id="7417"/>
            <w:bookmarkEnd w:id="7418"/>
            <w:bookmarkEnd w:id="7419"/>
          </w:p>
        </w:tc>
        <w:tc>
          <w:tcPr>
            <w:tcW w:w="6195" w:type="dxa"/>
            <w:gridSpan w:val="2"/>
            <w:tcBorders>
              <w:left w:val="single" w:color="000000" w:sz="4" w:space="0"/>
              <w:bottom w:val="single" w:color="000000" w:sz="4" w:space="0"/>
            </w:tcBorders>
            <w:noWrap w:val="0"/>
            <w:vAlign w:val="center"/>
          </w:tcPr>
          <w:p w14:paraId="108467E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20" w:name="_Toc27912"/>
            <w:bookmarkStart w:id="7421" w:name="_Toc3396"/>
            <w:bookmarkStart w:id="7422" w:name="_Toc12268"/>
            <w:bookmarkStart w:id="7423" w:name="_Toc7540"/>
            <w:bookmarkStart w:id="7424" w:name="_Toc6788"/>
            <w:r>
              <w:rPr>
                <w:rFonts w:hint="default" w:ascii="Times New Roman" w:hAnsi="Times New Roman" w:cs="Times New Roman"/>
                <w:color w:val="auto"/>
                <w:sz w:val="21"/>
                <w:szCs w:val="21"/>
                <w:highlight w:val="none"/>
              </w:rPr>
              <w:t>重要物种□；国家公园□；自然保护区</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；自然公园□；世界自然遗产□；生态保护红线</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；重要生境</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；其他具有重要生态功能、对保护生物多样性具有重要意义的区域□；其他□</w:t>
            </w:r>
            <w:bookmarkEnd w:id="7420"/>
            <w:bookmarkEnd w:id="7421"/>
            <w:bookmarkEnd w:id="7422"/>
            <w:bookmarkEnd w:id="7423"/>
            <w:bookmarkEnd w:id="7424"/>
          </w:p>
        </w:tc>
      </w:tr>
      <w:tr w14:paraId="1DB582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84" w:type="dxa"/>
            <w:vMerge w:val="continue"/>
            <w:tcBorders>
              <w:top w:val="nil"/>
              <w:bottom w:val="single" w:color="000000" w:sz="4" w:space="0"/>
              <w:right w:val="single" w:color="000000" w:sz="4" w:space="0"/>
            </w:tcBorders>
            <w:noWrap w:val="0"/>
            <w:vAlign w:val="center"/>
          </w:tcPr>
          <w:p w14:paraId="62159A61">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067F013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425" w:name="_Toc7017"/>
            <w:bookmarkStart w:id="7426" w:name="_Toc26079"/>
            <w:bookmarkStart w:id="7427" w:name="_Toc7480"/>
            <w:bookmarkStart w:id="7428" w:name="_Toc19095"/>
            <w:bookmarkStart w:id="7429" w:name="_Toc20511"/>
            <w:r>
              <w:rPr>
                <w:rFonts w:hint="default" w:ascii="Times New Roman" w:hAnsi="Times New Roman" w:cs="Times New Roman"/>
                <w:color w:val="auto"/>
                <w:sz w:val="21"/>
                <w:szCs w:val="21"/>
                <w:highlight w:val="none"/>
                <w:lang w:val="en-US" w:eastAsia="zh-CN"/>
              </w:rPr>
              <w:t>影响方式</w:t>
            </w:r>
            <w:bookmarkEnd w:id="7425"/>
            <w:bookmarkEnd w:id="7426"/>
            <w:bookmarkEnd w:id="7427"/>
            <w:bookmarkEnd w:id="7428"/>
            <w:bookmarkEnd w:id="7429"/>
          </w:p>
        </w:tc>
        <w:tc>
          <w:tcPr>
            <w:tcW w:w="6195" w:type="dxa"/>
            <w:gridSpan w:val="2"/>
            <w:tcBorders>
              <w:top w:val="single" w:color="000000" w:sz="4" w:space="0"/>
              <w:left w:val="single" w:color="000000" w:sz="4" w:space="0"/>
              <w:bottom w:val="single" w:color="000000" w:sz="4" w:space="0"/>
            </w:tcBorders>
            <w:noWrap w:val="0"/>
            <w:vAlign w:val="center"/>
          </w:tcPr>
          <w:p w14:paraId="303A23CD">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30" w:name="_Toc12292"/>
            <w:bookmarkStart w:id="7431" w:name="_Toc2922"/>
            <w:bookmarkStart w:id="7432" w:name="_Toc3176"/>
            <w:bookmarkStart w:id="7433" w:name="_Toc31114"/>
            <w:bookmarkStart w:id="7434" w:name="_Toc4607"/>
            <w:r>
              <w:rPr>
                <w:rFonts w:hint="default" w:ascii="Times New Roman" w:hAnsi="Times New Roman" w:cs="Times New Roman"/>
                <w:color w:val="auto"/>
                <w:sz w:val="21"/>
                <w:szCs w:val="21"/>
                <w:highlight w:val="none"/>
              </w:rPr>
              <w:t>工程占用</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；施工活动干扰</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；改变环境条件□；其他□</w:t>
            </w:r>
            <w:bookmarkEnd w:id="7430"/>
            <w:bookmarkEnd w:id="7431"/>
            <w:bookmarkEnd w:id="7432"/>
            <w:bookmarkEnd w:id="7433"/>
            <w:bookmarkEnd w:id="7434"/>
          </w:p>
        </w:tc>
      </w:tr>
      <w:tr w14:paraId="055DC2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2" w:hRule="atLeast"/>
        </w:trPr>
        <w:tc>
          <w:tcPr>
            <w:tcW w:w="884" w:type="dxa"/>
            <w:vMerge w:val="continue"/>
            <w:tcBorders>
              <w:top w:val="nil"/>
              <w:bottom w:val="single" w:color="000000" w:sz="4" w:space="0"/>
              <w:right w:val="single" w:color="000000" w:sz="4" w:space="0"/>
            </w:tcBorders>
            <w:noWrap w:val="0"/>
            <w:vAlign w:val="center"/>
          </w:tcPr>
          <w:p w14:paraId="0C16A820">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2188878B">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435" w:name="_Toc5463"/>
            <w:bookmarkStart w:id="7436" w:name="_Toc23265"/>
            <w:bookmarkStart w:id="7437" w:name="_Toc20600"/>
            <w:bookmarkStart w:id="7438" w:name="_Toc910"/>
            <w:bookmarkStart w:id="7439" w:name="_Toc5407"/>
            <w:r>
              <w:rPr>
                <w:rFonts w:hint="default" w:ascii="Times New Roman" w:hAnsi="Times New Roman" w:cs="Times New Roman"/>
                <w:color w:val="auto"/>
                <w:sz w:val="21"/>
                <w:szCs w:val="21"/>
                <w:highlight w:val="none"/>
                <w:lang w:val="en-US" w:eastAsia="zh-CN"/>
              </w:rPr>
              <w:t>评价因子</w:t>
            </w:r>
            <w:bookmarkEnd w:id="7435"/>
            <w:bookmarkEnd w:id="7436"/>
            <w:bookmarkEnd w:id="7437"/>
            <w:bookmarkEnd w:id="7438"/>
            <w:bookmarkEnd w:id="7439"/>
          </w:p>
        </w:tc>
        <w:tc>
          <w:tcPr>
            <w:tcW w:w="6195" w:type="dxa"/>
            <w:gridSpan w:val="2"/>
            <w:tcBorders>
              <w:top w:val="single" w:color="000000" w:sz="4" w:space="0"/>
              <w:left w:val="single" w:color="000000" w:sz="4" w:space="0"/>
              <w:bottom w:val="single" w:color="000000" w:sz="4" w:space="0"/>
            </w:tcBorders>
            <w:noWrap w:val="0"/>
            <w:vAlign w:val="center"/>
          </w:tcPr>
          <w:p w14:paraId="41BCBAA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40" w:name="_Toc21260"/>
            <w:bookmarkStart w:id="7441" w:name="_Toc236"/>
            <w:bookmarkStart w:id="7442" w:name="_Toc12683"/>
            <w:bookmarkStart w:id="7443" w:name="_Toc18447"/>
            <w:bookmarkStart w:id="7444" w:name="_Toc424"/>
            <w:r>
              <w:rPr>
                <w:rFonts w:hint="default" w:ascii="Times New Roman" w:hAnsi="Times New Roman" w:cs="Times New Roman"/>
                <w:color w:val="auto"/>
                <w:sz w:val="21"/>
                <w:szCs w:val="21"/>
                <w:highlight w:val="none"/>
              </w:rPr>
              <w:t>物种</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40"/>
            <w:bookmarkEnd w:id="7441"/>
            <w:bookmarkEnd w:id="7442"/>
            <w:bookmarkEnd w:id="7443"/>
            <w:bookmarkEnd w:id="7444"/>
          </w:p>
          <w:p w14:paraId="693481E6">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45" w:name="_Toc2314"/>
            <w:bookmarkStart w:id="7446" w:name="_Toc19823"/>
            <w:bookmarkStart w:id="7447" w:name="_Toc3455"/>
            <w:bookmarkStart w:id="7448" w:name="_Toc15162"/>
            <w:bookmarkStart w:id="7449" w:name="_Toc11805"/>
            <w:r>
              <w:rPr>
                <w:rFonts w:hint="default" w:ascii="Times New Roman" w:hAnsi="Times New Roman" w:cs="Times New Roman"/>
                <w:color w:val="auto"/>
                <w:sz w:val="21"/>
                <w:szCs w:val="21"/>
                <w:highlight w:val="none"/>
              </w:rPr>
              <w:t>生境</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45"/>
            <w:bookmarkEnd w:id="7446"/>
            <w:bookmarkEnd w:id="7447"/>
            <w:bookmarkEnd w:id="7448"/>
            <w:bookmarkEnd w:id="7449"/>
          </w:p>
          <w:p w14:paraId="32F488D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50" w:name="_Toc8441"/>
            <w:bookmarkStart w:id="7451" w:name="_Toc22583"/>
            <w:bookmarkStart w:id="7452" w:name="_Toc14801"/>
            <w:bookmarkStart w:id="7453" w:name="_Toc3991"/>
            <w:bookmarkStart w:id="7454" w:name="_Toc21586"/>
            <w:r>
              <w:rPr>
                <w:rFonts w:hint="default" w:ascii="Times New Roman" w:hAnsi="Times New Roman" w:cs="Times New Roman"/>
                <w:color w:val="auto"/>
                <w:sz w:val="21"/>
                <w:szCs w:val="21"/>
                <w:highlight w:val="none"/>
              </w:rPr>
              <w:t>生物群落</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50"/>
            <w:bookmarkEnd w:id="7451"/>
            <w:bookmarkEnd w:id="7452"/>
            <w:bookmarkEnd w:id="7453"/>
            <w:bookmarkEnd w:id="7454"/>
          </w:p>
          <w:p w14:paraId="502BF7B7">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55" w:name="_Toc26314"/>
            <w:bookmarkStart w:id="7456" w:name="_Toc20440"/>
            <w:bookmarkStart w:id="7457" w:name="_Toc28102"/>
            <w:bookmarkStart w:id="7458" w:name="_Toc21351"/>
            <w:bookmarkStart w:id="7459" w:name="_Toc3214"/>
            <w:r>
              <w:rPr>
                <w:rFonts w:hint="default" w:ascii="Times New Roman" w:hAnsi="Times New Roman" w:cs="Times New Roman"/>
                <w:color w:val="auto"/>
                <w:sz w:val="21"/>
                <w:szCs w:val="21"/>
                <w:highlight w:val="none"/>
              </w:rPr>
              <w:t>生态系统</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55"/>
            <w:bookmarkEnd w:id="7456"/>
            <w:bookmarkEnd w:id="7457"/>
            <w:bookmarkEnd w:id="7458"/>
            <w:bookmarkEnd w:id="7459"/>
          </w:p>
          <w:p w14:paraId="0AB1ED7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60" w:name="_Toc29080"/>
            <w:bookmarkStart w:id="7461" w:name="_Toc10597"/>
            <w:bookmarkStart w:id="7462" w:name="_Toc25448"/>
            <w:bookmarkStart w:id="7463" w:name="_Toc21790"/>
            <w:bookmarkStart w:id="7464" w:name="_Toc15756"/>
            <w:r>
              <w:rPr>
                <w:rFonts w:hint="default" w:ascii="Times New Roman" w:hAnsi="Times New Roman" w:cs="Times New Roman"/>
                <w:color w:val="auto"/>
                <w:sz w:val="21"/>
                <w:szCs w:val="21"/>
                <w:highlight w:val="none"/>
              </w:rPr>
              <w:t>生物多样性</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60"/>
            <w:bookmarkEnd w:id="7461"/>
            <w:bookmarkEnd w:id="7462"/>
            <w:bookmarkEnd w:id="7463"/>
            <w:bookmarkEnd w:id="7464"/>
          </w:p>
          <w:p w14:paraId="5A8D147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65" w:name="_Toc27763"/>
            <w:bookmarkStart w:id="7466" w:name="_Toc19377"/>
            <w:bookmarkStart w:id="7467" w:name="_Toc29468"/>
            <w:bookmarkStart w:id="7468" w:name="_Toc14630"/>
            <w:bookmarkStart w:id="7469" w:name="_Toc12360"/>
            <w:r>
              <w:rPr>
                <w:rFonts w:hint="default" w:ascii="Times New Roman" w:hAnsi="Times New Roman" w:cs="Times New Roman"/>
                <w:color w:val="auto"/>
                <w:sz w:val="21"/>
                <w:szCs w:val="21"/>
                <w:highlight w:val="none"/>
              </w:rPr>
              <w:t>生态敏感区</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65"/>
            <w:bookmarkEnd w:id="7466"/>
            <w:bookmarkEnd w:id="7467"/>
            <w:bookmarkEnd w:id="7468"/>
            <w:bookmarkEnd w:id="7469"/>
          </w:p>
          <w:p w14:paraId="0953EA0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70" w:name="_Toc30746"/>
            <w:bookmarkStart w:id="7471" w:name="_Toc12227"/>
            <w:bookmarkStart w:id="7472" w:name="_Toc21256"/>
            <w:bookmarkStart w:id="7473" w:name="_Toc29603"/>
            <w:bookmarkStart w:id="7474" w:name="_Toc12709"/>
            <w:r>
              <w:rPr>
                <w:rFonts w:hint="default" w:ascii="Times New Roman" w:hAnsi="Times New Roman" w:cs="Times New Roman"/>
                <w:color w:val="auto"/>
                <w:sz w:val="21"/>
                <w:szCs w:val="21"/>
                <w:highlight w:val="none"/>
              </w:rPr>
              <w:t>自然景观</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70"/>
            <w:bookmarkEnd w:id="7471"/>
            <w:bookmarkEnd w:id="7472"/>
            <w:bookmarkEnd w:id="7473"/>
            <w:bookmarkEnd w:id="7474"/>
          </w:p>
          <w:p w14:paraId="21C9DA0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75" w:name="_Toc30340"/>
            <w:bookmarkStart w:id="7476" w:name="_Toc11"/>
            <w:bookmarkStart w:id="7477" w:name="_Toc15419"/>
            <w:bookmarkStart w:id="7478" w:name="_Toc16496"/>
            <w:bookmarkStart w:id="7479" w:name="_Toc9465"/>
            <w:r>
              <w:rPr>
                <w:rFonts w:hint="default" w:ascii="Times New Roman" w:hAnsi="Times New Roman" w:cs="Times New Roman"/>
                <w:color w:val="auto"/>
                <w:sz w:val="21"/>
                <w:szCs w:val="21"/>
                <w:highlight w:val="none"/>
              </w:rPr>
              <w:t>自然遗迹□（</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75"/>
            <w:bookmarkEnd w:id="7476"/>
            <w:bookmarkEnd w:id="7477"/>
            <w:bookmarkEnd w:id="7478"/>
            <w:bookmarkEnd w:id="7479"/>
          </w:p>
          <w:p w14:paraId="583F628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80" w:name="_Toc27650"/>
            <w:bookmarkStart w:id="7481" w:name="_Toc6747"/>
            <w:bookmarkStart w:id="7482" w:name="_Toc18919"/>
            <w:bookmarkStart w:id="7483" w:name="_Toc18669"/>
            <w:bookmarkStart w:id="7484" w:name="_Toc31059"/>
            <w:r>
              <w:rPr>
                <w:rFonts w:hint="default" w:ascii="Times New Roman" w:hAnsi="Times New Roman" w:cs="Times New Roman"/>
                <w:color w:val="auto"/>
                <w:sz w:val="21"/>
                <w:szCs w:val="21"/>
                <w:highlight w:val="none"/>
              </w:rPr>
              <w:t>其他□（</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bookmarkEnd w:id="7480"/>
            <w:bookmarkEnd w:id="7481"/>
            <w:bookmarkEnd w:id="7482"/>
            <w:bookmarkEnd w:id="7483"/>
            <w:bookmarkEnd w:id="7484"/>
          </w:p>
        </w:tc>
      </w:tr>
      <w:tr w14:paraId="2BB6F9B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2141" w:type="dxa"/>
            <w:gridSpan w:val="2"/>
            <w:tcBorders>
              <w:top w:val="single" w:color="000000" w:sz="4" w:space="0"/>
              <w:bottom w:val="single" w:color="000000" w:sz="4" w:space="0"/>
              <w:right w:val="single" w:color="000000" w:sz="4" w:space="0"/>
            </w:tcBorders>
            <w:noWrap w:val="0"/>
            <w:vAlign w:val="center"/>
          </w:tcPr>
          <w:p w14:paraId="03C654B2">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485" w:name="_Toc8845"/>
            <w:bookmarkStart w:id="7486" w:name="_Toc25793"/>
            <w:bookmarkStart w:id="7487" w:name="_Toc12885"/>
            <w:bookmarkStart w:id="7488" w:name="_Toc2117"/>
            <w:bookmarkStart w:id="7489" w:name="_Toc27222"/>
            <w:r>
              <w:rPr>
                <w:rFonts w:hint="default" w:ascii="Times New Roman" w:hAnsi="Times New Roman" w:cs="Times New Roman"/>
                <w:color w:val="auto"/>
                <w:sz w:val="21"/>
                <w:szCs w:val="21"/>
                <w:highlight w:val="none"/>
                <w:lang w:val="en-US" w:eastAsia="zh-CN"/>
              </w:rPr>
              <w:t>评价等级</w:t>
            </w:r>
            <w:bookmarkEnd w:id="7485"/>
            <w:bookmarkEnd w:id="7486"/>
            <w:bookmarkEnd w:id="7487"/>
            <w:bookmarkEnd w:id="7488"/>
            <w:bookmarkEnd w:id="7489"/>
          </w:p>
        </w:tc>
        <w:tc>
          <w:tcPr>
            <w:tcW w:w="3118" w:type="dxa"/>
            <w:tcBorders>
              <w:top w:val="single" w:color="000000" w:sz="4" w:space="0"/>
              <w:left w:val="single" w:color="000000" w:sz="4" w:space="0"/>
              <w:bottom w:val="single" w:color="000000" w:sz="4" w:space="0"/>
              <w:right w:val="nil"/>
            </w:tcBorders>
            <w:noWrap w:val="0"/>
            <w:vAlign w:val="center"/>
          </w:tcPr>
          <w:p w14:paraId="0A979B7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90" w:name="_Toc14031"/>
            <w:bookmarkStart w:id="7491" w:name="_Toc24254"/>
            <w:bookmarkStart w:id="7492" w:name="_Toc7940"/>
            <w:bookmarkStart w:id="7493" w:name="_Toc9244"/>
            <w:bookmarkStart w:id="7494" w:name="_Toc25461"/>
            <w:r>
              <w:rPr>
                <w:rFonts w:hint="default" w:ascii="Times New Roman" w:hAnsi="Times New Roman" w:cs="Times New Roman"/>
                <w:color w:val="auto"/>
                <w:sz w:val="21"/>
                <w:szCs w:val="21"/>
                <w:highlight w:val="none"/>
              </w:rPr>
              <w:t>一级</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二级</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三级</w:t>
            </w:r>
            <w:bookmarkEnd w:id="7490"/>
            <w:r>
              <w:rPr>
                <w:rFonts w:hint="default" w:ascii="Times New Roman" w:hAnsi="Times New Roman" w:cs="Times New Roman"/>
                <w:color w:val="auto"/>
                <w:sz w:val="21"/>
                <w:szCs w:val="21"/>
                <w:highlight w:val="none"/>
              </w:rPr>
              <w:sym w:font="Wingdings 2" w:char="0052"/>
            </w:r>
            <w:bookmarkEnd w:id="7491"/>
            <w:bookmarkEnd w:id="7492"/>
            <w:bookmarkEnd w:id="7493"/>
            <w:bookmarkEnd w:id="7494"/>
          </w:p>
        </w:tc>
        <w:tc>
          <w:tcPr>
            <w:tcW w:w="3077" w:type="dxa"/>
            <w:tcBorders>
              <w:top w:val="single" w:color="000000" w:sz="4" w:space="0"/>
              <w:left w:val="nil"/>
              <w:bottom w:val="single" w:color="000000" w:sz="4" w:space="0"/>
            </w:tcBorders>
            <w:noWrap w:val="0"/>
            <w:vAlign w:val="center"/>
          </w:tcPr>
          <w:p w14:paraId="36F9567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495" w:name="_Toc19355"/>
            <w:bookmarkStart w:id="7496" w:name="_Toc13900"/>
            <w:bookmarkStart w:id="7497" w:name="_Toc20062"/>
            <w:bookmarkStart w:id="7498" w:name="_Toc30828"/>
            <w:bookmarkStart w:id="7499" w:name="_Toc26656"/>
            <w:r>
              <w:rPr>
                <w:rFonts w:hint="default" w:ascii="Times New Roman" w:hAnsi="Times New Roman" w:cs="Times New Roman"/>
                <w:color w:val="auto"/>
                <w:sz w:val="21"/>
                <w:szCs w:val="21"/>
                <w:highlight w:val="none"/>
              </w:rPr>
              <w:t>生态影响简单分析□</w:t>
            </w:r>
            <w:bookmarkEnd w:id="7495"/>
            <w:bookmarkEnd w:id="7496"/>
            <w:bookmarkEnd w:id="7497"/>
            <w:bookmarkEnd w:id="7498"/>
            <w:bookmarkEnd w:id="7499"/>
          </w:p>
        </w:tc>
      </w:tr>
      <w:tr w14:paraId="6AE65C1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2141" w:type="dxa"/>
            <w:gridSpan w:val="2"/>
            <w:tcBorders>
              <w:top w:val="single" w:color="000000" w:sz="4" w:space="0"/>
              <w:bottom w:val="single" w:color="000000" w:sz="4" w:space="0"/>
              <w:right w:val="single" w:color="000000" w:sz="4" w:space="0"/>
            </w:tcBorders>
            <w:noWrap w:val="0"/>
            <w:vAlign w:val="center"/>
          </w:tcPr>
          <w:p w14:paraId="4C25FE21">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00" w:name="_Toc11765"/>
            <w:bookmarkStart w:id="7501" w:name="_Toc4830"/>
            <w:bookmarkStart w:id="7502" w:name="_Toc22119"/>
            <w:bookmarkStart w:id="7503" w:name="_Toc27191"/>
            <w:bookmarkStart w:id="7504" w:name="_Toc18566"/>
            <w:r>
              <w:rPr>
                <w:rFonts w:hint="default" w:ascii="Times New Roman" w:hAnsi="Times New Roman" w:cs="Times New Roman"/>
                <w:color w:val="auto"/>
                <w:sz w:val="21"/>
                <w:szCs w:val="21"/>
                <w:highlight w:val="none"/>
                <w:lang w:val="en-US" w:eastAsia="zh-CN"/>
              </w:rPr>
              <w:t>评价范围</w:t>
            </w:r>
            <w:bookmarkEnd w:id="7500"/>
            <w:bookmarkEnd w:id="7501"/>
            <w:bookmarkEnd w:id="7502"/>
            <w:bookmarkEnd w:id="7503"/>
            <w:bookmarkEnd w:id="7504"/>
          </w:p>
        </w:tc>
        <w:tc>
          <w:tcPr>
            <w:tcW w:w="3118" w:type="dxa"/>
            <w:tcBorders>
              <w:top w:val="single" w:color="000000" w:sz="4" w:space="0"/>
              <w:left w:val="single" w:color="000000" w:sz="4" w:space="0"/>
              <w:bottom w:val="single" w:color="000000" w:sz="4" w:space="0"/>
              <w:right w:val="nil"/>
            </w:tcBorders>
            <w:noWrap w:val="0"/>
            <w:vAlign w:val="center"/>
          </w:tcPr>
          <w:p w14:paraId="02CA1D31">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05" w:name="_Toc348"/>
            <w:bookmarkStart w:id="7506" w:name="_Toc24987"/>
            <w:bookmarkStart w:id="7507" w:name="_Toc6496"/>
            <w:bookmarkStart w:id="7508" w:name="_Toc28868"/>
            <w:bookmarkStart w:id="7509" w:name="_Toc20915"/>
            <w:r>
              <w:rPr>
                <w:rFonts w:hint="default" w:ascii="Times New Roman" w:hAnsi="Times New Roman" w:cs="Times New Roman"/>
                <w:color w:val="auto"/>
                <w:sz w:val="21"/>
                <w:szCs w:val="21"/>
                <w:highlight w:val="none"/>
              </w:rPr>
              <w:t>陆域面积：（</w:t>
            </w:r>
            <w:r>
              <w:rPr>
                <w:rFonts w:hint="eastAsia" w:cs="Times New Roman"/>
                <w:color w:val="auto"/>
                <w:sz w:val="21"/>
                <w:szCs w:val="21"/>
                <w:highlight w:val="none"/>
                <w:lang w:val="en-US" w:eastAsia="zh-CN"/>
              </w:rPr>
              <w:t>1231.35</w:t>
            </w:r>
            <w:r>
              <w:rPr>
                <w:rFonts w:hint="default" w:ascii="Times New Roman" w:hAnsi="Times New Roman" w:cs="Times New Roman"/>
                <w:color w:val="auto"/>
                <w:sz w:val="21"/>
                <w:szCs w:val="21"/>
                <w:highlight w:val="none"/>
              </w:rPr>
              <w:t>）hm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bookmarkEnd w:id="7505"/>
            <w:bookmarkEnd w:id="7506"/>
            <w:bookmarkEnd w:id="7507"/>
            <w:bookmarkEnd w:id="7508"/>
            <w:bookmarkEnd w:id="7509"/>
          </w:p>
        </w:tc>
        <w:tc>
          <w:tcPr>
            <w:tcW w:w="3077" w:type="dxa"/>
            <w:tcBorders>
              <w:top w:val="single" w:color="000000" w:sz="4" w:space="0"/>
              <w:left w:val="nil"/>
              <w:bottom w:val="single" w:color="000000" w:sz="4" w:space="0"/>
            </w:tcBorders>
            <w:noWrap w:val="0"/>
            <w:vAlign w:val="center"/>
          </w:tcPr>
          <w:p w14:paraId="230AE67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10" w:name="_Toc10905"/>
            <w:bookmarkStart w:id="7511" w:name="_Toc11797"/>
            <w:bookmarkStart w:id="7512" w:name="_Toc6078"/>
            <w:bookmarkStart w:id="7513" w:name="_Toc989"/>
            <w:bookmarkStart w:id="7514" w:name="_Toc21189"/>
            <w:r>
              <w:rPr>
                <w:rFonts w:hint="default" w:ascii="Times New Roman" w:hAnsi="Times New Roman" w:cs="Times New Roman"/>
                <w:color w:val="auto"/>
                <w:sz w:val="21"/>
                <w:szCs w:val="21"/>
                <w:highlight w:val="none"/>
              </w:rPr>
              <w:t>水域面积：（</w:t>
            </w:r>
            <w:r>
              <w:rPr>
                <w:rFonts w:hint="eastAsia" w:cs="Times New Roman"/>
                <w:color w:val="auto"/>
                <w:sz w:val="21"/>
                <w:szCs w:val="21"/>
                <w:highlight w:val="none"/>
                <w:lang w:val="en-US" w:eastAsia="zh-CN"/>
              </w:rPr>
              <w:t>244.39</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h</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bookmarkEnd w:id="7510"/>
            <w:bookmarkEnd w:id="7511"/>
            <w:bookmarkEnd w:id="7512"/>
            <w:bookmarkEnd w:id="7513"/>
            <w:bookmarkEnd w:id="7514"/>
          </w:p>
        </w:tc>
      </w:tr>
      <w:tr w14:paraId="459F44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0" w:hRule="atLeast"/>
        </w:trPr>
        <w:tc>
          <w:tcPr>
            <w:tcW w:w="884" w:type="dxa"/>
            <w:vMerge w:val="restart"/>
            <w:tcBorders>
              <w:top w:val="single" w:color="000000" w:sz="4" w:space="0"/>
              <w:bottom w:val="single" w:color="000000" w:sz="4" w:space="0"/>
              <w:right w:val="single" w:color="000000" w:sz="4" w:space="0"/>
            </w:tcBorders>
            <w:noWrap w:val="0"/>
            <w:vAlign w:val="center"/>
          </w:tcPr>
          <w:p w14:paraId="632C69B5">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15" w:name="_Toc24348"/>
            <w:bookmarkStart w:id="7516" w:name="_Toc23656"/>
            <w:bookmarkStart w:id="7517" w:name="_Toc28728"/>
            <w:bookmarkStart w:id="7518" w:name="_Toc9610"/>
            <w:bookmarkStart w:id="7519" w:name="_Toc490"/>
            <w:r>
              <w:rPr>
                <w:rFonts w:hint="default" w:ascii="Times New Roman" w:hAnsi="Times New Roman" w:cs="Times New Roman"/>
                <w:color w:val="auto"/>
                <w:sz w:val="21"/>
                <w:szCs w:val="21"/>
                <w:highlight w:val="none"/>
                <w:lang w:val="en-US" w:eastAsia="zh-CN"/>
              </w:rPr>
              <w:t>生态现状调查与评价</w:t>
            </w:r>
            <w:bookmarkEnd w:id="7515"/>
            <w:bookmarkEnd w:id="7516"/>
            <w:bookmarkEnd w:id="7517"/>
            <w:bookmarkEnd w:id="7518"/>
            <w:bookmarkEnd w:id="7519"/>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1AA2F446">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20" w:name="_Toc16062"/>
            <w:bookmarkStart w:id="7521" w:name="_Toc19588"/>
            <w:bookmarkStart w:id="7522" w:name="_Toc21406"/>
            <w:bookmarkStart w:id="7523" w:name="_Toc2052"/>
            <w:bookmarkStart w:id="7524" w:name="_Toc6229"/>
            <w:r>
              <w:rPr>
                <w:rFonts w:hint="default" w:ascii="Times New Roman" w:hAnsi="Times New Roman" w:cs="Times New Roman"/>
                <w:color w:val="auto"/>
                <w:sz w:val="21"/>
                <w:szCs w:val="21"/>
                <w:highlight w:val="none"/>
                <w:lang w:val="en-US" w:eastAsia="zh-CN"/>
              </w:rPr>
              <w:t>调查方法</w:t>
            </w:r>
            <w:bookmarkEnd w:id="7520"/>
            <w:bookmarkEnd w:id="7521"/>
            <w:bookmarkEnd w:id="7522"/>
            <w:bookmarkEnd w:id="7523"/>
            <w:bookmarkEnd w:id="7524"/>
          </w:p>
        </w:tc>
        <w:tc>
          <w:tcPr>
            <w:tcW w:w="6195" w:type="dxa"/>
            <w:gridSpan w:val="2"/>
            <w:tcBorders>
              <w:top w:val="single" w:color="000000" w:sz="4" w:space="0"/>
              <w:left w:val="single" w:color="000000" w:sz="4" w:space="0"/>
              <w:bottom w:val="single" w:color="000000" w:sz="4" w:space="0"/>
            </w:tcBorders>
            <w:noWrap w:val="0"/>
            <w:vAlign w:val="center"/>
          </w:tcPr>
          <w:p w14:paraId="32BF64EC">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25" w:name="_Toc14144"/>
            <w:bookmarkStart w:id="7526" w:name="_Toc546"/>
            <w:bookmarkStart w:id="7527" w:name="_Toc30703"/>
            <w:bookmarkStart w:id="7528" w:name="_Toc15240"/>
            <w:bookmarkStart w:id="7529" w:name="_Toc25587"/>
            <w:r>
              <w:rPr>
                <w:rFonts w:hint="default" w:ascii="Times New Roman" w:hAnsi="Times New Roman" w:cs="Times New Roman"/>
                <w:color w:val="auto"/>
                <w:sz w:val="21"/>
                <w:szCs w:val="21"/>
                <w:highlight w:val="none"/>
              </w:rPr>
              <w:t>资料收集</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；遥感调查</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；调查样方、样线</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；调查点位、断面</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；专家和公众咨询法</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；其他□</w:t>
            </w:r>
            <w:bookmarkEnd w:id="7525"/>
            <w:bookmarkEnd w:id="7526"/>
            <w:bookmarkEnd w:id="7527"/>
            <w:bookmarkEnd w:id="7528"/>
            <w:bookmarkEnd w:id="7529"/>
          </w:p>
        </w:tc>
      </w:tr>
      <w:tr w14:paraId="390FC8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8" w:hRule="atLeast"/>
        </w:trPr>
        <w:tc>
          <w:tcPr>
            <w:tcW w:w="884" w:type="dxa"/>
            <w:vMerge w:val="continue"/>
            <w:tcBorders>
              <w:top w:val="nil"/>
              <w:bottom w:val="single" w:color="000000" w:sz="4" w:space="0"/>
              <w:right w:val="single" w:color="000000" w:sz="4" w:space="0"/>
            </w:tcBorders>
            <w:noWrap w:val="0"/>
            <w:vAlign w:val="center"/>
          </w:tcPr>
          <w:p w14:paraId="0849A179">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7E00DFED">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30" w:name="_Toc20975"/>
            <w:bookmarkStart w:id="7531" w:name="_Toc2674"/>
            <w:bookmarkStart w:id="7532" w:name="_Toc20016"/>
            <w:bookmarkStart w:id="7533" w:name="_Toc1784"/>
            <w:bookmarkStart w:id="7534" w:name="_Toc7029"/>
            <w:r>
              <w:rPr>
                <w:rFonts w:hint="default" w:ascii="Times New Roman" w:hAnsi="Times New Roman" w:cs="Times New Roman"/>
                <w:color w:val="auto"/>
                <w:sz w:val="21"/>
                <w:szCs w:val="21"/>
                <w:highlight w:val="none"/>
                <w:lang w:val="en-US" w:eastAsia="zh-CN"/>
              </w:rPr>
              <w:t>调查时间</w:t>
            </w:r>
            <w:bookmarkEnd w:id="7530"/>
            <w:bookmarkEnd w:id="7531"/>
            <w:bookmarkEnd w:id="7532"/>
            <w:bookmarkEnd w:id="7533"/>
            <w:bookmarkEnd w:id="7534"/>
          </w:p>
        </w:tc>
        <w:tc>
          <w:tcPr>
            <w:tcW w:w="6195" w:type="dxa"/>
            <w:gridSpan w:val="2"/>
            <w:tcBorders>
              <w:top w:val="single" w:color="000000" w:sz="4" w:space="0"/>
              <w:left w:val="single" w:color="000000" w:sz="4" w:space="0"/>
              <w:bottom w:val="single" w:color="000000" w:sz="4" w:space="0"/>
            </w:tcBorders>
            <w:noWrap w:val="0"/>
            <w:vAlign w:val="center"/>
          </w:tcPr>
          <w:p w14:paraId="1DCDFAA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35" w:name="_Toc5531"/>
            <w:bookmarkStart w:id="7536" w:name="_Toc10701"/>
            <w:bookmarkStart w:id="7537" w:name="_Toc16892"/>
            <w:bookmarkStart w:id="7538" w:name="_Toc21218"/>
            <w:bookmarkStart w:id="7539" w:name="_Toc12030"/>
            <w:r>
              <w:rPr>
                <w:rFonts w:hint="default" w:ascii="Times New Roman" w:hAnsi="Times New Roman" w:cs="Times New Roman"/>
                <w:color w:val="auto"/>
                <w:sz w:val="21"/>
                <w:szCs w:val="21"/>
                <w:highlight w:val="none"/>
              </w:rPr>
              <w:t>春季</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；夏季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；秋季</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；冬季□ 丰水期</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；枯水期</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；平水期□</w:t>
            </w:r>
            <w:bookmarkEnd w:id="7535"/>
            <w:bookmarkEnd w:id="7536"/>
            <w:bookmarkEnd w:id="7537"/>
            <w:bookmarkEnd w:id="7538"/>
            <w:bookmarkEnd w:id="7539"/>
          </w:p>
        </w:tc>
      </w:tr>
      <w:tr w14:paraId="0A4520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1" w:hRule="atLeast"/>
        </w:trPr>
        <w:tc>
          <w:tcPr>
            <w:tcW w:w="884" w:type="dxa"/>
            <w:vMerge w:val="continue"/>
            <w:tcBorders>
              <w:top w:val="nil"/>
              <w:bottom w:val="single" w:color="000000" w:sz="4" w:space="0"/>
              <w:right w:val="single" w:color="000000" w:sz="4" w:space="0"/>
            </w:tcBorders>
            <w:noWrap w:val="0"/>
            <w:vAlign w:val="center"/>
          </w:tcPr>
          <w:p w14:paraId="56BEF33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50DB15D7">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40" w:name="_Toc16818"/>
            <w:bookmarkStart w:id="7541" w:name="_Toc28206"/>
            <w:bookmarkStart w:id="7542" w:name="_Toc7661"/>
            <w:bookmarkStart w:id="7543" w:name="_Toc1930"/>
            <w:bookmarkStart w:id="7544" w:name="_Toc3185"/>
            <w:r>
              <w:rPr>
                <w:rFonts w:hint="default" w:ascii="Times New Roman" w:hAnsi="Times New Roman" w:cs="Times New Roman"/>
                <w:color w:val="auto"/>
                <w:sz w:val="21"/>
                <w:szCs w:val="21"/>
                <w:highlight w:val="none"/>
                <w:lang w:val="en-US" w:eastAsia="zh-CN"/>
              </w:rPr>
              <w:t>所在区域的</w:t>
            </w:r>
            <w:bookmarkEnd w:id="7540"/>
            <w:bookmarkEnd w:id="7541"/>
            <w:bookmarkEnd w:id="7542"/>
            <w:bookmarkEnd w:id="7543"/>
            <w:bookmarkEnd w:id="7544"/>
          </w:p>
          <w:p w14:paraId="21CEA814">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45" w:name="_Toc814"/>
            <w:bookmarkStart w:id="7546" w:name="_Toc4909"/>
            <w:bookmarkStart w:id="7547" w:name="_Toc27147"/>
            <w:bookmarkStart w:id="7548" w:name="_Toc18965"/>
            <w:bookmarkStart w:id="7549" w:name="_Toc25199"/>
            <w:r>
              <w:rPr>
                <w:rFonts w:hint="default" w:ascii="Times New Roman" w:hAnsi="Times New Roman" w:cs="Times New Roman"/>
                <w:color w:val="auto"/>
                <w:sz w:val="21"/>
                <w:szCs w:val="21"/>
                <w:highlight w:val="none"/>
                <w:lang w:val="en-US" w:eastAsia="zh-CN"/>
              </w:rPr>
              <w:t>生态问题</w:t>
            </w:r>
            <w:bookmarkEnd w:id="7545"/>
            <w:bookmarkEnd w:id="7546"/>
            <w:bookmarkEnd w:id="7547"/>
            <w:bookmarkEnd w:id="7548"/>
            <w:bookmarkEnd w:id="7549"/>
          </w:p>
        </w:tc>
        <w:tc>
          <w:tcPr>
            <w:tcW w:w="6195" w:type="dxa"/>
            <w:gridSpan w:val="2"/>
            <w:tcBorders>
              <w:top w:val="single" w:color="000000" w:sz="4" w:space="0"/>
              <w:left w:val="single" w:color="000000" w:sz="4" w:space="0"/>
              <w:bottom w:val="single" w:color="000000" w:sz="4" w:space="0"/>
            </w:tcBorders>
            <w:noWrap w:val="0"/>
            <w:vAlign w:val="center"/>
          </w:tcPr>
          <w:p w14:paraId="40F09B4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50" w:name="_Toc18497"/>
            <w:bookmarkStart w:id="7551" w:name="_Toc9078"/>
            <w:bookmarkStart w:id="7552" w:name="_Toc11249"/>
            <w:bookmarkStart w:id="7553" w:name="_Toc19719"/>
            <w:bookmarkStart w:id="7554" w:name="_Toc28337"/>
            <w:r>
              <w:rPr>
                <w:rFonts w:hint="default" w:ascii="Times New Roman" w:hAnsi="Times New Roman" w:cs="Times New Roman"/>
                <w:color w:val="auto"/>
                <w:sz w:val="21"/>
                <w:szCs w:val="21"/>
                <w:highlight w:val="none"/>
              </w:rPr>
              <w:t>水土流失</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；沙漠化</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；石漠化□；盐渍化□；生物入侵□；污染危害□；其他</w:t>
            </w:r>
            <w:r>
              <w:rPr>
                <w:rFonts w:hint="default" w:ascii="Times New Roman" w:hAnsi="Times New Roman" w:cs="Times New Roman"/>
                <w:color w:val="auto"/>
                <w:sz w:val="21"/>
                <w:szCs w:val="21"/>
                <w:highlight w:val="none"/>
              </w:rPr>
              <w:sym w:font="Wingdings 2" w:char="00A3"/>
            </w:r>
            <w:bookmarkEnd w:id="7550"/>
            <w:bookmarkEnd w:id="7551"/>
            <w:bookmarkEnd w:id="7552"/>
            <w:bookmarkEnd w:id="7553"/>
            <w:bookmarkEnd w:id="7554"/>
          </w:p>
        </w:tc>
      </w:tr>
      <w:tr w14:paraId="1955B7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884" w:type="dxa"/>
            <w:vMerge w:val="continue"/>
            <w:tcBorders>
              <w:top w:val="nil"/>
              <w:bottom w:val="single" w:color="000000" w:sz="4" w:space="0"/>
              <w:right w:val="single" w:color="000000" w:sz="4" w:space="0"/>
            </w:tcBorders>
            <w:noWrap w:val="0"/>
            <w:vAlign w:val="center"/>
          </w:tcPr>
          <w:p w14:paraId="1BA4D10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6815EBC3">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55" w:name="_Toc20371"/>
            <w:bookmarkStart w:id="7556" w:name="_Toc2515"/>
            <w:bookmarkStart w:id="7557" w:name="_Toc24964"/>
            <w:bookmarkStart w:id="7558" w:name="_Toc21712"/>
            <w:bookmarkStart w:id="7559" w:name="_Toc12919"/>
            <w:r>
              <w:rPr>
                <w:rFonts w:hint="default" w:ascii="Times New Roman" w:hAnsi="Times New Roman" w:cs="Times New Roman"/>
                <w:color w:val="auto"/>
                <w:sz w:val="21"/>
                <w:szCs w:val="21"/>
                <w:highlight w:val="none"/>
                <w:lang w:val="en-US" w:eastAsia="zh-CN"/>
              </w:rPr>
              <w:t>评价内容</w:t>
            </w:r>
            <w:bookmarkEnd w:id="7555"/>
            <w:bookmarkEnd w:id="7556"/>
            <w:bookmarkEnd w:id="7557"/>
            <w:bookmarkEnd w:id="7558"/>
            <w:bookmarkEnd w:id="7559"/>
          </w:p>
        </w:tc>
        <w:tc>
          <w:tcPr>
            <w:tcW w:w="6195" w:type="dxa"/>
            <w:gridSpan w:val="2"/>
            <w:tcBorders>
              <w:top w:val="single" w:color="000000" w:sz="4" w:space="0"/>
              <w:left w:val="single" w:color="000000" w:sz="4" w:space="0"/>
              <w:bottom w:val="single" w:color="000000" w:sz="4" w:space="0"/>
            </w:tcBorders>
            <w:noWrap w:val="0"/>
            <w:vAlign w:val="center"/>
          </w:tcPr>
          <w:p w14:paraId="741DEAD8">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60" w:name="_Toc27659"/>
            <w:bookmarkStart w:id="7561" w:name="_Toc14131"/>
            <w:bookmarkStart w:id="7562" w:name="_Toc19672"/>
            <w:bookmarkStart w:id="7563" w:name="_Toc23806"/>
            <w:bookmarkStart w:id="7564" w:name="_Toc32447"/>
            <w:r>
              <w:rPr>
                <w:rFonts w:hint="default" w:ascii="Times New Roman" w:hAnsi="Times New Roman" w:cs="Times New Roman"/>
                <w:color w:val="auto"/>
                <w:sz w:val="21"/>
                <w:szCs w:val="21"/>
                <w:highlight w:val="none"/>
              </w:rPr>
              <w:t>植被/植物群落</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；土地利用</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；生态系统</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；生物多样性</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；重要物种</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；生态敏感区</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；其他□</w:t>
            </w:r>
            <w:bookmarkEnd w:id="7560"/>
            <w:bookmarkEnd w:id="7561"/>
            <w:bookmarkEnd w:id="7562"/>
            <w:bookmarkEnd w:id="7563"/>
            <w:bookmarkEnd w:id="7564"/>
          </w:p>
        </w:tc>
      </w:tr>
      <w:tr w14:paraId="72D55C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884" w:type="dxa"/>
            <w:vMerge w:val="restart"/>
            <w:tcBorders>
              <w:top w:val="single" w:color="000000" w:sz="4" w:space="0"/>
              <w:bottom w:val="single" w:color="000000" w:sz="4" w:space="0"/>
              <w:right w:val="single" w:color="000000" w:sz="4" w:space="0"/>
            </w:tcBorders>
            <w:noWrap w:val="0"/>
            <w:vAlign w:val="center"/>
          </w:tcPr>
          <w:p w14:paraId="1559042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65" w:name="_Toc27087"/>
            <w:bookmarkStart w:id="7566" w:name="_Toc5899"/>
            <w:bookmarkStart w:id="7567" w:name="_Toc11193"/>
            <w:bookmarkStart w:id="7568" w:name="_Toc8888"/>
            <w:bookmarkStart w:id="7569" w:name="_Toc4246"/>
            <w:r>
              <w:rPr>
                <w:rFonts w:hint="default" w:ascii="Times New Roman" w:hAnsi="Times New Roman" w:cs="Times New Roman"/>
                <w:color w:val="auto"/>
                <w:sz w:val="21"/>
                <w:szCs w:val="21"/>
                <w:highlight w:val="none"/>
                <w:lang w:val="en-US" w:eastAsia="zh-CN"/>
              </w:rPr>
              <w:t>生态影响预测与 评价</w:t>
            </w:r>
            <w:bookmarkEnd w:id="7565"/>
            <w:bookmarkEnd w:id="7566"/>
            <w:bookmarkEnd w:id="7567"/>
            <w:bookmarkEnd w:id="7568"/>
            <w:bookmarkEnd w:id="7569"/>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6E4D841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70" w:name="_Toc25913"/>
            <w:bookmarkStart w:id="7571" w:name="_Toc9326"/>
            <w:bookmarkStart w:id="7572" w:name="_Toc20565"/>
            <w:bookmarkStart w:id="7573" w:name="_Toc19811"/>
            <w:bookmarkStart w:id="7574" w:name="_Toc11981"/>
            <w:r>
              <w:rPr>
                <w:rFonts w:hint="default" w:ascii="Times New Roman" w:hAnsi="Times New Roman" w:cs="Times New Roman"/>
                <w:color w:val="auto"/>
                <w:sz w:val="21"/>
                <w:szCs w:val="21"/>
                <w:highlight w:val="none"/>
                <w:lang w:val="en-US" w:eastAsia="zh-CN"/>
              </w:rPr>
              <w:t>评价方法</w:t>
            </w:r>
            <w:bookmarkEnd w:id="7570"/>
            <w:bookmarkEnd w:id="7571"/>
            <w:bookmarkEnd w:id="7572"/>
            <w:bookmarkEnd w:id="7573"/>
            <w:bookmarkEnd w:id="7574"/>
          </w:p>
        </w:tc>
        <w:tc>
          <w:tcPr>
            <w:tcW w:w="6195" w:type="dxa"/>
            <w:gridSpan w:val="2"/>
            <w:tcBorders>
              <w:top w:val="single" w:color="000000" w:sz="4" w:space="0"/>
              <w:left w:val="single" w:color="000000" w:sz="4" w:space="0"/>
              <w:bottom w:val="single" w:color="000000" w:sz="4" w:space="0"/>
            </w:tcBorders>
            <w:noWrap w:val="0"/>
            <w:vAlign w:val="center"/>
          </w:tcPr>
          <w:p w14:paraId="1EFF65B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75" w:name="_Toc30309"/>
            <w:bookmarkStart w:id="7576" w:name="_Toc17209"/>
            <w:bookmarkStart w:id="7577" w:name="_Toc4226"/>
            <w:bookmarkStart w:id="7578" w:name="_Toc11302"/>
            <w:bookmarkStart w:id="7579" w:name="_Toc19144"/>
            <w:r>
              <w:rPr>
                <w:rFonts w:hint="default" w:ascii="Times New Roman" w:hAnsi="Times New Roman" w:cs="Times New Roman"/>
                <w:color w:val="auto"/>
                <w:sz w:val="21"/>
                <w:szCs w:val="21"/>
                <w:highlight w:val="none"/>
              </w:rPr>
              <w:t>定性□；定性和定量</w:t>
            </w:r>
            <w:r>
              <w:rPr>
                <w:rFonts w:hint="default" w:ascii="Times New Roman" w:hAnsi="Times New Roman" w:cs="Times New Roman"/>
                <w:color w:val="auto"/>
                <w:sz w:val="21"/>
                <w:szCs w:val="21"/>
                <w:highlight w:val="none"/>
              </w:rPr>
              <w:sym w:font="Wingdings 2" w:char="0052"/>
            </w:r>
            <w:bookmarkEnd w:id="7575"/>
            <w:bookmarkEnd w:id="7576"/>
            <w:bookmarkEnd w:id="7577"/>
            <w:bookmarkEnd w:id="7578"/>
            <w:bookmarkEnd w:id="7579"/>
          </w:p>
        </w:tc>
      </w:tr>
      <w:tr w14:paraId="722DB55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884" w:type="dxa"/>
            <w:vMerge w:val="continue"/>
            <w:tcBorders>
              <w:top w:val="nil"/>
              <w:bottom w:val="single" w:color="000000" w:sz="4" w:space="0"/>
              <w:right w:val="single" w:color="000000" w:sz="4" w:space="0"/>
            </w:tcBorders>
            <w:noWrap w:val="0"/>
            <w:vAlign w:val="center"/>
          </w:tcPr>
          <w:p w14:paraId="68AA2738">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2CBFADB3">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80" w:name="_Toc19586"/>
            <w:bookmarkStart w:id="7581" w:name="_Toc4448"/>
            <w:bookmarkStart w:id="7582" w:name="_Toc3461"/>
            <w:bookmarkStart w:id="7583" w:name="_Toc14432"/>
            <w:bookmarkStart w:id="7584" w:name="_Toc29495"/>
            <w:r>
              <w:rPr>
                <w:rFonts w:hint="default" w:ascii="Times New Roman" w:hAnsi="Times New Roman" w:cs="Times New Roman"/>
                <w:color w:val="auto"/>
                <w:sz w:val="21"/>
                <w:szCs w:val="21"/>
                <w:highlight w:val="none"/>
                <w:lang w:val="en-US" w:eastAsia="zh-CN"/>
              </w:rPr>
              <w:t>评价内容</w:t>
            </w:r>
            <w:bookmarkEnd w:id="7580"/>
            <w:bookmarkEnd w:id="7581"/>
            <w:bookmarkEnd w:id="7582"/>
            <w:bookmarkEnd w:id="7583"/>
            <w:bookmarkEnd w:id="7584"/>
          </w:p>
        </w:tc>
        <w:tc>
          <w:tcPr>
            <w:tcW w:w="6195" w:type="dxa"/>
            <w:gridSpan w:val="2"/>
            <w:tcBorders>
              <w:top w:val="single" w:color="000000" w:sz="4" w:space="0"/>
              <w:left w:val="single" w:color="000000" w:sz="4" w:space="0"/>
              <w:bottom w:val="single" w:color="000000" w:sz="4" w:space="0"/>
            </w:tcBorders>
            <w:noWrap w:val="0"/>
            <w:vAlign w:val="center"/>
          </w:tcPr>
          <w:p w14:paraId="7C83696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585" w:name="_Toc26471"/>
            <w:bookmarkStart w:id="7586" w:name="_Toc27820"/>
            <w:bookmarkStart w:id="7587" w:name="_Toc2850"/>
            <w:bookmarkStart w:id="7588" w:name="_Toc13476"/>
            <w:bookmarkStart w:id="7589" w:name="_Toc19449"/>
            <w:r>
              <w:rPr>
                <w:rFonts w:hint="default" w:ascii="Times New Roman" w:hAnsi="Times New Roman" w:cs="Times New Roman"/>
                <w:color w:val="auto"/>
                <w:sz w:val="21"/>
                <w:szCs w:val="21"/>
                <w:highlight w:val="none"/>
              </w:rPr>
              <w:t>植被/植物群落</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；土地利用</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；生态系统</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；生物多样性</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；重要物种</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；生态敏感区</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；生物入侵风险□；其他□</w:t>
            </w:r>
            <w:bookmarkEnd w:id="7585"/>
            <w:bookmarkEnd w:id="7586"/>
            <w:bookmarkEnd w:id="7587"/>
            <w:bookmarkEnd w:id="7588"/>
            <w:bookmarkEnd w:id="7589"/>
          </w:p>
        </w:tc>
      </w:tr>
      <w:tr w14:paraId="6F94FF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84" w:type="dxa"/>
            <w:vMerge w:val="restart"/>
            <w:tcBorders>
              <w:top w:val="single" w:color="000000" w:sz="4" w:space="0"/>
              <w:bottom w:val="single" w:color="000000" w:sz="4" w:space="0"/>
              <w:right w:val="single" w:color="000000" w:sz="4" w:space="0"/>
            </w:tcBorders>
            <w:noWrap w:val="0"/>
            <w:vAlign w:val="center"/>
          </w:tcPr>
          <w:p w14:paraId="7919128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p w14:paraId="4DF4C83E">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90" w:name="_Toc23415"/>
            <w:bookmarkStart w:id="7591" w:name="_Toc16122"/>
            <w:bookmarkStart w:id="7592" w:name="_Toc27307"/>
            <w:bookmarkStart w:id="7593" w:name="_Toc14768"/>
            <w:bookmarkStart w:id="7594" w:name="_Toc10975"/>
            <w:r>
              <w:rPr>
                <w:rFonts w:hint="default" w:ascii="Times New Roman" w:hAnsi="Times New Roman" w:cs="Times New Roman"/>
                <w:color w:val="auto"/>
                <w:sz w:val="21"/>
                <w:szCs w:val="21"/>
                <w:highlight w:val="none"/>
                <w:lang w:val="en-US" w:eastAsia="zh-CN"/>
              </w:rPr>
              <w:t>生态保护对策措施</w:t>
            </w:r>
            <w:bookmarkEnd w:id="7590"/>
            <w:bookmarkEnd w:id="7591"/>
            <w:bookmarkEnd w:id="7592"/>
            <w:bookmarkEnd w:id="7593"/>
            <w:bookmarkEnd w:id="7594"/>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3C64DDDD">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595" w:name="_Toc4491"/>
            <w:bookmarkStart w:id="7596" w:name="_Toc31925"/>
            <w:bookmarkStart w:id="7597" w:name="_Toc32751"/>
            <w:bookmarkStart w:id="7598" w:name="_Toc13212"/>
            <w:bookmarkStart w:id="7599" w:name="_Toc17887"/>
            <w:r>
              <w:rPr>
                <w:rFonts w:hint="default" w:ascii="Times New Roman" w:hAnsi="Times New Roman" w:cs="Times New Roman"/>
                <w:color w:val="auto"/>
                <w:sz w:val="21"/>
                <w:szCs w:val="21"/>
                <w:highlight w:val="none"/>
                <w:lang w:val="en-US" w:eastAsia="zh-CN"/>
              </w:rPr>
              <w:t>对策措施</w:t>
            </w:r>
            <w:bookmarkEnd w:id="7595"/>
            <w:bookmarkEnd w:id="7596"/>
            <w:bookmarkEnd w:id="7597"/>
            <w:bookmarkEnd w:id="7598"/>
            <w:bookmarkEnd w:id="7599"/>
          </w:p>
        </w:tc>
        <w:tc>
          <w:tcPr>
            <w:tcW w:w="6195" w:type="dxa"/>
            <w:gridSpan w:val="2"/>
            <w:tcBorders>
              <w:top w:val="single" w:color="000000" w:sz="4" w:space="0"/>
              <w:left w:val="single" w:color="000000" w:sz="4" w:space="0"/>
              <w:bottom w:val="single" w:color="000000" w:sz="4" w:space="0"/>
            </w:tcBorders>
            <w:noWrap w:val="0"/>
            <w:vAlign w:val="center"/>
          </w:tcPr>
          <w:p w14:paraId="726D206A">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600" w:name="_Toc8476"/>
            <w:bookmarkStart w:id="7601" w:name="_Toc29936"/>
            <w:bookmarkStart w:id="7602" w:name="_Toc16423"/>
            <w:bookmarkStart w:id="7603" w:name="_Toc24489"/>
            <w:bookmarkStart w:id="7604" w:name="_Toc7644"/>
            <w:r>
              <w:rPr>
                <w:rFonts w:hint="default" w:ascii="Times New Roman" w:hAnsi="Times New Roman" w:cs="Times New Roman"/>
                <w:color w:val="auto"/>
                <w:sz w:val="21"/>
                <w:szCs w:val="21"/>
                <w:highlight w:val="none"/>
              </w:rPr>
              <w:t>避让</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；减缓</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；生态修复</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；生态补偿</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；科研□；其他□</w:t>
            </w:r>
            <w:bookmarkEnd w:id="7600"/>
            <w:bookmarkEnd w:id="7601"/>
            <w:bookmarkEnd w:id="7602"/>
            <w:bookmarkEnd w:id="7603"/>
            <w:bookmarkEnd w:id="7604"/>
          </w:p>
        </w:tc>
      </w:tr>
      <w:tr w14:paraId="398162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884" w:type="dxa"/>
            <w:vMerge w:val="continue"/>
            <w:tcBorders>
              <w:top w:val="nil"/>
              <w:bottom w:val="single" w:color="000000" w:sz="4" w:space="0"/>
              <w:right w:val="single" w:color="000000" w:sz="4" w:space="0"/>
            </w:tcBorders>
            <w:noWrap w:val="0"/>
            <w:vAlign w:val="center"/>
          </w:tcPr>
          <w:p w14:paraId="38E45ECA">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67111210">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605" w:name="_Toc28196"/>
            <w:bookmarkStart w:id="7606" w:name="_Toc32690"/>
            <w:bookmarkStart w:id="7607" w:name="_Toc22071"/>
            <w:bookmarkStart w:id="7608" w:name="_Toc24890"/>
            <w:bookmarkStart w:id="7609" w:name="_Toc6100"/>
            <w:r>
              <w:rPr>
                <w:rFonts w:hint="default" w:ascii="Times New Roman" w:hAnsi="Times New Roman" w:cs="Times New Roman"/>
                <w:color w:val="auto"/>
                <w:sz w:val="21"/>
                <w:szCs w:val="21"/>
                <w:highlight w:val="none"/>
                <w:lang w:val="en-US" w:eastAsia="zh-CN"/>
              </w:rPr>
              <w:t>生态监测计划</w:t>
            </w:r>
            <w:bookmarkEnd w:id="7605"/>
            <w:bookmarkEnd w:id="7606"/>
            <w:bookmarkEnd w:id="7607"/>
            <w:bookmarkEnd w:id="7608"/>
            <w:bookmarkEnd w:id="7609"/>
          </w:p>
        </w:tc>
        <w:tc>
          <w:tcPr>
            <w:tcW w:w="6195" w:type="dxa"/>
            <w:gridSpan w:val="2"/>
            <w:tcBorders>
              <w:top w:val="single" w:color="000000" w:sz="4" w:space="0"/>
              <w:left w:val="single" w:color="000000" w:sz="4" w:space="0"/>
              <w:bottom w:val="single" w:color="000000" w:sz="4" w:space="0"/>
            </w:tcBorders>
            <w:noWrap w:val="0"/>
            <w:vAlign w:val="center"/>
          </w:tcPr>
          <w:p w14:paraId="1388D9C4">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610" w:name="_Toc17148"/>
            <w:bookmarkStart w:id="7611" w:name="_Toc1935"/>
            <w:bookmarkStart w:id="7612" w:name="_Toc14593"/>
            <w:bookmarkStart w:id="7613" w:name="_Toc5106"/>
            <w:bookmarkStart w:id="7614" w:name="_Toc19059"/>
            <w:r>
              <w:rPr>
                <w:rFonts w:hint="default" w:ascii="Times New Roman" w:hAnsi="Times New Roman" w:cs="Times New Roman"/>
                <w:color w:val="auto"/>
                <w:sz w:val="21"/>
                <w:szCs w:val="21"/>
                <w:highlight w:val="none"/>
              </w:rPr>
              <w:t>全生命周期□；长期跟踪</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；常规</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；无□</w:t>
            </w:r>
            <w:bookmarkEnd w:id="7610"/>
            <w:bookmarkEnd w:id="7611"/>
            <w:bookmarkEnd w:id="7612"/>
            <w:bookmarkEnd w:id="7613"/>
            <w:bookmarkEnd w:id="7614"/>
          </w:p>
        </w:tc>
      </w:tr>
      <w:tr w14:paraId="2AE11BC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84" w:type="dxa"/>
            <w:vMerge w:val="continue"/>
            <w:tcBorders>
              <w:top w:val="nil"/>
              <w:bottom w:val="single" w:color="000000" w:sz="4" w:space="0"/>
              <w:right w:val="single" w:color="000000" w:sz="4" w:space="0"/>
            </w:tcBorders>
            <w:noWrap w:val="0"/>
            <w:vAlign w:val="center"/>
          </w:tcPr>
          <w:p w14:paraId="45445357">
            <w:pPr>
              <w:pStyle w:val="29"/>
              <w:suppressLineNumbers w:val="0"/>
              <w:bidi w:val="0"/>
              <w:spacing w:beforeAutospacing="0" w:afterAutospacing="0"/>
              <w:ind w:left="0" w:right="0"/>
              <w:outlineLvl w:val="9"/>
              <w:rPr>
                <w:rFonts w:hint="default" w:ascii="Times New Roman" w:hAnsi="Times New Roman" w:cs="Times New Roman"/>
                <w:color w:val="auto"/>
                <w:sz w:val="21"/>
                <w:szCs w:val="21"/>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noWrap w:val="0"/>
            <w:vAlign w:val="center"/>
          </w:tcPr>
          <w:p w14:paraId="4FB7E62F">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615" w:name="_Toc28357"/>
            <w:bookmarkStart w:id="7616" w:name="_Toc8216"/>
            <w:bookmarkStart w:id="7617" w:name="_Toc18459"/>
            <w:bookmarkStart w:id="7618" w:name="_Toc7873"/>
            <w:bookmarkStart w:id="7619" w:name="_Toc26686"/>
            <w:r>
              <w:rPr>
                <w:rFonts w:hint="default" w:ascii="Times New Roman" w:hAnsi="Times New Roman" w:cs="Times New Roman"/>
                <w:color w:val="auto"/>
                <w:sz w:val="21"/>
                <w:szCs w:val="21"/>
                <w:highlight w:val="none"/>
                <w:lang w:val="en-US" w:eastAsia="zh-CN"/>
              </w:rPr>
              <w:t>环境管理</w:t>
            </w:r>
            <w:bookmarkEnd w:id="7615"/>
            <w:bookmarkEnd w:id="7616"/>
            <w:bookmarkEnd w:id="7617"/>
            <w:bookmarkEnd w:id="7618"/>
            <w:bookmarkEnd w:id="7619"/>
          </w:p>
        </w:tc>
        <w:tc>
          <w:tcPr>
            <w:tcW w:w="6195" w:type="dxa"/>
            <w:gridSpan w:val="2"/>
            <w:tcBorders>
              <w:top w:val="single" w:color="000000" w:sz="4" w:space="0"/>
              <w:left w:val="single" w:color="000000" w:sz="4" w:space="0"/>
              <w:bottom w:val="single" w:color="000000" w:sz="4" w:space="0"/>
            </w:tcBorders>
            <w:noWrap w:val="0"/>
            <w:vAlign w:val="center"/>
          </w:tcPr>
          <w:p w14:paraId="72917683">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620" w:name="_Toc319"/>
            <w:bookmarkStart w:id="7621" w:name="_Toc8322"/>
            <w:bookmarkStart w:id="7622" w:name="_Toc6071"/>
            <w:bookmarkStart w:id="7623" w:name="_Toc23015"/>
            <w:bookmarkStart w:id="7624" w:name="_Toc3564"/>
            <w:r>
              <w:rPr>
                <w:rFonts w:hint="default" w:ascii="Times New Roman" w:hAnsi="Times New Roman" w:cs="Times New Roman"/>
                <w:color w:val="auto"/>
                <w:sz w:val="21"/>
                <w:szCs w:val="21"/>
                <w:highlight w:val="none"/>
              </w:rPr>
              <w:t>环境监理</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；环境影响后评价□；其他□</w:t>
            </w:r>
            <w:bookmarkEnd w:id="7620"/>
            <w:bookmarkEnd w:id="7621"/>
            <w:bookmarkEnd w:id="7622"/>
            <w:bookmarkEnd w:id="7623"/>
            <w:bookmarkEnd w:id="7624"/>
          </w:p>
        </w:tc>
      </w:tr>
      <w:tr w14:paraId="344AF6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884" w:type="dxa"/>
            <w:tcBorders>
              <w:top w:val="single" w:color="000000" w:sz="4" w:space="0"/>
              <w:bottom w:val="single" w:color="000000" w:sz="8" w:space="0"/>
              <w:right w:val="single" w:color="000000" w:sz="4" w:space="0"/>
            </w:tcBorders>
            <w:noWrap w:val="0"/>
            <w:vAlign w:val="center"/>
          </w:tcPr>
          <w:p w14:paraId="4836FF78">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625" w:name="_Toc15861"/>
            <w:bookmarkStart w:id="7626" w:name="_Toc13691"/>
            <w:bookmarkStart w:id="7627" w:name="_Toc445"/>
            <w:bookmarkStart w:id="7628" w:name="_Toc19354"/>
            <w:bookmarkStart w:id="7629" w:name="_Toc26931"/>
            <w:r>
              <w:rPr>
                <w:rFonts w:hint="default" w:ascii="Times New Roman" w:hAnsi="Times New Roman" w:cs="Times New Roman"/>
                <w:color w:val="auto"/>
                <w:sz w:val="21"/>
                <w:szCs w:val="21"/>
                <w:highlight w:val="none"/>
                <w:lang w:val="en-US" w:eastAsia="zh-CN"/>
              </w:rPr>
              <w:t>评价结论</w:t>
            </w:r>
            <w:bookmarkEnd w:id="7625"/>
            <w:bookmarkEnd w:id="7626"/>
            <w:bookmarkEnd w:id="7627"/>
            <w:bookmarkEnd w:id="7628"/>
            <w:bookmarkEnd w:id="7629"/>
          </w:p>
        </w:tc>
        <w:tc>
          <w:tcPr>
            <w:tcW w:w="1257" w:type="dxa"/>
            <w:tcBorders>
              <w:top w:val="single" w:color="000000" w:sz="4" w:space="0"/>
              <w:left w:val="single" w:color="000000" w:sz="4" w:space="0"/>
              <w:bottom w:val="single" w:color="000000" w:sz="8" w:space="0"/>
              <w:right w:val="single" w:color="000000" w:sz="4" w:space="0"/>
            </w:tcBorders>
            <w:noWrap w:val="0"/>
            <w:vAlign w:val="center"/>
          </w:tcPr>
          <w:p w14:paraId="71F55036">
            <w:pPr>
              <w:pStyle w:val="29"/>
              <w:suppressLineNumbers w:val="0"/>
              <w:bidi w:val="0"/>
              <w:spacing w:beforeAutospacing="0" w:afterAutospacing="0"/>
              <w:ind w:left="0" w:right="0"/>
              <w:rPr>
                <w:rFonts w:hint="default" w:ascii="Times New Roman" w:hAnsi="Times New Roman" w:cs="Times New Roman"/>
                <w:color w:val="auto"/>
                <w:sz w:val="21"/>
                <w:szCs w:val="21"/>
                <w:highlight w:val="none"/>
                <w:lang w:val="en-US" w:eastAsia="zh-CN"/>
              </w:rPr>
            </w:pPr>
            <w:bookmarkStart w:id="7630" w:name="_Toc1910"/>
            <w:bookmarkStart w:id="7631" w:name="_Toc1199"/>
            <w:bookmarkStart w:id="7632" w:name="_Toc9962"/>
            <w:bookmarkStart w:id="7633" w:name="_Toc6089"/>
            <w:bookmarkStart w:id="7634" w:name="_Toc224"/>
            <w:r>
              <w:rPr>
                <w:rFonts w:hint="default" w:ascii="Times New Roman" w:hAnsi="Times New Roman" w:cs="Times New Roman"/>
                <w:color w:val="auto"/>
                <w:sz w:val="21"/>
                <w:szCs w:val="21"/>
                <w:highlight w:val="none"/>
                <w:lang w:val="en-US" w:eastAsia="zh-CN"/>
              </w:rPr>
              <w:t>生态影响</w:t>
            </w:r>
            <w:bookmarkEnd w:id="7630"/>
            <w:bookmarkEnd w:id="7631"/>
            <w:bookmarkEnd w:id="7632"/>
            <w:bookmarkEnd w:id="7633"/>
            <w:bookmarkEnd w:id="7634"/>
          </w:p>
        </w:tc>
        <w:tc>
          <w:tcPr>
            <w:tcW w:w="6195" w:type="dxa"/>
            <w:gridSpan w:val="2"/>
            <w:tcBorders>
              <w:top w:val="single" w:color="000000" w:sz="4" w:space="0"/>
              <w:left w:val="single" w:color="000000" w:sz="4" w:space="0"/>
              <w:bottom w:val="single" w:color="000000" w:sz="8" w:space="0"/>
            </w:tcBorders>
            <w:noWrap w:val="0"/>
            <w:vAlign w:val="center"/>
          </w:tcPr>
          <w:p w14:paraId="062EECBE">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635" w:name="_Toc3154"/>
            <w:bookmarkStart w:id="7636" w:name="_Toc20187"/>
            <w:bookmarkStart w:id="7637" w:name="_Toc18324"/>
            <w:bookmarkStart w:id="7638" w:name="_Toc19204"/>
            <w:bookmarkStart w:id="7639" w:name="_Toc23831"/>
            <w:r>
              <w:rPr>
                <w:rFonts w:hint="default" w:ascii="Times New Roman" w:hAnsi="Times New Roman" w:cs="Times New Roman"/>
                <w:color w:val="auto"/>
                <w:sz w:val="21"/>
                <w:szCs w:val="21"/>
                <w:highlight w:val="none"/>
              </w:rPr>
              <w:t>可行</w:t>
            </w: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；不可行□</w:t>
            </w:r>
            <w:bookmarkEnd w:id="7635"/>
            <w:bookmarkEnd w:id="7636"/>
            <w:bookmarkEnd w:id="7637"/>
            <w:bookmarkEnd w:id="7638"/>
            <w:bookmarkEnd w:id="7639"/>
          </w:p>
        </w:tc>
      </w:tr>
      <w:tr w14:paraId="60702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8336" w:type="dxa"/>
            <w:gridSpan w:val="4"/>
            <w:tcBorders>
              <w:top w:val="single" w:color="000000" w:sz="8" w:space="0"/>
            </w:tcBorders>
            <w:noWrap w:val="0"/>
            <w:vAlign w:val="center"/>
          </w:tcPr>
          <w:p w14:paraId="0BCF17C5">
            <w:pPr>
              <w:pStyle w:val="29"/>
              <w:suppressLineNumbers w:val="0"/>
              <w:bidi w:val="0"/>
              <w:spacing w:beforeAutospacing="0" w:afterAutospacing="0"/>
              <w:ind w:left="0" w:right="0"/>
              <w:rPr>
                <w:rFonts w:hint="default" w:ascii="Times New Roman" w:hAnsi="Times New Roman" w:cs="Times New Roman"/>
                <w:color w:val="auto"/>
                <w:sz w:val="21"/>
                <w:szCs w:val="21"/>
                <w:highlight w:val="none"/>
              </w:rPr>
            </w:pPr>
            <w:bookmarkStart w:id="7640" w:name="_Toc23958"/>
            <w:bookmarkStart w:id="7641" w:name="_Toc21820"/>
            <w:bookmarkStart w:id="7642" w:name="_Toc15024"/>
            <w:bookmarkStart w:id="7643" w:name="_Toc13494"/>
            <w:bookmarkStart w:id="7644" w:name="_Toc16041"/>
            <w:r>
              <w:rPr>
                <w:rFonts w:hint="default" w:ascii="Times New Roman" w:hAnsi="Times New Roman" w:cs="Times New Roman"/>
                <w:color w:val="auto"/>
                <w:sz w:val="21"/>
                <w:szCs w:val="21"/>
                <w:highlight w:val="none"/>
              </w:rPr>
              <w:t xml:space="preserve">注： </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 xml:space="preserve"> 为勾选项 ，可√ ；</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tab/>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 xml:space="preserve"> 为内容填写项。</w:t>
            </w:r>
            <w:bookmarkEnd w:id="7640"/>
            <w:bookmarkEnd w:id="7641"/>
            <w:bookmarkEnd w:id="7642"/>
            <w:bookmarkEnd w:id="7643"/>
            <w:bookmarkEnd w:id="7644"/>
          </w:p>
        </w:tc>
      </w:tr>
    </w:tbl>
    <w:p w14:paraId="137C1570">
      <w:pPr>
        <w:pStyle w:val="30"/>
        <w:ind w:left="0" w:leftChars="0" w:firstLine="0" w:firstLineChars="0"/>
        <w:rPr>
          <w:rFonts w:hint="default" w:ascii="Times New Roman" w:hAnsi="Times New Roman" w:cs="Times New Roman"/>
          <w:color w:val="auto"/>
          <w:sz w:val="28"/>
          <w:szCs w:val="28"/>
          <w:highlight w:val="none"/>
          <w:lang w:val="en-US" w:eastAsia="zh-CN"/>
        </w:rPr>
        <w:sectPr>
          <w:headerReference r:id="rId2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4256D60">
      <w:pPr>
        <w:pStyle w:val="8"/>
        <w:pageBreakBefore w:val="0"/>
        <w:widowControl w:val="0"/>
        <w:kinsoku/>
        <w:wordWrap/>
        <w:overflowPunct/>
        <w:topLinePunct w:val="0"/>
        <w:autoSpaceDE/>
        <w:autoSpaceDN/>
        <w:bidi w:val="0"/>
        <w:adjustRightInd/>
        <w:snapToGrid/>
        <w:spacing w:line="312" w:lineRule="auto"/>
        <w:textAlignment w:val="auto"/>
        <w:rPr>
          <w:rFonts w:hint="eastAsia"/>
          <w:color w:val="auto"/>
          <w:highlight w:val="none"/>
          <w:lang w:val="en-US" w:eastAsia="zh-CN"/>
        </w:rPr>
      </w:pPr>
      <w:r>
        <w:rPr>
          <w:rFonts w:hint="eastAsia"/>
          <w:color w:val="auto"/>
          <w:highlight w:val="none"/>
          <w:lang w:val="en-US" w:eastAsia="zh-CN"/>
        </w:rPr>
        <w:t>附图</w:t>
      </w:r>
    </w:p>
    <w:p w14:paraId="365E91AE">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项目地理位置图</w:t>
      </w:r>
    </w:p>
    <w:p w14:paraId="79F1E06E">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水系图</w:t>
      </w:r>
    </w:p>
    <w:p w14:paraId="1B318EB4">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项目与宁夏生态功能区划位置关系图</w:t>
      </w:r>
    </w:p>
    <w:p w14:paraId="4D70BFE4">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项目与宁夏主体功能区位置关系图</w:t>
      </w:r>
    </w:p>
    <w:p w14:paraId="2F808DBF">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项目区域植被类型图</w:t>
      </w:r>
    </w:p>
    <w:p w14:paraId="275967A9">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lang w:eastAsia="zh-CN"/>
        </w:rPr>
        <w:t>项目与</w:t>
      </w:r>
      <w:r>
        <w:rPr>
          <w:rFonts w:hint="eastAsia"/>
          <w:color w:val="auto"/>
          <w:highlight w:val="none"/>
        </w:rPr>
        <w:t>环境保护目标</w:t>
      </w:r>
      <w:r>
        <w:rPr>
          <w:rFonts w:hint="eastAsia"/>
          <w:color w:val="auto"/>
          <w:highlight w:val="none"/>
          <w:lang w:eastAsia="zh-CN"/>
        </w:rPr>
        <w:t>关系</w:t>
      </w:r>
      <w:r>
        <w:rPr>
          <w:rFonts w:hint="eastAsia"/>
          <w:color w:val="auto"/>
          <w:highlight w:val="none"/>
        </w:rPr>
        <w:t>分布图</w:t>
      </w:r>
    </w:p>
    <w:p w14:paraId="3AD9EA31">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工程总平面布置图</w:t>
      </w:r>
    </w:p>
    <w:p w14:paraId="2FEBC6F7">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eastAsiaTheme="minorEastAsia"/>
          <w:color w:val="auto"/>
          <w:highlight w:val="none"/>
          <w:lang w:eastAsia="zh-CN"/>
        </w:rPr>
      </w:pPr>
      <w:r>
        <w:rPr>
          <w:rFonts w:hint="eastAsia"/>
          <w:color w:val="auto"/>
          <w:highlight w:val="none"/>
          <w:lang w:eastAsia="zh-CN"/>
        </w:rPr>
        <w:t>施工营地位置示意图</w:t>
      </w:r>
    </w:p>
    <w:p w14:paraId="2DD47D2B">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eastAsiaTheme="minorEastAsia"/>
          <w:color w:val="auto"/>
          <w:highlight w:val="none"/>
          <w:lang w:eastAsia="zh-CN"/>
        </w:rPr>
      </w:pPr>
      <w:r>
        <w:rPr>
          <w:rFonts w:hint="eastAsia" w:eastAsiaTheme="minorEastAsia"/>
          <w:color w:val="auto"/>
          <w:highlight w:val="none"/>
          <w:lang w:eastAsia="zh-CN"/>
        </w:rPr>
        <w:t>石头峡岘水库清淤工程及临时道路平面布置图</w:t>
      </w:r>
    </w:p>
    <w:p w14:paraId="65C14F3B">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与生态保护红线位置关系图</w:t>
      </w:r>
    </w:p>
    <w:p w14:paraId="71295D02">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项目环境现状监测点位图</w:t>
      </w:r>
    </w:p>
    <w:p w14:paraId="66BFED52">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生态监测布点图</w:t>
      </w:r>
    </w:p>
    <w:p w14:paraId="7E71E6FB">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lang w:eastAsia="zh-CN"/>
        </w:rPr>
      </w:pPr>
      <w:r>
        <w:rPr>
          <w:rFonts w:hint="eastAsia"/>
          <w:color w:val="auto"/>
          <w:highlight w:val="none"/>
          <w:lang w:eastAsia="zh-CN"/>
        </w:rPr>
        <w:t>样方、样线点位图</w:t>
      </w:r>
    </w:p>
    <w:p w14:paraId="7E881385">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lang w:eastAsia="zh-CN"/>
        </w:rPr>
      </w:pPr>
      <w:r>
        <w:rPr>
          <w:rFonts w:hint="eastAsia"/>
          <w:color w:val="auto"/>
          <w:highlight w:val="none"/>
          <w:lang w:eastAsia="zh-CN"/>
        </w:rPr>
        <w:t>土地利用现状图</w:t>
      </w:r>
    </w:p>
    <w:p w14:paraId="2F5F1CC4">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lang w:eastAsia="zh-CN"/>
        </w:rPr>
      </w:pPr>
      <w:r>
        <w:rPr>
          <w:rFonts w:hint="eastAsia"/>
          <w:color w:val="auto"/>
          <w:highlight w:val="none"/>
          <w:lang w:eastAsia="zh-CN"/>
        </w:rPr>
        <w:t>植被覆盖度空间分布图</w:t>
      </w:r>
    </w:p>
    <w:p w14:paraId="3CC78A5D">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lang w:eastAsia="zh-CN"/>
        </w:rPr>
      </w:pPr>
      <w:r>
        <w:rPr>
          <w:rFonts w:hint="eastAsia"/>
          <w:color w:val="auto"/>
          <w:highlight w:val="none"/>
          <w:lang w:eastAsia="zh-CN"/>
        </w:rPr>
        <w:t>生态系统类型图</w:t>
      </w:r>
    </w:p>
    <w:p w14:paraId="43E22DDC">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lang w:eastAsia="zh-CN"/>
        </w:rPr>
      </w:pPr>
      <w:r>
        <w:rPr>
          <w:rFonts w:hint="eastAsia"/>
          <w:color w:val="auto"/>
          <w:highlight w:val="none"/>
          <w:lang w:eastAsia="zh-CN"/>
        </w:rPr>
        <w:t>生物量空间分布图</w:t>
      </w:r>
    </w:p>
    <w:p w14:paraId="170F9AB8">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lang w:eastAsia="zh-CN"/>
        </w:rPr>
      </w:pPr>
      <w:r>
        <w:rPr>
          <w:rFonts w:hint="eastAsia"/>
          <w:color w:val="auto"/>
          <w:highlight w:val="none"/>
          <w:lang w:eastAsia="zh-CN"/>
        </w:rPr>
        <w:t>生态保护措施平面布置图</w:t>
      </w:r>
    </w:p>
    <w:p w14:paraId="107F2091">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lang w:eastAsia="zh-CN"/>
        </w:rPr>
      </w:pPr>
      <w:r>
        <w:rPr>
          <w:rFonts w:hint="eastAsia"/>
          <w:color w:val="auto"/>
          <w:highlight w:val="none"/>
          <w:lang w:eastAsia="zh-CN"/>
        </w:rPr>
        <w:t>生态保护措施设计图</w:t>
      </w:r>
    </w:p>
    <w:p w14:paraId="1000F460">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项目与</w:t>
      </w:r>
      <w:r>
        <w:rPr>
          <w:rFonts w:hint="eastAsia"/>
          <w:color w:val="auto"/>
          <w:highlight w:val="none"/>
          <w:lang w:eastAsia="zh-CN"/>
        </w:rPr>
        <w:t>固原</w:t>
      </w:r>
      <w:r>
        <w:rPr>
          <w:rFonts w:hint="eastAsia"/>
          <w:color w:val="auto"/>
          <w:highlight w:val="none"/>
        </w:rPr>
        <w:t>市生态保护红线位置关系图</w:t>
      </w:r>
    </w:p>
    <w:p w14:paraId="09D8E784">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项目与</w:t>
      </w:r>
      <w:r>
        <w:rPr>
          <w:rFonts w:hint="eastAsia"/>
          <w:color w:val="auto"/>
          <w:highlight w:val="none"/>
          <w:lang w:eastAsia="zh-CN"/>
        </w:rPr>
        <w:t>固原</w:t>
      </w:r>
      <w:r>
        <w:rPr>
          <w:rFonts w:hint="eastAsia"/>
          <w:color w:val="auto"/>
          <w:highlight w:val="none"/>
        </w:rPr>
        <w:t>市大气环境分区管控位置关系图</w:t>
      </w:r>
    </w:p>
    <w:p w14:paraId="568FD3AE">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项目与</w:t>
      </w:r>
      <w:r>
        <w:rPr>
          <w:rFonts w:hint="eastAsia"/>
          <w:color w:val="auto"/>
          <w:highlight w:val="none"/>
          <w:lang w:eastAsia="zh-CN"/>
        </w:rPr>
        <w:t>固原</w:t>
      </w:r>
      <w:r>
        <w:rPr>
          <w:rFonts w:hint="eastAsia"/>
          <w:color w:val="auto"/>
          <w:highlight w:val="none"/>
        </w:rPr>
        <w:t>市水环境分区管控位置关系图</w:t>
      </w:r>
    </w:p>
    <w:p w14:paraId="180E1502">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项目与</w:t>
      </w:r>
      <w:r>
        <w:rPr>
          <w:rFonts w:hint="eastAsia"/>
          <w:color w:val="auto"/>
          <w:highlight w:val="none"/>
          <w:lang w:eastAsia="zh-CN"/>
        </w:rPr>
        <w:t>固原</w:t>
      </w:r>
      <w:r>
        <w:rPr>
          <w:rFonts w:hint="eastAsia"/>
          <w:color w:val="auto"/>
          <w:highlight w:val="none"/>
        </w:rPr>
        <w:t>市土壤风险分区管控位置关系图</w:t>
      </w:r>
    </w:p>
    <w:p w14:paraId="521A353C">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rFonts w:hint="eastAsia"/>
          <w:color w:val="auto"/>
          <w:highlight w:val="none"/>
        </w:rPr>
      </w:pPr>
      <w:r>
        <w:rPr>
          <w:rFonts w:hint="eastAsia"/>
          <w:color w:val="auto"/>
          <w:highlight w:val="none"/>
        </w:rPr>
        <w:t>项目与</w:t>
      </w:r>
      <w:r>
        <w:rPr>
          <w:rFonts w:hint="eastAsia"/>
          <w:color w:val="auto"/>
          <w:highlight w:val="none"/>
          <w:lang w:eastAsia="zh-CN"/>
        </w:rPr>
        <w:t>固原</w:t>
      </w:r>
      <w:r>
        <w:rPr>
          <w:rFonts w:hint="eastAsia"/>
          <w:color w:val="auto"/>
          <w:highlight w:val="none"/>
        </w:rPr>
        <w:t>市环境管控单元分布关系图</w:t>
      </w:r>
    </w:p>
    <w:p w14:paraId="3322F147">
      <w:pPr>
        <w:pageBreakBefore w:val="0"/>
        <w:widowControl w:val="0"/>
        <w:numPr>
          <w:ilvl w:val="0"/>
          <w:numId w:val="10"/>
        </w:numPr>
        <w:kinsoku/>
        <w:wordWrap/>
        <w:overflowPunct/>
        <w:topLinePunct w:val="0"/>
        <w:autoSpaceDE/>
        <w:autoSpaceDN/>
        <w:bidi w:val="0"/>
        <w:adjustRightInd/>
        <w:snapToGrid/>
        <w:spacing w:line="312" w:lineRule="auto"/>
        <w:ind w:left="0" w:leftChars="0" w:firstLine="400" w:firstLineChars="0"/>
        <w:textAlignment w:val="auto"/>
        <w:rPr>
          <w:color w:val="auto"/>
          <w:highlight w:val="none"/>
        </w:rPr>
      </w:pPr>
      <w:r>
        <w:rPr>
          <w:rFonts w:hint="eastAsia"/>
          <w:color w:val="auto"/>
          <w:highlight w:val="none"/>
        </w:rPr>
        <w:t>项目与</w:t>
      </w:r>
      <w:r>
        <w:rPr>
          <w:rFonts w:hint="eastAsia"/>
          <w:color w:val="auto"/>
          <w:highlight w:val="none"/>
          <w:lang w:eastAsia="zh-CN"/>
        </w:rPr>
        <w:t>固原</w:t>
      </w:r>
      <w:r>
        <w:rPr>
          <w:rFonts w:hint="eastAsia"/>
          <w:color w:val="auto"/>
          <w:highlight w:val="none"/>
        </w:rPr>
        <w:t>市生态空间分布位置关系图</w:t>
      </w:r>
    </w:p>
    <w:p w14:paraId="5147E3CA">
      <w:pPr>
        <w:pStyle w:val="8"/>
        <w:pageBreakBefore w:val="0"/>
        <w:widowControl w:val="0"/>
        <w:kinsoku/>
        <w:wordWrap/>
        <w:overflowPunct/>
        <w:topLinePunct w:val="0"/>
        <w:autoSpaceDE/>
        <w:autoSpaceDN/>
        <w:bidi w:val="0"/>
        <w:adjustRightInd/>
        <w:snapToGrid/>
        <w:spacing w:line="312" w:lineRule="auto"/>
        <w:textAlignment w:val="auto"/>
        <w:rPr>
          <w:rFonts w:hint="eastAsia"/>
          <w:color w:val="auto"/>
          <w:highlight w:val="none"/>
          <w:lang w:val="en-US" w:eastAsia="zh-CN"/>
        </w:rPr>
      </w:pPr>
      <w:r>
        <w:rPr>
          <w:rFonts w:hint="eastAsia"/>
          <w:color w:val="auto"/>
          <w:highlight w:val="none"/>
          <w:lang w:val="en-US" w:eastAsia="zh-CN"/>
        </w:rPr>
        <w:t>附件</w:t>
      </w:r>
    </w:p>
    <w:p w14:paraId="1794D824">
      <w:pPr>
        <w:pageBreakBefore w:val="0"/>
        <w:widowControl w:val="0"/>
        <w:numPr>
          <w:ilvl w:val="0"/>
          <w:numId w:val="11"/>
        </w:numPr>
        <w:kinsoku/>
        <w:wordWrap/>
        <w:overflowPunct/>
        <w:topLinePunct w:val="0"/>
        <w:autoSpaceDE/>
        <w:autoSpaceDN/>
        <w:bidi w:val="0"/>
        <w:adjustRightInd/>
        <w:snapToGrid/>
        <w:spacing w:line="312" w:lineRule="auto"/>
        <w:textAlignment w:val="auto"/>
        <w:rPr>
          <w:rFonts w:hint="eastAsia"/>
          <w:color w:val="auto"/>
          <w:highlight w:val="none"/>
          <w:lang w:val="en-US" w:eastAsia="zh-CN"/>
        </w:rPr>
      </w:pPr>
      <w:r>
        <w:rPr>
          <w:rFonts w:hint="eastAsia"/>
          <w:color w:val="auto"/>
          <w:highlight w:val="none"/>
          <w:lang w:val="en-US" w:eastAsia="zh-CN"/>
        </w:rPr>
        <w:t>委托书</w:t>
      </w:r>
    </w:p>
    <w:p w14:paraId="3D97724D">
      <w:pPr>
        <w:pageBreakBefore w:val="0"/>
        <w:widowControl w:val="0"/>
        <w:numPr>
          <w:ilvl w:val="0"/>
          <w:numId w:val="11"/>
        </w:numPr>
        <w:kinsoku/>
        <w:wordWrap/>
        <w:overflowPunct/>
        <w:topLinePunct w:val="0"/>
        <w:autoSpaceDE/>
        <w:autoSpaceDN/>
        <w:bidi w:val="0"/>
        <w:adjustRightInd/>
        <w:snapToGrid/>
        <w:spacing w:line="312" w:lineRule="auto"/>
        <w:textAlignment w:val="auto"/>
        <w:rPr>
          <w:rFonts w:hint="default"/>
          <w:color w:val="auto"/>
          <w:highlight w:val="none"/>
          <w:lang w:val="en-US" w:eastAsia="zh-CN"/>
        </w:rPr>
      </w:pPr>
      <w:r>
        <w:rPr>
          <w:rFonts w:hint="eastAsia"/>
          <w:color w:val="auto"/>
          <w:highlight w:val="none"/>
          <w:lang w:val="en-US" w:eastAsia="zh-CN"/>
        </w:rPr>
        <w:t>设计批复</w:t>
      </w:r>
    </w:p>
    <w:p w14:paraId="372FE128">
      <w:pPr>
        <w:pageBreakBefore w:val="0"/>
        <w:widowControl w:val="0"/>
        <w:numPr>
          <w:ilvl w:val="0"/>
          <w:numId w:val="11"/>
        </w:numPr>
        <w:kinsoku/>
        <w:wordWrap/>
        <w:overflowPunct/>
        <w:topLinePunct w:val="0"/>
        <w:autoSpaceDE/>
        <w:autoSpaceDN/>
        <w:bidi w:val="0"/>
        <w:adjustRightInd/>
        <w:snapToGrid/>
        <w:spacing w:line="312" w:lineRule="auto"/>
        <w:textAlignment w:val="auto"/>
        <w:rPr>
          <w:rFonts w:hint="default"/>
          <w:color w:val="auto"/>
          <w:highlight w:val="none"/>
          <w:lang w:val="en-US" w:eastAsia="zh-CN"/>
        </w:rPr>
      </w:pPr>
      <w:r>
        <w:rPr>
          <w:rFonts w:hint="eastAsia"/>
          <w:color w:val="auto"/>
          <w:highlight w:val="none"/>
          <w:lang w:val="en-US" w:eastAsia="zh-CN"/>
        </w:rPr>
        <w:t>用地预审</w:t>
      </w:r>
    </w:p>
    <w:p w14:paraId="6BCC630F">
      <w:pPr>
        <w:pageBreakBefore w:val="0"/>
        <w:widowControl w:val="0"/>
        <w:numPr>
          <w:ilvl w:val="0"/>
          <w:numId w:val="11"/>
        </w:numPr>
        <w:kinsoku/>
        <w:wordWrap/>
        <w:overflowPunct/>
        <w:topLinePunct w:val="0"/>
        <w:autoSpaceDE/>
        <w:autoSpaceDN/>
        <w:bidi w:val="0"/>
        <w:adjustRightInd/>
        <w:snapToGrid/>
        <w:spacing w:line="312" w:lineRule="auto"/>
        <w:textAlignment w:val="auto"/>
        <w:rPr>
          <w:rFonts w:hint="default"/>
          <w:color w:val="auto"/>
          <w:highlight w:val="none"/>
          <w:lang w:val="en-US" w:eastAsia="zh-CN"/>
        </w:rPr>
      </w:pPr>
      <w:r>
        <w:rPr>
          <w:rFonts w:hint="eastAsia"/>
          <w:color w:val="auto"/>
          <w:highlight w:val="none"/>
          <w:lang w:val="en-US" w:eastAsia="zh-CN"/>
        </w:rPr>
        <w:t>土壤、底泥、噪声监测报告</w:t>
      </w:r>
    </w:p>
    <w:p w14:paraId="6D10F6EC">
      <w:pPr>
        <w:pageBreakBefore w:val="0"/>
        <w:widowControl w:val="0"/>
        <w:numPr>
          <w:ilvl w:val="0"/>
          <w:numId w:val="11"/>
        </w:numPr>
        <w:kinsoku/>
        <w:wordWrap/>
        <w:overflowPunct/>
        <w:topLinePunct w:val="0"/>
        <w:autoSpaceDE/>
        <w:autoSpaceDN/>
        <w:bidi w:val="0"/>
        <w:adjustRightInd/>
        <w:snapToGrid/>
        <w:spacing w:line="312" w:lineRule="auto"/>
        <w:textAlignment w:val="auto"/>
        <w:rPr>
          <w:rFonts w:hint="default"/>
          <w:color w:val="auto"/>
          <w:highlight w:val="none"/>
          <w:lang w:val="en-US" w:eastAsia="zh-CN"/>
        </w:rPr>
      </w:pPr>
      <w:r>
        <w:rPr>
          <w:rFonts w:hint="eastAsia"/>
          <w:color w:val="auto"/>
          <w:highlight w:val="none"/>
          <w:lang w:val="en-US" w:eastAsia="zh-CN"/>
        </w:rPr>
        <w:t>地下水监测报告</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10022FF" w:usb1="C000E47F" w:usb2="00000029" w:usb3="00000000" w:csb0="200001DF" w:csb1="2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6"/>
    <w:family w:val="auto"/>
    <w:pitch w:val="default"/>
    <w:sig w:usb0="00000000" w:usb1="00000000" w:usb2="00000000" w:usb3="00000000" w:csb0="00040000" w:csb1="00000000"/>
  </w:font>
  <w:font w:name="var(--dsw-font-markdown-bas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677B2">
    <w:pPr>
      <w:pStyle w:val="1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2CDB6">
                          <w:pPr>
                            <w:pStyle w:val="18"/>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E3hszAgAAZ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OE3hszAgAAZAQAAA4AAAAAAAAAAQAgAAAAHwEAAGRycy9lMm9Eb2MueG1sUEsF&#10;BgAAAAAGAAYAWQEAAMQFAAAAAA==&#10;">
              <v:fill on="f" focussize="0,0"/>
              <v:stroke on="f" weight="0.5pt"/>
              <v:imagedata o:title=""/>
              <o:lock v:ext="edit" aspectratio="f"/>
              <v:textbox inset="0mm,0mm,0mm,0mm" style="mso-fit-shape-to-text:t;">
                <w:txbxContent>
                  <w:p w14:paraId="5F02CDB6">
                    <w:pPr>
                      <w:pStyle w:val="18"/>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3FE99">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9BAE6">
    <w:pPr>
      <w:pStyle w:val="18"/>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01CDA">
                          <w:pPr>
                            <w:pStyle w:val="18"/>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HracQzAgAAZA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HracQzAgAAZAQAAA4AAAAAAAAAAQAgAAAAHwEAAGRycy9lMm9Eb2MueG1sUEsF&#10;BgAAAAAGAAYAWQEAAMQFAAAAAA==&#10;">
              <v:fill on="f" focussize="0,0"/>
              <v:stroke on="f" weight="0.5pt"/>
              <v:imagedata o:title=""/>
              <o:lock v:ext="edit" aspectratio="f"/>
              <v:textbox inset="0mm,0mm,0mm,0mm" style="mso-fit-shape-to-text:t;">
                <w:txbxContent>
                  <w:p w14:paraId="0E201CDA">
                    <w:pPr>
                      <w:pStyle w:val="18"/>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52A30">
    <w:pPr>
      <w:pStyle w:val="18"/>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6A50E">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5E6A50E">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437AA">
    <w:pPr>
      <w:pStyle w:val="1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E403BF">
                          <w:pPr>
                            <w:pStyle w:val="18"/>
                            <w:ind w:firstLine="360"/>
                            <w:rPr>
                              <w:rFonts w:eastAsia="等线"/>
                            </w:rPr>
                          </w:pPr>
                          <w:r>
                            <w:rPr>
                              <w:rFonts w:eastAsia="等线"/>
                            </w:rPr>
                            <w:t xml:space="preserve">— </w:t>
                          </w:r>
                          <w:r>
                            <w:rPr>
                              <w:rFonts w:eastAsia="等线"/>
                            </w:rPr>
                            <w:fldChar w:fldCharType="begin"/>
                          </w:r>
                          <w:r>
                            <w:rPr>
                              <w:rFonts w:eastAsia="等线"/>
                            </w:rPr>
                            <w:instrText xml:space="preserve"> PAGE  \* MERGEFORMAT </w:instrText>
                          </w:r>
                          <w:r>
                            <w:rPr>
                              <w:rFonts w:eastAsia="等线"/>
                            </w:rPr>
                            <w:fldChar w:fldCharType="separate"/>
                          </w:r>
                          <w:r>
                            <w:rPr>
                              <w:rFonts w:eastAsia="等线"/>
                            </w:rPr>
                            <w:t>7</w:t>
                          </w:r>
                          <w:r>
                            <w:rPr>
                              <w:rFonts w:eastAsia="等线"/>
                            </w:rPr>
                            <w:fldChar w:fldCharType="end"/>
                          </w:r>
                          <w:r>
                            <w:rPr>
                              <w:rFonts w:eastAsia="等线"/>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9Jb9EzAgAAZQQAAA4AAAAAAAAAAQAgAAAAHwEAAGRycy9lMm9Eb2MueG1sUEsF&#10;BgAAAAAGAAYAWQEAAMQFAAAAAA==&#10;">
              <v:fill on="f" focussize="0,0"/>
              <v:stroke on="f" weight="0.5pt"/>
              <v:imagedata o:title=""/>
              <o:lock v:ext="edit" aspectratio="f"/>
              <v:textbox inset="0mm,0mm,0mm,0mm" style="mso-fit-shape-to-text:t;">
                <w:txbxContent>
                  <w:p w14:paraId="07E403BF">
                    <w:pPr>
                      <w:pStyle w:val="18"/>
                      <w:ind w:firstLine="360"/>
                      <w:rPr>
                        <w:rFonts w:eastAsia="等线"/>
                      </w:rPr>
                    </w:pPr>
                    <w:r>
                      <w:rPr>
                        <w:rFonts w:eastAsia="等线"/>
                      </w:rPr>
                      <w:t xml:space="preserve">— </w:t>
                    </w:r>
                    <w:r>
                      <w:rPr>
                        <w:rFonts w:eastAsia="等线"/>
                      </w:rPr>
                      <w:fldChar w:fldCharType="begin"/>
                    </w:r>
                    <w:r>
                      <w:rPr>
                        <w:rFonts w:eastAsia="等线"/>
                      </w:rPr>
                      <w:instrText xml:space="preserve"> PAGE  \* MERGEFORMAT </w:instrText>
                    </w:r>
                    <w:r>
                      <w:rPr>
                        <w:rFonts w:eastAsia="等线"/>
                      </w:rPr>
                      <w:fldChar w:fldCharType="separate"/>
                    </w:r>
                    <w:r>
                      <w:rPr>
                        <w:rFonts w:eastAsia="等线"/>
                      </w:rPr>
                      <w:t>7</w:t>
                    </w:r>
                    <w:r>
                      <w:rPr>
                        <w:rFonts w:eastAsia="等线"/>
                      </w:rPr>
                      <w:fldChar w:fldCharType="end"/>
                    </w:r>
                    <w:r>
                      <w:rPr>
                        <w:rFonts w:eastAsia="等线"/>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806D">
    <w:pPr>
      <w:pStyle w:val="18"/>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2EF341">
                          <w:pPr>
                            <w:pStyle w:val="18"/>
                            <w:jc w:val="center"/>
                          </w:pPr>
                          <w:r>
                            <w:t xml:space="preserve">— </w:t>
                          </w:r>
                          <w:r>
                            <w:fldChar w:fldCharType="begin"/>
                          </w:r>
                          <w:r>
                            <w:instrText xml:space="preserve"> PAGE  \* MERGEFORMAT </w:instrText>
                          </w:r>
                          <w:r>
                            <w:fldChar w:fldCharType="separate"/>
                          </w:r>
                          <w:r>
                            <w:t>174</w:t>
                          </w:r>
                          <w:r>
                            <w:fldChar w:fldCharType="end"/>
                          </w:r>
                          <w:r>
                            <w:t xml:space="preserve"> —</w:t>
                          </w:r>
                        </w:p>
                      </w:txbxContent>
                    </wps:txbx>
                    <wps:bodyPr wrap="none" lIns="0" tIns="0" rIns="0" bIns="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ZyTnFzAEAAJ0DAAAOAAAAAAAAAAEAIAAAAB4BAABkcnMvZTJv&#10;RG9jLnhtbFBLBQYAAAAABgAGAFkBAABcBQAAAAA=&#10;">
              <v:fill on="f" focussize="0,0"/>
              <v:stroke on="f"/>
              <v:imagedata o:title=""/>
              <o:lock v:ext="edit" aspectratio="f"/>
              <v:textbox inset="0mm,0mm,0mm,0mm" style="mso-fit-shape-to-text:t;">
                <w:txbxContent>
                  <w:p w14:paraId="222EF341">
                    <w:pPr>
                      <w:pStyle w:val="18"/>
                      <w:jc w:val="center"/>
                    </w:pPr>
                    <w:r>
                      <w:t xml:space="preserve">— </w:t>
                    </w:r>
                    <w:r>
                      <w:fldChar w:fldCharType="begin"/>
                    </w:r>
                    <w:r>
                      <w:instrText xml:space="preserve"> PAGE  \* MERGEFORMAT </w:instrText>
                    </w:r>
                    <w:r>
                      <w:fldChar w:fldCharType="separate"/>
                    </w:r>
                    <w:r>
                      <w:t>174</w:t>
                    </w:r>
                    <w:r>
                      <w:fldChar w:fldCharType="end"/>
                    </w:r>
                    <w:r>
                      <w:t xml:space="preserve"> —</w:t>
                    </w:r>
                  </w:p>
                </w:txbxContent>
              </v:textbox>
            </v:shape>
          </w:pict>
        </mc:Fallback>
      </mc:AlternateContent>
    </w:r>
  </w:p>
  <w:p w14:paraId="799B6FAC">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65A8C">
    <w:pPr>
      <w:pStyle w:val="20"/>
      <w:ind w:left="0" w:leftChars="0" w:firstLine="0" w:firstLineChars="0"/>
      <w:rPr>
        <w:rFonts w:hint="default" w:eastAsia="宋体"/>
        <w:lang w:val="en-US" w:eastAsia="zh-CN"/>
      </w:rPr>
    </w:pPr>
    <w:r>
      <w:rPr>
        <w:rFonts w:hint="eastAsia"/>
        <w:lang w:eastAsia="zh-CN"/>
      </w:rPr>
      <w:t>彭阳县茹河（小河段）河道治理工程</w:t>
    </w:r>
    <w:r>
      <w:rPr>
        <w:rFonts w:hint="eastAsia"/>
      </w:rPr>
      <w:t xml:space="preserve">环境影响报告书                         </w:t>
    </w:r>
    <w:r>
      <w:t xml:space="preserve">  </w:t>
    </w:r>
    <w:r>
      <w:rPr>
        <w:rFonts w:hint="eastAsia"/>
        <w:lang w:val="en-US" w:eastAsia="zh-CN"/>
      </w:rPr>
      <w:t xml:space="preserve">    </w:t>
    </w:r>
    <w:r>
      <w:rPr>
        <w:rFonts w:hint="eastAsia"/>
      </w:rPr>
      <w:t xml:space="preserve">       </w:t>
    </w:r>
    <w:r>
      <w:rPr>
        <w:rFonts w:hint="eastAsia"/>
        <w:lang w:val="en-US" w:eastAsia="zh-CN"/>
      </w:rPr>
      <w:t>工程概况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E2EF8">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产业政策及规划的符合性分析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631AF">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产业政策及规划的符合性分析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A8E2B">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w:t>
    </w:r>
    <w:r>
      <w:t>环境</w:t>
    </w:r>
    <w:r>
      <w:rPr>
        <w:rFonts w:hint="eastAsia"/>
        <w:lang w:eastAsia="zh-CN"/>
      </w:rPr>
      <w:t>影响经济损益分析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6473C">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w:t>
    </w:r>
    <w:r>
      <w:rPr>
        <w:rFonts w:hint="eastAsia"/>
        <w:lang w:eastAsia="zh-CN"/>
      </w:rPr>
      <w:t>环境管理与监测计划</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4BF6">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w:t>
    </w:r>
    <w:r>
      <w:rPr>
        <w:rFonts w:hint="eastAsia"/>
        <w:lang w:val="en-US" w:eastAsia="zh-CN"/>
      </w:rPr>
      <w:t>结论及建议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FDC23">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w:t>
    </w:r>
    <w:r>
      <w:rPr>
        <w:rFonts w:hint="eastAsia"/>
        <w:lang w:val="en-US" w:eastAsia="zh-CN"/>
      </w:rPr>
      <w:t>结论及建议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B5BD8">
    <w:pPr>
      <w:pStyle w:val="20"/>
      <w:ind w:left="0" w:leftChars="0" w:firstLine="0" w:firstLineChars="0"/>
      <w:rPr>
        <w:rFonts w:hint="default"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w:t>
    </w:r>
    <w:r>
      <w:t xml:space="preserve">  </w:t>
    </w:r>
    <w:r>
      <w:rPr>
        <w:rFonts w:hint="eastAsia"/>
        <w:lang w:val="en-US" w:eastAsia="zh-CN"/>
      </w:rPr>
      <w:t xml:space="preserve">    </w:t>
    </w:r>
    <w:r>
      <w:rPr>
        <w:rFonts w:hint="eastAsia"/>
      </w:rPr>
      <w:t xml:space="preserve">     </w:t>
    </w:r>
    <w:r>
      <w:rPr>
        <w:rFonts w:hint="eastAsia"/>
        <w:lang w:val="en-US" w:eastAsia="zh-CN"/>
      </w:rPr>
      <w:t xml:space="preserve"> 总则</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126DB">
    <w:pPr>
      <w:pStyle w:val="20"/>
      <w:ind w:left="0" w:leftChars="0" w:firstLine="0" w:firstLineChars="0"/>
      <w:rPr>
        <w:rFonts w:hint="default"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w:t>
    </w:r>
    <w:r>
      <w:t xml:space="preserve">  </w:t>
    </w:r>
    <w:r>
      <w:rPr>
        <w:rFonts w:hint="eastAsia"/>
        <w:lang w:val="en-US" w:eastAsia="zh-CN"/>
      </w:rPr>
      <w:t xml:space="preserve">    </w:t>
    </w:r>
    <w:r>
      <w:rPr>
        <w:rFonts w:hint="eastAsia"/>
      </w:rPr>
      <w:t xml:space="preserve">     </w:t>
    </w:r>
    <w:r>
      <w:rPr>
        <w:rFonts w:hint="eastAsia"/>
        <w:lang w:val="en-US" w:eastAsia="zh-CN"/>
      </w:rPr>
      <w:t xml:space="preserve"> 工程概况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ACAD8">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t xml:space="preserve">  </w:t>
    </w:r>
    <w:r>
      <w:rPr>
        <w:rFonts w:hint="eastAsia"/>
      </w:rPr>
      <w:t xml:space="preserve">     </w:t>
    </w:r>
    <w:r>
      <w:rPr>
        <w:rFonts w:hint="eastAsia"/>
        <w:lang w:val="en-US" w:eastAsia="zh-CN"/>
      </w:rPr>
      <w:t xml:space="preserve">  </w:t>
    </w:r>
    <w:r>
      <w:rPr>
        <w:rFonts w:hint="eastAsia"/>
      </w:rPr>
      <w:t xml:space="preserve"> 工程</w:t>
    </w:r>
    <w:r>
      <w:rPr>
        <w:rFonts w:hint="eastAsia"/>
        <w:lang w:val="en-US" w:eastAsia="zh-CN"/>
      </w:rPr>
      <w:t>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DDABA">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w:t>
    </w:r>
    <w:r>
      <w:rPr>
        <w:rFonts w:hint="eastAsia"/>
        <w:lang w:val="en-US" w:eastAsia="zh-CN"/>
      </w:rPr>
      <w:t xml:space="preserve">      </w:t>
    </w:r>
    <w:r>
      <w:rPr>
        <w:rFonts w:hint="eastAsia"/>
        <w:lang w:eastAsia="zh-CN"/>
      </w:rPr>
      <w:t>区域环境概况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E7CD4">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lang w:eastAsia="zh-CN"/>
      </w:rPr>
      <w:t>环境质量现状监测及评价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2DFAD">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snapToGrid w:val="0"/>
      </w:rPr>
      <w:t>环境质量现状监测及评价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5A40D">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ascii="Times New Roman" w:hAnsi="Times New Roman" w:cs="Times New Roman"/>
        <w:snapToGrid w:val="0"/>
      </w:rPr>
      <w:t>环境影响预测与评价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F54C">
    <w:pPr>
      <w:pStyle w:val="20"/>
      <w:ind w:left="0" w:leftChars="0" w:firstLine="0" w:firstLineChars="0"/>
      <w:rPr>
        <w:rFonts w:hint="eastAsia" w:eastAsia="宋体"/>
        <w:lang w:val="en-US" w:eastAsia="zh-CN"/>
      </w:rPr>
    </w:pPr>
    <w:r>
      <w:rPr>
        <w:rFonts w:hint="eastAsia"/>
        <w:lang w:eastAsia="zh-CN"/>
      </w:rPr>
      <w:t>彭阳县茹河（小河段）河道治理工程</w:t>
    </w:r>
    <w:r>
      <w:rPr>
        <w:rFonts w:hint="eastAsia"/>
      </w:rPr>
      <w:t xml:space="preserve">环境影响报告书                </w:t>
    </w:r>
    <w:r>
      <w:rPr>
        <w:rFonts w:hint="eastAsia"/>
        <w:lang w:val="en-US" w:eastAsia="zh-CN"/>
      </w:rPr>
      <w:t xml:space="preserve">      </w:t>
    </w:r>
    <w:r>
      <w:rPr>
        <w:rFonts w:hint="eastAsia"/>
      </w:rPr>
      <w:t xml:space="preserve"> 环境保护措施及其可行性分析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309F2"/>
    <w:multiLevelType w:val="singleLevel"/>
    <w:tmpl w:val="8B4309F2"/>
    <w:lvl w:ilvl="0" w:tentative="0">
      <w:start w:val="1"/>
      <w:numFmt w:val="decimal"/>
      <w:suff w:val="nothing"/>
      <w:lvlText w:val="%1、"/>
      <w:lvlJc w:val="left"/>
    </w:lvl>
  </w:abstractNum>
  <w:abstractNum w:abstractNumId="1">
    <w:nsid w:val="9F1B58CD"/>
    <w:multiLevelType w:val="singleLevel"/>
    <w:tmpl w:val="9F1B58CD"/>
    <w:lvl w:ilvl="0" w:tentative="0">
      <w:start w:val="1"/>
      <w:numFmt w:val="decimal"/>
      <w:suff w:val="nothing"/>
      <w:lvlText w:val="（%1）"/>
      <w:lvlJc w:val="left"/>
    </w:lvl>
  </w:abstractNum>
  <w:abstractNum w:abstractNumId="2">
    <w:nsid w:val="CFBD7147"/>
    <w:multiLevelType w:val="singleLevel"/>
    <w:tmpl w:val="CFBD7147"/>
    <w:lvl w:ilvl="0" w:tentative="0">
      <w:start w:val="1"/>
      <w:numFmt w:val="decimal"/>
      <w:suff w:val="nothing"/>
      <w:lvlText w:val="（%1）"/>
      <w:lvlJc w:val="left"/>
    </w:lvl>
  </w:abstractNum>
  <w:abstractNum w:abstractNumId="3">
    <w:nsid w:val="DAC19B9A"/>
    <w:multiLevelType w:val="singleLevel"/>
    <w:tmpl w:val="DAC19B9A"/>
    <w:lvl w:ilvl="0" w:tentative="0">
      <w:start w:val="2"/>
      <w:numFmt w:val="decimal"/>
      <w:suff w:val="nothing"/>
      <w:lvlText w:val="%1、"/>
      <w:lvlJc w:val="left"/>
    </w:lvl>
  </w:abstractNum>
  <w:abstractNum w:abstractNumId="4">
    <w:nsid w:val="ED7D4808"/>
    <w:multiLevelType w:val="singleLevel"/>
    <w:tmpl w:val="ED7D4808"/>
    <w:lvl w:ilvl="0" w:tentative="0">
      <w:start w:val="1"/>
      <w:numFmt w:val="decimal"/>
      <w:lvlText w:val="%1."/>
      <w:lvlJc w:val="left"/>
      <w:pPr>
        <w:tabs>
          <w:tab w:val="left" w:pos="312"/>
        </w:tabs>
      </w:pPr>
    </w:lvl>
  </w:abstractNum>
  <w:abstractNum w:abstractNumId="5">
    <w:nsid w:val="F6FB618B"/>
    <w:multiLevelType w:val="singleLevel"/>
    <w:tmpl w:val="F6FB618B"/>
    <w:lvl w:ilvl="0" w:tentative="0">
      <w:start w:val="1"/>
      <w:numFmt w:val="decimal"/>
      <w:suff w:val="nothing"/>
      <w:lvlText w:val="（%1）"/>
      <w:lvlJc w:val="left"/>
    </w:lvl>
  </w:abstractNum>
  <w:abstractNum w:abstractNumId="6">
    <w:nsid w:val="07DB5974"/>
    <w:multiLevelType w:val="singleLevel"/>
    <w:tmpl w:val="07DB5974"/>
    <w:lvl w:ilvl="0" w:tentative="0">
      <w:start w:val="1"/>
      <w:numFmt w:val="decimal"/>
      <w:suff w:val="nothing"/>
      <w:lvlText w:val="（%1）"/>
      <w:lvlJc w:val="left"/>
    </w:lvl>
  </w:abstractNum>
  <w:abstractNum w:abstractNumId="7">
    <w:nsid w:val="265C1C1F"/>
    <w:multiLevelType w:val="singleLevel"/>
    <w:tmpl w:val="265C1C1F"/>
    <w:lvl w:ilvl="0" w:tentative="0">
      <w:start w:val="1"/>
      <w:numFmt w:val="decimal"/>
      <w:suff w:val="nothing"/>
      <w:lvlText w:val="%1．"/>
      <w:lvlJc w:val="left"/>
      <w:pPr>
        <w:ind w:left="0" w:firstLine="400"/>
      </w:pPr>
      <w:rPr>
        <w:rFonts w:hint="default"/>
      </w:rPr>
    </w:lvl>
  </w:abstractNum>
  <w:abstractNum w:abstractNumId="8">
    <w:nsid w:val="2910FF3D"/>
    <w:multiLevelType w:val="singleLevel"/>
    <w:tmpl w:val="2910FF3D"/>
    <w:lvl w:ilvl="0" w:tentative="0">
      <w:start w:val="1"/>
      <w:numFmt w:val="decimal"/>
      <w:suff w:val="nothing"/>
      <w:lvlText w:val="（%1）"/>
      <w:lvlJc w:val="left"/>
    </w:lvl>
  </w:abstractNum>
  <w:abstractNum w:abstractNumId="9">
    <w:nsid w:val="74C3CD9B"/>
    <w:multiLevelType w:val="singleLevel"/>
    <w:tmpl w:val="74C3CD9B"/>
    <w:lvl w:ilvl="0" w:tentative="0">
      <w:start w:val="4"/>
      <w:numFmt w:val="decimal"/>
      <w:lvlText w:val="%1."/>
      <w:lvlJc w:val="left"/>
      <w:pPr>
        <w:tabs>
          <w:tab w:val="left" w:pos="312"/>
        </w:tabs>
      </w:pPr>
    </w:lvl>
  </w:abstractNum>
  <w:abstractNum w:abstractNumId="10">
    <w:nsid w:val="7B3414F7"/>
    <w:multiLevelType w:val="singleLevel"/>
    <w:tmpl w:val="7B3414F7"/>
    <w:lvl w:ilvl="0" w:tentative="0">
      <w:start w:val="2"/>
      <w:numFmt w:val="decimal"/>
      <w:suff w:val="nothing"/>
      <w:lvlText w:val="（%1）"/>
      <w:lvlJc w:val="left"/>
    </w:lvl>
  </w:abstractNum>
  <w:num w:numId="1">
    <w:abstractNumId w:val="9"/>
  </w:num>
  <w:num w:numId="2">
    <w:abstractNumId w:val="2"/>
  </w:num>
  <w:num w:numId="3">
    <w:abstractNumId w:val="5"/>
  </w:num>
  <w:num w:numId="4">
    <w:abstractNumId w:val="8"/>
  </w:num>
  <w:num w:numId="5">
    <w:abstractNumId w:val="3"/>
  </w:num>
  <w:num w:numId="6">
    <w:abstractNumId w:val="1"/>
  </w:num>
  <w:num w:numId="7">
    <w:abstractNumId w:val="10"/>
  </w:num>
  <w:num w:numId="8">
    <w:abstractNumId w:val="0"/>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57"/>
  <w:bordersDoNotSurroundHeader w:val="0"/>
  <w:bordersDoNotSurroundFooter w:val="0"/>
  <w:documentProtection w:enforcement="0"/>
  <w:defaultTabStop w:val="420"/>
  <w:drawingGridHorizontalSpacing w:val="120"/>
  <w:drawingGridVerticalSpacing w:val="166"/>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2ODZmMDlmMzMzNGFhODk3ZmQwYzY0OTM2ZjhlNmEifQ=="/>
  </w:docVars>
  <w:rsids>
    <w:rsidRoot w:val="00172A27"/>
    <w:rsid w:val="00004F49"/>
    <w:rsid w:val="00036111"/>
    <w:rsid w:val="0006437E"/>
    <w:rsid w:val="000967E7"/>
    <w:rsid w:val="000E36B8"/>
    <w:rsid w:val="00102389"/>
    <w:rsid w:val="00113BF9"/>
    <w:rsid w:val="00127C31"/>
    <w:rsid w:val="0014203F"/>
    <w:rsid w:val="001547D8"/>
    <w:rsid w:val="00160B0A"/>
    <w:rsid w:val="00172A27"/>
    <w:rsid w:val="0021500E"/>
    <w:rsid w:val="00226DC2"/>
    <w:rsid w:val="002775C7"/>
    <w:rsid w:val="002A6664"/>
    <w:rsid w:val="002D76D2"/>
    <w:rsid w:val="00342C64"/>
    <w:rsid w:val="00344ED3"/>
    <w:rsid w:val="00346F0F"/>
    <w:rsid w:val="00395C22"/>
    <w:rsid w:val="00395C26"/>
    <w:rsid w:val="00452F5F"/>
    <w:rsid w:val="0047306F"/>
    <w:rsid w:val="004C2EC5"/>
    <w:rsid w:val="004C71D3"/>
    <w:rsid w:val="004D5740"/>
    <w:rsid w:val="005450C5"/>
    <w:rsid w:val="0057466A"/>
    <w:rsid w:val="0058469E"/>
    <w:rsid w:val="005D1336"/>
    <w:rsid w:val="00634007"/>
    <w:rsid w:val="00636C81"/>
    <w:rsid w:val="006936FA"/>
    <w:rsid w:val="007153AA"/>
    <w:rsid w:val="00743EF8"/>
    <w:rsid w:val="00772544"/>
    <w:rsid w:val="007A51B4"/>
    <w:rsid w:val="007B181F"/>
    <w:rsid w:val="007C4EA9"/>
    <w:rsid w:val="008300C8"/>
    <w:rsid w:val="0084712C"/>
    <w:rsid w:val="00863CCA"/>
    <w:rsid w:val="008660A2"/>
    <w:rsid w:val="008F21DF"/>
    <w:rsid w:val="00906786"/>
    <w:rsid w:val="0091633A"/>
    <w:rsid w:val="00923A3F"/>
    <w:rsid w:val="0094139D"/>
    <w:rsid w:val="00946E83"/>
    <w:rsid w:val="009A582F"/>
    <w:rsid w:val="009B07DF"/>
    <w:rsid w:val="009F2C33"/>
    <w:rsid w:val="00A55D0A"/>
    <w:rsid w:val="00AA6ADE"/>
    <w:rsid w:val="00B01DD8"/>
    <w:rsid w:val="00B0531D"/>
    <w:rsid w:val="00B629EB"/>
    <w:rsid w:val="00B932BD"/>
    <w:rsid w:val="00C25B41"/>
    <w:rsid w:val="00C322AD"/>
    <w:rsid w:val="00CF6492"/>
    <w:rsid w:val="00CF6C8A"/>
    <w:rsid w:val="00D04A23"/>
    <w:rsid w:val="00D63CBC"/>
    <w:rsid w:val="00D7072B"/>
    <w:rsid w:val="00DC7DE5"/>
    <w:rsid w:val="00E227FD"/>
    <w:rsid w:val="00E74048"/>
    <w:rsid w:val="00ED0261"/>
    <w:rsid w:val="00EE0EB4"/>
    <w:rsid w:val="00F4121C"/>
    <w:rsid w:val="00F87288"/>
    <w:rsid w:val="00FC5821"/>
    <w:rsid w:val="00FF48AD"/>
    <w:rsid w:val="010A3CF2"/>
    <w:rsid w:val="013E424C"/>
    <w:rsid w:val="016C02E0"/>
    <w:rsid w:val="01B91D0C"/>
    <w:rsid w:val="02231601"/>
    <w:rsid w:val="022A49B8"/>
    <w:rsid w:val="0256755B"/>
    <w:rsid w:val="02977CBA"/>
    <w:rsid w:val="029A1B3E"/>
    <w:rsid w:val="035E2B6B"/>
    <w:rsid w:val="038601B4"/>
    <w:rsid w:val="03AC2AA6"/>
    <w:rsid w:val="03B05836"/>
    <w:rsid w:val="03C5623D"/>
    <w:rsid w:val="050B0AD1"/>
    <w:rsid w:val="057C377D"/>
    <w:rsid w:val="05876C98"/>
    <w:rsid w:val="05CF7D50"/>
    <w:rsid w:val="067F1668"/>
    <w:rsid w:val="06C453DB"/>
    <w:rsid w:val="072A4212"/>
    <w:rsid w:val="07306C9F"/>
    <w:rsid w:val="0749768F"/>
    <w:rsid w:val="077E29E7"/>
    <w:rsid w:val="08122864"/>
    <w:rsid w:val="084E3238"/>
    <w:rsid w:val="085E635E"/>
    <w:rsid w:val="086A5B0F"/>
    <w:rsid w:val="08A058A4"/>
    <w:rsid w:val="08BE34E6"/>
    <w:rsid w:val="094B3730"/>
    <w:rsid w:val="096B5FE2"/>
    <w:rsid w:val="097D074F"/>
    <w:rsid w:val="098C28FA"/>
    <w:rsid w:val="09F43E62"/>
    <w:rsid w:val="0A490931"/>
    <w:rsid w:val="0AC02050"/>
    <w:rsid w:val="0B084DA9"/>
    <w:rsid w:val="0B1C041A"/>
    <w:rsid w:val="0BBC0D77"/>
    <w:rsid w:val="0BC475C8"/>
    <w:rsid w:val="0C071683"/>
    <w:rsid w:val="0C17232E"/>
    <w:rsid w:val="0C7C6C77"/>
    <w:rsid w:val="0C80708B"/>
    <w:rsid w:val="0CE628C0"/>
    <w:rsid w:val="0D553231"/>
    <w:rsid w:val="0DC14423"/>
    <w:rsid w:val="0E3F4D85"/>
    <w:rsid w:val="0EBB3568"/>
    <w:rsid w:val="0F1A5585"/>
    <w:rsid w:val="0F263D0E"/>
    <w:rsid w:val="0F264E85"/>
    <w:rsid w:val="0F473F3D"/>
    <w:rsid w:val="0FAA3ADA"/>
    <w:rsid w:val="12657B79"/>
    <w:rsid w:val="127C6B6A"/>
    <w:rsid w:val="12CC7AF2"/>
    <w:rsid w:val="12E12175"/>
    <w:rsid w:val="1356385F"/>
    <w:rsid w:val="13923F34"/>
    <w:rsid w:val="13F447C8"/>
    <w:rsid w:val="13FD18DD"/>
    <w:rsid w:val="1444190A"/>
    <w:rsid w:val="144D451F"/>
    <w:rsid w:val="153C6A85"/>
    <w:rsid w:val="155D3861"/>
    <w:rsid w:val="15D41F99"/>
    <w:rsid w:val="1602382A"/>
    <w:rsid w:val="161D0664"/>
    <w:rsid w:val="166B7FCF"/>
    <w:rsid w:val="168516DC"/>
    <w:rsid w:val="16A97510"/>
    <w:rsid w:val="16B9181D"/>
    <w:rsid w:val="16D8458B"/>
    <w:rsid w:val="16F92E7F"/>
    <w:rsid w:val="16F97D84"/>
    <w:rsid w:val="1739516F"/>
    <w:rsid w:val="17C7552D"/>
    <w:rsid w:val="17DB2585"/>
    <w:rsid w:val="183D3132"/>
    <w:rsid w:val="18A577E4"/>
    <w:rsid w:val="18CB4842"/>
    <w:rsid w:val="18E55D68"/>
    <w:rsid w:val="18FF22A3"/>
    <w:rsid w:val="19C52565"/>
    <w:rsid w:val="19E16FD8"/>
    <w:rsid w:val="1A26665A"/>
    <w:rsid w:val="1A2E2E40"/>
    <w:rsid w:val="1A5F71EB"/>
    <w:rsid w:val="1B201915"/>
    <w:rsid w:val="1B4B7A22"/>
    <w:rsid w:val="1BD47A17"/>
    <w:rsid w:val="1BD73063"/>
    <w:rsid w:val="1CBF5FD1"/>
    <w:rsid w:val="1D452D82"/>
    <w:rsid w:val="1D7E18EE"/>
    <w:rsid w:val="1D8F1E47"/>
    <w:rsid w:val="1DB7139E"/>
    <w:rsid w:val="1E04587C"/>
    <w:rsid w:val="1E52052F"/>
    <w:rsid w:val="1E743FC3"/>
    <w:rsid w:val="1E9A6D3E"/>
    <w:rsid w:val="1EA911DF"/>
    <w:rsid w:val="1EB052EB"/>
    <w:rsid w:val="1EFE5EEF"/>
    <w:rsid w:val="1F7E2174"/>
    <w:rsid w:val="1F881244"/>
    <w:rsid w:val="1FFC753C"/>
    <w:rsid w:val="20241138"/>
    <w:rsid w:val="208761CE"/>
    <w:rsid w:val="213401C0"/>
    <w:rsid w:val="223C00C4"/>
    <w:rsid w:val="23343AE2"/>
    <w:rsid w:val="233F60BE"/>
    <w:rsid w:val="23A45F21"/>
    <w:rsid w:val="23BB5BEF"/>
    <w:rsid w:val="23C2284B"/>
    <w:rsid w:val="23C95987"/>
    <w:rsid w:val="23E13097"/>
    <w:rsid w:val="243B5528"/>
    <w:rsid w:val="247E1778"/>
    <w:rsid w:val="248D10AB"/>
    <w:rsid w:val="24B61DFC"/>
    <w:rsid w:val="24D32F62"/>
    <w:rsid w:val="24FD1D8D"/>
    <w:rsid w:val="25F62228"/>
    <w:rsid w:val="263502CA"/>
    <w:rsid w:val="264110E1"/>
    <w:rsid w:val="268023CB"/>
    <w:rsid w:val="269210D8"/>
    <w:rsid w:val="26C012C4"/>
    <w:rsid w:val="26C833A3"/>
    <w:rsid w:val="26E055AF"/>
    <w:rsid w:val="27E7174A"/>
    <w:rsid w:val="27F75E86"/>
    <w:rsid w:val="280B47C0"/>
    <w:rsid w:val="281742E5"/>
    <w:rsid w:val="283147BC"/>
    <w:rsid w:val="28352882"/>
    <w:rsid w:val="291125F6"/>
    <w:rsid w:val="292820B3"/>
    <w:rsid w:val="2A584BC7"/>
    <w:rsid w:val="2A6F57B4"/>
    <w:rsid w:val="2A816FBC"/>
    <w:rsid w:val="2B067201"/>
    <w:rsid w:val="2B487ADA"/>
    <w:rsid w:val="2DC83507"/>
    <w:rsid w:val="2DED7FEE"/>
    <w:rsid w:val="2E813A2E"/>
    <w:rsid w:val="2EDB1BAF"/>
    <w:rsid w:val="2EDE49DD"/>
    <w:rsid w:val="2EF161E6"/>
    <w:rsid w:val="2F1B3B3E"/>
    <w:rsid w:val="2F1D4921"/>
    <w:rsid w:val="2F48454C"/>
    <w:rsid w:val="2FCF2577"/>
    <w:rsid w:val="2FE002E4"/>
    <w:rsid w:val="3040379E"/>
    <w:rsid w:val="30C1060F"/>
    <w:rsid w:val="32401D3A"/>
    <w:rsid w:val="32A45F3D"/>
    <w:rsid w:val="32F347CF"/>
    <w:rsid w:val="332350B4"/>
    <w:rsid w:val="3330368E"/>
    <w:rsid w:val="353335A8"/>
    <w:rsid w:val="3583585A"/>
    <w:rsid w:val="360B4458"/>
    <w:rsid w:val="36962041"/>
    <w:rsid w:val="36F823B4"/>
    <w:rsid w:val="37A5507A"/>
    <w:rsid w:val="37D04685"/>
    <w:rsid w:val="380310DF"/>
    <w:rsid w:val="38190834"/>
    <w:rsid w:val="386C1CF4"/>
    <w:rsid w:val="388A1731"/>
    <w:rsid w:val="38E47094"/>
    <w:rsid w:val="3A07047E"/>
    <w:rsid w:val="3A111C76"/>
    <w:rsid w:val="3A6A3FA3"/>
    <w:rsid w:val="3A836438"/>
    <w:rsid w:val="3A95616C"/>
    <w:rsid w:val="3ADC3BAF"/>
    <w:rsid w:val="3AF7269A"/>
    <w:rsid w:val="3B7F30A4"/>
    <w:rsid w:val="3B9C1C00"/>
    <w:rsid w:val="3BDC22A4"/>
    <w:rsid w:val="3C5462DE"/>
    <w:rsid w:val="3C5E0F0B"/>
    <w:rsid w:val="3CA1704A"/>
    <w:rsid w:val="3CF63583"/>
    <w:rsid w:val="3D233F03"/>
    <w:rsid w:val="3DF24EAD"/>
    <w:rsid w:val="3E894239"/>
    <w:rsid w:val="3FBB0422"/>
    <w:rsid w:val="40127712"/>
    <w:rsid w:val="40CF6436"/>
    <w:rsid w:val="429B11F7"/>
    <w:rsid w:val="43247127"/>
    <w:rsid w:val="43537E0C"/>
    <w:rsid w:val="435A3CF9"/>
    <w:rsid w:val="43B01368"/>
    <w:rsid w:val="43E22507"/>
    <w:rsid w:val="44AD5AB7"/>
    <w:rsid w:val="455B499F"/>
    <w:rsid w:val="45F01972"/>
    <w:rsid w:val="46112621"/>
    <w:rsid w:val="462D2AF6"/>
    <w:rsid w:val="467839B9"/>
    <w:rsid w:val="47E26DBA"/>
    <w:rsid w:val="480C64C1"/>
    <w:rsid w:val="48337ECB"/>
    <w:rsid w:val="49163423"/>
    <w:rsid w:val="49317868"/>
    <w:rsid w:val="4940129B"/>
    <w:rsid w:val="49C16F7D"/>
    <w:rsid w:val="4AB50890"/>
    <w:rsid w:val="4ABB7F2C"/>
    <w:rsid w:val="4B0233A9"/>
    <w:rsid w:val="4B6F2676"/>
    <w:rsid w:val="4C930201"/>
    <w:rsid w:val="4CA3296A"/>
    <w:rsid w:val="4CBB496C"/>
    <w:rsid w:val="4CC43E58"/>
    <w:rsid w:val="4CDF628B"/>
    <w:rsid w:val="4D113D78"/>
    <w:rsid w:val="4D1C3936"/>
    <w:rsid w:val="4D271BD2"/>
    <w:rsid w:val="4D5C3245"/>
    <w:rsid w:val="4D821EF7"/>
    <w:rsid w:val="4D8234D3"/>
    <w:rsid w:val="4DDE65A4"/>
    <w:rsid w:val="4E281379"/>
    <w:rsid w:val="4EC33536"/>
    <w:rsid w:val="4EF24D42"/>
    <w:rsid w:val="4EF74E90"/>
    <w:rsid w:val="4F4164C3"/>
    <w:rsid w:val="4FC73CA9"/>
    <w:rsid w:val="50997196"/>
    <w:rsid w:val="50A078EC"/>
    <w:rsid w:val="510D4F35"/>
    <w:rsid w:val="513A362D"/>
    <w:rsid w:val="5164177B"/>
    <w:rsid w:val="517B2107"/>
    <w:rsid w:val="51D755EC"/>
    <w:rsid w:val="51F15F45"/>
    <w:rsid w:val="52786F9C"/>
    <w:rsid w:val="52BB0A0D"/>
    <w:rsid w:val="52D7336D"/>
    <w:rsid w:val="53163133"/>
    <w:rsid w:val="53204D14"/>
    <w:rsid w:val="53591FD4"/>
    <w:rsid w:val="53670B95"/>
    <w:rsid w:val="53CB75D6"/>
    <w:rsid w:val="53FD0BB2"/>
    <w:rsid w:val="550C18D1"/>
    <w:rsid w:val="55450A62"/>
    <w:rsid w:val="55B7029C"/>
    <w:rsid w:val="56582A17"/>
    <w:rsid w:val="572538A5"/>
    <w:rsid w:val="575E0906"/>
    <w:rsid w:val="578810DA"/>
    <w:rsid w:val="57FE4157"/>
    <w:rsid w:val="580D3526"/>
    <w:rsid w:val="580E5A83"/>
    <w:rsid w:val="586B6A32"/>
    <w:rsid w:val="58751A00"/>
    <w:rsid w:val="595D5741"/>
    <w:rsid w:val="59911F8C"/>
    <w:rsid w:val="599F1E4E"/>
    <w:rsid w:val="59A0095D"/>
    <w:rsid w:val="59DD74BB"/>
    <w:rsid w:val="5AA6513A"/>
    <w:rsid w:val="5B01542B"/>
    <w:rsid w:val="5B051924"/>
    <w:rsid w:val="5B3E21EE"/>
    <w:rsid w:val="5B8E4EA6"/>
    <w:rsid w:val="5C2515ED"/>
    <w:rsid w:val="5C483D02"/>
    <w:rsid w:val="5C693288"/>
    <w:rsid w:val="5C6E6AF1"/>
    <w:rsid w:val="5CAA00FA"/>
    <w:rsid w:val="5CE13766"/>
    <w:rsid w:val="5D223731"/>
    <w:rsid w:val="5DC2175C"/>
    <w:rsid w:val="5DE0125F"/>
    <w:rsid w:val="5E367D0F"/>
    <w:rsid w:val="5ED44935"/>
    <w:rsid w:val="5F3B6A32"/>
    <w:rsid w:val="5F4E49B7"/>
    <w:rsid w:val="5F781A34"/>
    <w:rsid w:val="5F865A7F"/>
    <w:rsid w:val="5FEB0FA6"/>
    <w:rsid w:val="604B1CC0"/>
    <w:rsid w:val="60621930"/>
    <w:rsid w:val="60634492"/>
    <w:rsid w:val="61AE798F"/>
    <w:rsid w:val="62A80882"/>
    <w:rsid w:val="62EA49F7"/>
    <w:rsid w:val="63251ED3"/>
    <w:rsid w:val="63C37656"/>
    <w:rsid w:val="63C70091"/>
    <w:rsid w:val="63E63410"/>
    <w:rsid w:val="646C600B"/>
    <w:rsid w:val="651E4C38"/>
    <w:rsid w:val="652215D1"/>
    <w:rsid w:val="65320C42"/>
    <w:rsid w:val="653460AD"/>
    <w:rsid w:val="658D448B"/>
    <w:rsid w:val="65A73073"/>
    <w:rsid w:val="66141EEF"/>
    <w:rsid w:val="6629191C"/>
    <w:rsid w:val="66544FA9"/>
    <w:rsid w:val="66DF3B52"/>
    <w:rsid w:val="67E4410B"/>
    <w:rsid w:val="67EE31DB"/>
    <w:rsid w:val="684F0847"/>
    <w:rsid w:val="6861446E"/>
    <w:rsid w:val="688D02FE"/>
    <w:rsid w:val="68FC61C9"/>
    <w:rsid w:val="6951757E"/>
    <w:rsid w:val="6A166A28"/>
    <w:rsid w:val="6A3A44B6"/>
    <w:rsid w:val="6A6D6639"/>
    <w:rsid w:val="6A837C0B"/>
    <w:rsid w:val="6A8A11E6"/>
    <w:rsid w:val="6A9E4A45"/>
    <w:rsid w:val="6A9E67F3"/>
    <w:rsid w:val="6BAF3C01"/>
    <w:rsid w:val="6C0A0BA4"/>
    <w:rsid w:val="6CD3168F"/>
    <w:rsid w:val="6CF90658"/>
    <w:rsid w:val="6E4E22DE"/>
    <w:rsid w:val="6E67735C"/>
    <w:rsid w:val="6E837D5D"/>
    <w:rsid w:val="6EF44EBA"/>
    <w:rsid w:val="6F8B47DB"/>
    <w:rsid w:val="6FA37B33"/>
    <w:rsid w:val="6FF05BC4"/>
    <w:rsid w:val="6FFD3FBC"/>
    <w:rsid w:val="703F2826"/>
    <w:rsid w:val="706C109B"/>
    <w:rsid w:val="70994837"/>
    <w:rsid w:val="71657C36"/>
    <w:rsid w:val="72190D53"/>
    <w:rsid w:val="728D2CD5"/>
    <w:rsid w:val="72F62F44"/>
    <w:rsid w:val="73465C7A"/>
    <w:rsid w:val="738F5872"/>
    <w:rsid w:val="74402983"/>
    <w:rsid w:val="746B1A43"/>
    <w:rsid w:val="756209A4"/>
    <w:rsid w:val="75AA4DD8"/>
    <w:rsid w:val="76030ABD"/>
    <w:rsid w:val="762D1373"/>
    <w:rsid w:val="763A37CD"/>
    <w:rsid w:val="764206EE"/>
    <w:rsid w:val="767E3753"/>
    <w:rsid w:val="76EA1012"/>
    <w:rsid w:val="76FD2AF3"/>
    <w:rsid w:val="7771086E"/>
    <w:rsid w:val="77F17064"/>
    <w:rsid w:val="77F81A5F"/>
    <w:rsid w:val="78202F3D"/>
    <w:rsid w:val="78963AC0"/>
    <w:rsid w:val="789F7357"/>
    <w:rsid w:val="79675240"/>
    <w:rsid w:val="7B011CEE"/>
    <w:rsid w:val="7B22574A"/>
    <w:rsid w:val="7B2A7C2F"/>
    <w:rsid w:val="7B9F5C1F"/>
    <w:rsid w:val="7BB265A2"/>
    <w:rsid w:val="7C224DAA"/>
    <w:rsid w:val="7C606D71"/>
    <w:rsid w:val="7C8712BE"/>
    <w:rsid w:val="7CEF7382"/>
    <w:rsid w:val="7D0E4A8C"/>
    <w:rsid w:val="7D226013"/>
    <w:rsid w:val="7D43322A"/>
    <w:rsid w:val="7D626845"/>
    <w:rsid w:val="7D852ACE"/>
    <w:rsid w:val="7DCC76C3"/>
    <w:rsid w:val="7DEE7639"/>
    <w:rsid w:val="7E21356B"/>
    <w:rsid w:val="7E434AF8"/>
    <w:rsid w:val="7E486FB9"/>
    <w:rsid w:val="7EC06F9E"/>
    <w:rsid w:val="7F552A10"/>
    <w:rsid w:val="7F6F3456"/>
    <w:rsid w:val="7F8C2C66"/>
    <w:rsid w:val="7F8E2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宋体" w:cs="Times New Roman"/>
      <w:kern w:val="2"/>
      <w:sz w:val="24"/>
      <w:szCs w:val="28"/>
      <w:lang w:val="en-US" w:eastAsia="zh-CN" w:bidi="ar-SA"/>
    </w:rPr>
  </w:style>
  <w:style w:type="paragraph" w:styleId="3">
    <w:name w:val="heading 1"/>
    <w:basedOn w:val="1"/>
    <w:next w:val="1"/>
    <w:autoRedefine/>
    <w:qFormat/>
    <w:uiPriority w:val="0"/>
    <w:pPr>
      <w:keepNext/>
      <w:keepLines/>
      <w:spacing w:before="340" w:after="330" w:line="576" w:lineRule="auto"/>
      <w:ind w:firstLine="0" w:firstLineChars="0"/>
      <w:outlineLvl w:val="0"/>
    </w:pPr>
    <w:rPr>
      <w:b/>
      <w:kern w:val="44"/>
      <w:sz w:val="44"/>
    </w:rPr>
  </w:style>
  <w:style w:type="paragraph" w:styleId="4">
    <w:name w:val="heading 2"/>
    <w:basedOn w:val="1"/>
    <w:next w:val="5"/>
    <w:link w:val="69"/>
    <w:autoRedefine/>
    <w:unhideWhenUsed/>
    <w:qFormat/>
    <w:uiPriority w:val="0"/>
    <w:pPr>
      <w:keepNext/>
      <w:keepLines/>
      <w:spacing w:before="260" w:after="260" w:line="413" w:lineRule="auto"/>
      <w:ind w:firstLine="0" w:firstLineChars="0"/>
      <w:outlineLvl w:val="1"/>
    </w:pPr>
    <w:rPr>
      <w:b/>
      <w:sz w:val="32"/>
    </w:rPr>
  </w:style>
  <w:style w:type="paragraph" w:styleId="6">
    <w:name w:val="heading 3"/>
    <w:basedOn w:val="1"/>
    <w:next w:val="1"/>
    <w:link w:val="45"/>
    <w:autoRedefine/>
    <w:unhideWhenUsed/>
    <w:qFormat/>
    <w:uiPriority w:val="0"/>
    <w:pPr>
      <w:keepNext/>
      <w:keepLines/>
      <w:spacing w:before="260" w:after="260" w:line="413" w:lineRule="auto"/>
      <w:ind w:firstLine="0" w:firstLineChars="0"/>
      <w:outlineLvl w:val="2"/>
    </w:pPr>
    <w:rPr>
      <w:b/>
      <w:sz w:val="28"/>
    </w:rPr>
  </w:style>
  <w:style w:type="paragraph" w:styleId="7">
    <w:name w:val="heading 4"/>
    <w:basedOn w:val="1"/>
    <w:next w:val="1"/>
    <w:link w:val="46"/>
    <w:autoRedefine/>
    <w:unhideWhenUsed/>
    <w:qFormat/>
    <w:uiPriority w:val="0"/>
    <w:pPr>
      <w:keepNext/>
      <w:keepLines/>
      <w:spacing w:before="280" w:after="290" w:line="372" w:lineRule="auto"/>
      <w:ind w:firstLine="0" w:firstLineChars="0"/>
      <w:outlineLvl w:val="3"/>
    </w:pPr>
    <w:rPr>
      <w:b/>
    </w:rPr>
  </w:style>
  <w:style w:type="paragraph" w:styleId="8">
    <w:name w:val="heading 5"/>
    <w:basedOn w:val="1"/>
    <w:next w:val="1"/>
    <w:autoRedefine/>
    <w:unhideWhenUsed/>
    <w:qFormat/>
    <w:uiPriority w:val="0"/>
    <w:pPr>
      <w:keepNext/>
      <w:keepLines/>
      <w:spacing w:beforeLines="0" w:beforeAutospacing="0" w:afterLines="0" w:afterAutospacing="0" w:line="360" w:lineRule="auto"/>
      <w:ind w:firstLine="0" w:firstLineChars="0"/>
      <w:outlineLvl w:val="4"/>
    </w:pPr>
    <w:rPr>
      <w:rFonts w:ascii="Times New Roman" w:hAnsi="Times New Roman" w:eastAsia="宋体"/>
      <w:b/>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a heading"/>
    <w:basedOn w:val="1"/>
    <w:next w:val="1"/>
    <w:autoRedefine/>
    <w:unhideWhenUsed/>
    <w:qFormat/>
    <w:uiPriority w:val="99"/>
    <w:pPr>
      <w:adjustRightInd w:val="0"/>
      <w:snapToGrid w:val="0"/>
      <w:ind w:firstLine="482"/>
      <w:jc w:val="center"/>
    </w:pPr>
    <w:rPr>
      <w:b/>
      <w:bCs/>
    </w:rPr>
  </w:style>
  <w:style w:type="paragraph" w:customStyle="1" w:styleId="5">
    <w:name w:val="环评正文"/>
    <w:basedOn w:val="1"/>
    <w:autoRedefine/>
    <w:qFormat/>
    <w:uiPriority w:val="0"/>
    <w:pPr>
      <w:ind w:firstLine="200"/>
    </w:pPr>
    <w:rPr>
      <w:rFonts w:ascii="仿宋_GB2312" w:hAnsi="仿宋_GB2312" w:eastAsia="仿宋_GB2312" w:cs="宋体"/>
      <w:szCs w:val="20"/>
    </w:rPr>
  </w:style>
  <w:style w:type="paragraph" w:styleId="9">
    <w:name w:val="Normal Indent"/>
    <w:basedOn w:val="1"/>
    <w:next w:val="1"/>
    <w:autoRedefine/>
    <w:qFormat/>
    <w:uiPriority w:val="0"/>
    <w:pPr>
      <w:spacing w:line="240" w:lineRule="auto"/>
      <w:ind w:firstLine="420" w:firstLineChars="0"/>
    </w:pPr>
    <w:rPr>
      <w:sz w:val="21"/>
      <w:szCs w:val="20"/>
    </w:rPr>
  </w:style>
  <w:style w:type="paragraph" w:styleId="10">
    <w:name w:val="annotation text"/>
    <w:basedOn w:val="1"/>
    <w:qFormat/>
    <w:uiPriority w:val="0"/>
    <w:pPr>
      <w:jc w:val="left"/>
    </w:pPr>
  </w:style>
  <w:style w:type="paragraph" w:styleId="11">
    <w:name w:val="Body Text"/>
    <w:basedOn w:val="1"/>
    <w:next w:val="1"/>
    <w:autoRedefine/>
    <w:qFormat/>
    <w:uiPriority w:val="0"/>
    <w:pPr>
      <w:spacing w:after="120"/>
    </w:pPr>
  </w:style>
  <w:style w:type="paragraph" w:styleId="12">
    <w:name w:val="Body Text Indent"/>
    <w:basedOn w:val="1"/>
    <w:next w:val="13"/>
    <w:autoRedefine/>
    <w:qFormat/>
    <w:uiPriority w:val="0"/>
    <w:pPr>
      <w:spacing w:after="120"/>
      <w:ind w:left="420" w:leftChars="200"/>
    </w:pPr>
  </w:style>
  <w:style w:type="paragraph" w:styleId="13">
    <w:name w:val="Body Text First Indent 2"/>
    <w:basedOn w:val="12"/>
    <w:next w:val="1"/>
    <w:autoRedefine/>
    <w:qFormat/>
    <w:uiPriority w:val="0"/>
    <w:pPr>
      <w:adjustRightInd w:val="0"/>
      <w:snapToGrid w:val="0"/>
      <w:spacing w:line="360" w:lineRule="auto"/>
      <w:ind w:firstLine="420" w:firstLineChars="200"/>
    </w:pPr>
  </w:style>
  <w:style w:type="paragraph" w:styleId="14">
    <w:name w:val="toc 3"/>
    <w:basedOn w:val="1"/>
    <w:next w:val="1"/>
    <w:autoRedefine/>
    <w:qFormat/>
    <w:uiPriority w:val="0"/>
    <w:pPr>
      <w:ind w:left="840" w:leftChars="400"/>
    </w:pPr>
  </w:style>
  <w:style w:type="paragraph" w:styleId="15">
    <w:name w:val="Plain Text"/>
    <w:basedOn w:val="1"/>
    <w:autoRedefine/>
    <w:qFormat/>
    <w:uiPriority w:val="0"/>
    <w:rPr>
      <w:rFonts w:ascii="宋体" w:hAnsi="Courier New" w:eastAsia="宋体" w:cs="Courier New"/>
      <w:sz w:val="21"/>
      <w:szCs w:val="21"/>
    </w:rPr>
  </w:style>
  <w:style w:type="paragraph" w:styleId="16">
    <w:name w:val="Date"/>
    <w:basedOn w:val="1"/>
    <w:next w:val="1"/>
    <w:autoRedefine/>
    <w:qFormat/>
    <w:uiPriority w:val="0"/>
    <w:pPr>
      <w:ind w:left="100" w:leftChars="2500"/>
    </w:pPr>
  </w:style>
  <w:style w:type="paragraph" w:styleId="17">
    <w:name w:val="Body Text Indent 2"/>
    <w:basedOn w:val="1"/>
    <w:next w:val="13"/>
    <w:autoRedefine/>
    <w:qFormat/>
    <w:uiPriority w:val="0"/>
    <w:pPr>
      <w:spacing w:after="120" w:line="480" w:lineRule="auto"/>
      <w:ind w:left="420" w:leftChars="200"/>
    </w:pPr>
  </w:style>
  <w:style w:type="paragraph" w:styleId="18">
    <w:name w:val="footer"/>
    <w:basedOn w:val="1"/>
    <w:autoRedefine/>
    <w:qFormat/>
    <w:uiPriority w:val="0"/>
    <w:pPr>
      <w:tabs>
        <w:tab w:val="center" w:pos="4153"/>
        <w:tab w:val="right" w:pos="8306"/>
      </w:tabs>
      <w:snapToGrid w:val="0"/>
      <w:spacing w:line="240" w:lineRule="auto"/>
    </w:pPr>
    <w:rPr>
      <w:sz w:val="18"/>
      <w:szCs w:val="18"/>
    </w:rPr>
  </w:style>
  <w:style w:type="paragraph" w:styleId="19">
    <w:name w:val="envelope return"/>
    <w:basedOn w:val="1"/>
    <w:autoRedefine/>
    <w:unhideWhenUsed/>
    <w:qFormat/>
    <w:uiPriority w:val="99"/>
    <w:pPr>
      <w:snapToGrid w:val="0"/>
    </w:pPr>
    <w:rPr>
      <w:rFonts w:ascii="Arial" w:hAnsi="Arial"/>
    </w:rPr>
  </w:style>
  <w:style w:type="paragraph" w:styleId="20">
    <w:name w:val="header"/>
    <w:basedOn w:val="1"/>
    <w:autoRedefine/>
    <w:qFormat/>
    <w:uiPriority w:val="0"/>
    <w:pPr>
      <w:pBdr>
        <w:bottom w:val="single" w:color="auto" w:sz="6" w:space="1"/>
      </w:pBdr>
      <w:tabs>
        <w:tab w:val="center" w:pos="4153"/>
        <w:tab w:val="right" w:pos="8306"/>
      </w:tabs>
      <w:snapToGrid w:val="0"/>
      <w:spacing w:line="240" w:lineRule="auto"/>
      <w:ind w:firstLine="360"/>
    </w:pPr>
    <w:rPr>
      <w:sz w:val="18"/>
      <w:szCs w:val="18"/>
    </w:rPr>
  </w:style>
  <w:style w:type="paragraph" w:styleId="21">
    <w:name w:val="toc 1"/>
    <w:basedOn w:val="1"/>
    <w:next w:val="1"/>
    <w:autoRedefine/>
    <w:qFormat/>
    <w:uiPriority w:val="0"/>
  </w:style>
  <w:style w:type="paragraph" w:styleId="22">
    <w:name w:val="index heading"/>
    <w:basedOn w:val="1"/>
    <w:next w:val="23"/>
    <w:unhideWhenUsed/>
    <w:qFormat/>
    <w:uiPriority w:val="99"/>
    <w:rPr>
      <w:rFonts w:ascii="Cambria" w:hAnsi="Cambria" w:eastAsia="宋体" w:cs="Times New Roman"/>
      <w:b/>
      <w:bCs/>
    </w:rPr>
  </w:style>
  <w:style w:type="paragraph" w:styleId="23">
    <w:name w:val="index 1"/>
    <w:basedOn w:val="1"/>
    <w:next w:val="1"/>
    <w:qFormat/>
    <w:uiPriority w:val="0"/>
    <w:pPr>
      <w:spacing w:line="360" w:lineRule="auto"/>
      <w:jc w:val="center"/>
    </w:pPr>
    <w:rPr>
      <w:szCs w:val="24"/>
    </w:rPr>
  </w:style>
  <w:style w:type="paragraph" w:styleId="24">
    <w:name w:val="Body Text Indent 3"/>
    <w:basedOn w:val="1"/>
    <w:autoRedefine/>
    <w:qFormat/>
    <w:uiPriority w:val="0"/>
    <w:pPr>
      <w:ind w:firstLine="480" w:firstLineChars="200"/>
    </w:pPr>
    <w:rPr>
      <w:rFonts w:ascii="宋体" w:hAnsi="宋体" w:eastAsia="宋体" w:cs="Times New Roman"/>
      <w:szCs w:val="20"/>
    </w:rPr>
  </w:style>
  <w:style w:type="paragraph" w:styleId="25">
    <w:name w:val="toc 2"/>
    <w:basedOn w:val="1"/>
    <w:next w:val="1"/>
    <w:autoRedefine/>
    <w:qFormat/>
    <w:uiPriority w:val="0"/>
    <w:pPr>
      <w:ind w:left="420" w:leftChars="200"/>
    </w:pPr>
  </w:style>
  <w:style w:type="paragraph" w:styleId="26">
    <w:name w:val="Body Text 2"/>
    <w:basedOn w:val="1"/>
    <w:autoRedefine/>
    <w:qFormat/>
    <w:uiPriority w:val="0"/>
    <w:pPr>
      <w:spacing w:after="120" w:line="480" w:lineRule="auto"/>
    </w:pPr>
  </w:style>
  <w:style w:type="paragraph" w:styleId="27">
    <w:name w:val="Normal (Web)"/>
    <w:basedOn w:val="1"/>
    <w:autoRedefine/>
    <w:qFormat/>
    <w:uiPriority w:val="0"/>
    <w:pPr>
      <w:spacing w:beforeAutospacing="1" w:afterAutospacing="1"/>
    </w:pPr>
    <w:rPr>
      <w:kern w:val="0"/>
    </w:rPr>
  </w:style>
  <w:style w:type="paragraph" w:styleId="28">
    <w:name w:val="Title"/>
    <w:basedOn w:val="3"/>
    <w:next w:val="29"/>
    <w:autoRedefine/>
    <w:qFormat/>
    <w:uiPriority w:val="0"/>
    <w:pPr>
      <w:spacing w:line="360" w:lineRule="auto"/>
      <w:jc w:val="center"/>
    </w:pPr>
    <w:rPr>
      <w:b w:val="0"/>
      <w:sz w:val="21"/>
    </w:rPr>
  </w:style>
  <w:style w:type="paragraph" w:customStyle="1" w:styleId="29">
    <w:name w:val="T表格"/>
    <w:basedOn w:val="28"/>
    <w:next w:val="28"/>
    <w:autoRedefine/>
    <w:qFormat/>
    <w:uiPriority w:val="0"/>
    <w:pPr>
      <w:keepNext w:val="0"/>
      <w:keepLines w:val="0"/>
      <w:widowControl/>
      <w:adjustRightInd w:val="0"/>
      <w:snapToGrid w:val="0"/>
      <w:spacing w:before="0" w:after="0" w:line="240" w:lineRule="auto"/>
    </w:pPr>
    <w:rPr>
      <w:color w:val="000000"/>
      <w:kern w:val="0"/>
      <w:szCs w:val="21"/>
    </w:rPr>
  </w:style>
  <w:style w:type="paragraph" w:styleId="30">
    <w:name w:val="Body Text First Indent"/>
    <w:basedOn w:val="11"/>
    <w:next w:val="8"/>
    <w:autoRedefine/>
    <w:qFormat/>
    <w:uiPriority w:val="0"/>
    <w:pPr>
      <w:ind w:firstLine="420" w:firstLineChars="100"/>
    </w:pPr>
  </w:style>
  <w:style w:type="table" w:styleId="32">
    <w:name w:val="Table Grid"/>
    <w:basedOn w:val="31"/>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b/>
      <w:bCs/>
    </w:rPr>
  </w:style>
  <w:style w:type="character" w:styleId="35">
    <w:name w:val="page number"/>
    <w:basedOn w:val="33"/>
    <w:autoRedefine/>
    <w:qFormat/>
    <w:uiPriority w:val="0"/>
    <w:rPr>
      <w:rFonts w:ascii="Times New Roman" w:hAnsi="Times New Roman" w:eastAsia="宋体" w:cs="Times New Roman"/>
    </w:rPr>
  </w:style>
  <w:style w:type="character" w:styleId="36">
    <w:name w:val="Emphasis"/>
    <w:basedOn w:val="33"/>
    <w:autoRedefine/>
    <w:qFormat/>
    <w:uiPriority w:val="0"/>
    <w:rPr>
      <w:i/>
    </w:rPr>
  </w:style>
  <w:style w:type="character" w:styleId="37">
    <w:name w:val="Hyperlink"/>
    <w:basedOn w:val="33"/>
    <w:autoRedefine/>
    <w:qFormat/>
    <w:uiPriority w:val="0"/>
    <w:rPr>
      <w:color w:val="0000FF"/>
      <w:u w:val="single"/>
    </w:rPr>
  </w:style>
  <w:style w:type="paragraph" w:customStyle="1" w:styleId="38">
    <w:name w:val="表头"/>
    <w:basedOn w:val="1"/>
    <w:link w:val="50"/>
    <w:autoRedefine/>
    <w:qFormat/>
    <w:uiPriority w:val="0"/>
    <w:pPr>
      <w:widowControl/>
      <w:tabs>
        <w:tab w:val="left" w:pos="5520"/>
      </w:tabs>
      <w:jc w:val="center"/>
    </w:pPr>
    <w:rPr>
      <w:b/>
      <w:bCs/>
      <w:kern w:val="0"/>
      <w:sz w:val="21"/>
      <w:szCs w:val="21"/>
    </w:rPr>
  </w:style>
  <w:style w:type="paragraph" w:customStyle="1" w:styleId="39">
    <w:name w:val="表格"/>
    <w:basedOn w:val="12"/>
    <w:next w:val="1"/>
    <w:qFormat/>
    <w:uiPriority w:val="0"/>
    <w:pPr>
      <w:adjustRightInd w:val="0"/>
      <w:snapToGrid w:val="0"/>
      <w:spacing w:line="240" w:lineRule="auto"/>
      <w:ind w:left="0" w:leftChars="0" w:firstLine="0" w:firstLineChars="0"/>
      <w:jc w:val="center"/>
    </w:pPr>
    <w:rPr>
      <w:rFonts w:ascii="Times New Roman" w:hAnsi="Times New Roman" w:eastAsia="宋体" w:cs="Times New Roman"/>
      <w:kern w:val="0"/>
      <w:sz w:val="20"/>
    </w:rPr>
  </w:style>
  <w:style w:type="character" w:customStyle="1" w:styleId="40">
    <w:name w:val="标题 3 Char"/>
    <w:link w:val="6"/>
    <w:autoRedefine/>
    <w:qFormat/>
    <w:uiPriority w:val="0"/>
    <w:rPr>
      <w:rFonts w:ascii="Times New Roman" w:hAnsi="Times New Roman" w:eastAsia="宋体"/>
      <w:b/>
      <w:sz w:val="28"/>
    </w:rPr>
  </w:style>
  <w:style w:type="paragraph" w:customStyle="1" w:styleId="41">
    <w:name w:val="Default"/>
    <w:basedOn w:val="42"/>
    <w:next w:val="22"/>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42">
    <w:name w:val="纯文本1"/>
    <w:basedOn w:val="1"/>
    <w:qFormat/>
    <w:uiPriority w:val="0"/>
    <w:pPr>
      <w:adjustRightInd w:val="0"/>
    </w:pPr>
    <w:rPr>
      <w:rFonts w:ascii="宋体" w:hAnsi="Courier New"/>
      <w:szCs w:val="20"/>
    </w:rPr>
  </w:style>
  <w:style w:type="paragraph" w:customStyle="1" w:styleId="43">
    <w:name w:val="标题 段落4级"/>
    <w:autoRedefine/>
    <w:qFormat/>
    <w:uiPriority w:val="0"/>
    <w:pPr>
      <w:spacing w:line="500" w:lineRule="exact"/>
      <w:outlineLvl w:val="3"/>
    </w:pPr>
    <w:rPr>
      <w:rFonts w:ascii="等线" w:hAnsi="等线" w:eastAsia="仿宋_GB2312" w:cs="Calibri"/>
      <w:b/>
      <w:kern w:val="2"/>
      <w:sz w:val="28"/>
      <w:szCs w:val="24"/>
      <w:lang w:val="en-US" w:eastAsia="zh-CN" w:bidi="ar-SA"/>
    </w:rPr>
  </w:style>
  <w:style w:type="paragraph" w:customStyle="1" w:styleId="44">
    <w:name w:val="4正文"/>
    <w:basedOn w:val="1"/>
    <w:autoRedefine/>
    <w:unhideWhenUsed/>
    <w:qFormat/>
    <w:uiPriority w:val="99"/>
    <w:pPr>
      <w:ind w:firstLine="480"/>
    </w:pPr>
    <w:rPr>
      <w:rFonts w:ascii="Calibri" w:hAnsi="Calibri"/>
      <w:szCs w:val="22"/>
    </w:rPr>
  </w:style>
  <w:style w:type="character" w:customStyle="1" w:styleId="45">
    <w:name w:val="标题 3 字符"/>
    <w:link w:val="6"/>
    <w:autoRedefine/>
    <w:qFormat/>
    <w:uiPriority w:val="0"/>
    <w:rPr>
      <w:rFonts w:ascii="Times New Roman" w:hAnsi="Times New Roman" w:eastAsia="宋体"/>
      <w:b/>
      <w:sz w:val="28"/>
    </w:rPr>
  </w:style>
  <w:style w:type="character" w:customStyle="1" w:styleId="46">
    <w:name w:val="标题 4 字符"/>
    <w:link w:val="7"/>
    <w:autoRedefine/>
    <w:qFormat/>
    <w:uiPriority w:val="0"/>
    <w:rPr>
      <w:rFonts w:ascii="Times New Roman" w:hAnsi="Times New Roman" w:eastAsia="宋体"/>
      <w:b/>
      <w:sz w:val="24"/>
    </w:rPr>
  </w:style>
  <w:style w:type="paragraph" w:customStyle="1" w:styleId="47">
    <w:name w:val="*正文"/>
    <w:basedOn w:val="1"/>
    <w:autoRedefine/>
    <w:qFormat/>
    <w:uiPriority w:val="0"/>
    <w:pPr>
      <w:ind w:firstLine="200"/>
    </w:pPr>
    <w:rPr>
      <w:kern w:val="0"/>
      <w:szCs w:val="24"/>
    </w:rPr>
  </w:style>
  <w:style w:type="character" w:customStyle="1" w:styleId="48">
    <w:name w:val="表号题注 Char Char"/>
    <w:link w:val="49"/>
    <w:autoRedefine/>
    <w:qFormat/>
    <w:uiPriority w:val="0"/>
    <w:rPr>
      <w:rFonts w:hAnsi="宋体"/>
      <w:color w:val="000000"/>
      <w:lang w:bidi="en-US"/>
    </w:rPr>
  </w:style>
  <w:style w:type="paragraph" w:customStyle="1" w:styleId="49">
    <w:name w:val="表号题注"/>
    <w:basedOn w:val="1"/>
    <w:link w:val="48"/>
    <w:autoRedefine/>
    <w:qFormat/>
    <w:uiPriority w:val="0"/>
    <w:pPr>
      <w:adjustRightInd w:val="0"/>
      <w:snapToGrid w:val="0"/>
    </w:pPr>
    <w:rPr>
      <w:rFonts w:hAnsi="宋体"/>
      <w:color w:val="000000"/>
      <w:lang w:bidi="en-US"/>
    </w:rPr>
  </w:style>
  <w:style w:type="character" w:customStyle="1" w:styleId="50">
    <w:name w:val="表头 Char"/>
    <w:link w:val="38"/>
    <w:autoRedefine/>
    <w:qFormat/>
    <w:uiPriority w:val="0"/>
    <w:rPr>
      <w:b/>
      <w:bCs/>
      <w:kern w:val="0"/>
      <w:sz w:val="21"/>
      <w:szCs w:val="21"/>
    </w:rPr>
  </w:style>
  <w:style w:type="paragraph" w:customStyle="1" w:styleId="51">
    <w:name w:val="表格文字"/>
    <w:basedOn w:val="1"/>
    <w:next w:val="1"/>
    <w:autoRedefine/>
    <w:qFormat/>
    <w:uiPriority w:val="0"/>
    <w:pPr>
      <w:autoSpaceDE w:val="0"/>
      <w:autoSpaceDN w:val="0"/>
      <w:adjustRightInd w:val="0"/>
      <w:spacing w:line="480" w:lineRule="exact"/>
      <w:jc w:val="center"/>
    </w:pPr>
    <w:rPr>
      <w:bCs/>
      <w:kern w:val="0"/>
    </w:rPr>
  </w:style>
  <w:style w:type="paragraph" w:customStyle="1" w:styleId="52">
    <w:name w:val="0A 插图名称（5级标题）"/>
    <w:basedOn w:val="1"/>
    <w:autoRedefine/>
    <w:qFormat/>
    <w:uiPriority w:val="0"/>
    <w:pPr>
      <w:overflowPunct w:val="0"/>
      <w:autoSpaceDE w:val="0"/>
      <w:autoSpaceDN w:val="0"/>
      <w:adjustRightInd w:val="0"/>
      <w:snapToGrid w:val="0"/>
      <w:ind w:firstLine="200"/>
      <w:jc w:val="center"/>
      <w:textAlignment w:val="center"/>
      <w:outlineLvl w:val="4"/>
    </w:pPr>
    <w:rPr>
      <w:rFonts w:eastAsia="黑体"/>
      <w:kern w:val="0"/>
      <w:szCs w:val="21"/>
    </w:rPr>
  </w:style>
  <w:style w:type="paragraph" w:customStyle="1" w:styleId="53">
    <w:name w:val="X图表标题"/>
    <w:basedOn w:val="1"/>
    <w:autoRedefine/>
    <w:qFormat/>
    <w:uiPriority w:val="0"/>
    <w:pPr>
      <w:tabs>
        <w:tab w:val="left" w:pos="240"/>
      </w:tabs>
      <w:spacing w:line="400" w:lineRule="exact"/>
      <w:jc w:val="center"/>
    </w:pPr>
    <w:rPr>
      <w:rFonts w:eastAsia="黑体"/>
      <w:szCs w:val="24"/>
    </w:rPr>
  </w:style>
  <w:style w:type="paragraph" w:customStyle="1" w:styleId="54">
    <w:name w:val="0A 小四正文"/>
    <w:autoRedefine/>
    <w:qFormat/>
    <w:uiPriority w:val="0"/>
    <w:pPr>
      <w:widowControl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5">
    <w:name w:val="中文报告书样式"/>
    <w:basedOn w:val="1"/>
    <w:autoRedefine/>
    <w:qFormat/>
    <w:uiPriority w:val="0"/>
    <w:pPr>
      <w:adjustRightInd w:val="0"/>
      <w:ind w:firstLine="482"/>
      <w:textAlignment w:val="baseline"/>
    </w:pPr>
    <w:rPr>
      <w:kern w:val="24"/>
      <w:szCs w:val="20"/>
    </w:rPr>
  </w:style>
  <w:style w:type="paragraph" w:customStyle="1" w:styleId="56">
    <w:name w:val="0正文"/>
    <w:basedOn w:val="1"/>
    <w:autoRedefine/>
    <w:qFormat/>
    <w:uiPriority w:val="0"/>
    <w:pPr>
      <w:ind w:firstLine="200"/>
    </w:pPr>
    <w:rPr>
      <w:kern w:val="0"/>
      <w:szCs w:val="20"/>
    </w:rPr>
  </w:style>
  <w:style w:type="paragraph" w:customStyle="1" w:styleId="57">
    <w:name w:val="样式 正文缩进正文缩进2正文缩进 Char Char正文缩进 Char Char Char Char正文缩进 Char ..."/>
    <w:basedOn w:val="58"/>
    <w:autoRedefine/>
    <w:qFormat/>
    <w:uiPriority w:val="99"/>
    <w:pPr>
      <w:ind w:firstLine="200"/>
    </w:pPr>
    <w:rPr>
      <w:rFonts w:cs="宋体"/>
      <w:sz w:val="24"/>
    </w:rPr>
  </w:style>
  <w:style w:type="paragraph" w:customStyle="1" w:styleId="58">
    <w:name w:val="Normal Indent1"/>
    <w:basedOn w:val="1"/>
    <w:autoRedefine/>
    <w:qFormat/>
    <w:uiPriority w:val="0"/>
    <w:rPr>
      <w:sz w:val="28"/>
      <w:szCs w:val="20"/>
    </w:rPr>
  </w:style>
  <w:style w:type="paragraph" w:styleId="59">
    <w:name w:val="List Paragraph"/>
    <w:basedOn w:val="1"/>
    <w:autoRedefine/>
    <w:unhideWhenUsed/>
    <w:qFormat/>
    <w:uiPriority w:val="1"/>
    <w:rPr>
      <w:szCs w:val="24"/>
    </w:rPr>
  </w:style>
  <w:style w:type="paragraph" w:customStyle="1" w:styleId="60">
    <w:name w:val="Table Paragraph"/>
    <w:basedOn w:val="1"/>
    <w:autoRedefine/>
    <w:unhideWhenUsed/>
    <w:qFormat/>
    <w:uiPriority w:val="1"/>
    <w:rPr>
      <w:szCs w:val="24"/>
    </w:rPr>
  </w:style>
  <w:style w:type="paragraph" w:customStyle="1" w:styleId="61">
    <w:name w:val="正文（缩进）"/>
    <w:basedOn w:val="62"/>
    <w:next w:val="1"/>
    <w:autoRedefine/>
    <w:qFormat/>
    <w:uiPriority w:val="99"/>
    <w:pPr>
      <w:spacing w:line="360" w:lineRule="auto"/>
      <w:ind w:firstLine="480" w:firstLineChars="200"/>
    </w:pPr>
    <w:rPr>
      <w:kern w:val="0"/>
      <w:sz w:val="34"/>
      <w:szCs w:val="20"/>
    </w:rPr>
  </w:style>
  <w:style w:type="paragraph" w:customStyle="1" w:styleId="62">
    <w:name w:val="正文(首行缩进)"/>
    <w:basedOn w:val="1"/>
    <w:autoRedefine/>
    <w:qFormat/>
    <w:uiPriority w:val="0"/>
    <w:pPr>
      <w:widowControl/>
      <w:adjustRightInd w:val="0"/>
      <w:snapToGrid w:val="0"/>
      <w:spacing w:line="360" w:lineRule="auto"/>
      <w:ind w:firstLine="200" w:firstLineChars="200"/>
      <w:jc w:val="left"/>
    </w:pPr>
    <w:rPr>
      <w:rFonts w:ascii="Calibri" w:hAnsi="Calibri"/>
      <w:snapToGrid w:val="0"/>
      <w:kern w:val="0"/>
      <w:lang w:eastAsia="en-US" w:bidi="en-US"/>
    </w:rPr>
  </w:style>
  <w:style w:type="paragraph" w:customStyle="1" w:styleId="63">
    <w:name w:val="正文-环评新格式"/>
    <w:autoRedefine/>
    <w:qFormat/>
    <w:uiPriority w:val="0"/>
    <w:pPr>
      <w:widowControl w:val="0"/>
      <w:spacing w:line="360" w:lineRule="auto"/>
      <w:ind w:firstLine="770" w:firstLineChars="200"/>
      <w:jc w:val="both"/>
    </w:pPr>
    <w:rPr>
      <w:rFonts w:ascii="Times New Roman" w:hAnsi="Times New Roman" w:eastAsia="宋体" w:cs="Times New Roman"/>
      <w:kern w:val="2"/>
      <w:sz w:val="24"/>
      <w:szCs w:val="22"/>
      <w:lang w:val="en-US" w:eastAsia="zh-CN" w:bidi="ar-SA"/>
    </w:rPr>
  </w:style>
  <w:style w:type="paragraph" w:customStyle="1" w:styleId="64">
    <w:name w:val="环评表格正文"/>
    <w:basedOn w:val="1"/>
    <w:autoRedefine/>
    <w:qFormat/>
    <w:uiPriority w:val="0"/>
    <w:pPr>
      <w:topLinePunct/>
      <w:spacing w:line="240" w:lineRule="auto"/>
      <w:ind w:firstLine="0" w:firstLineChars="0"/>
      <w:jc w:val="center"/>
    </w:pPr>
    <w:rPr>
      <w:kern w:val="0"/>
      <w:sz w:val="21"/>
      <w:szCs w:val="20"/>
    </w:rPr>
  </w:style>
  <w:style w:type="table" w:customStyle="1" w:styleId="65">
    <w:name w:val="Table Normal"/>
    <w:autoRedefine/>
    <w:semiHidden/>
    <w:qFormat/>
    <w:uiPriority w:val="0"/>
    <w:tblPr>
      <w:tblCellMar>
        <w:top w:w="0" w:type="dxa"/>
        <w:left w:w="108" w:type="dxa"/>
        <w:bottom w:w="0" w:type="dxa"/>
        <w:right w:w="0" w:type="dxa"/>
      </w:tblCellMar>
    </w:tblPr>
  </w:style>
  <w:style w:type="paragraph" w:customStyle="1" w:styleId="66">
    <w:name w:val="表问"/>
    <w:basedOn w:val="1"/>
    <w:autoRedefine/>
    <w:qFormat/>
    <w:uiPriority w:val="0"/>
    <w:pPr>
      <w:adjustRightInd w:val="0"/>
      <w:snapToGrid w:val="0"/>
      <w:spacing w:line="240" w:lineRule="auto"/>
      <w:ind w:firstLine="0" w:firstLineChars="0"/>
      <w:jc w:val="center"/>
    </w:pPr>
    <w:rPr>
      <w:rFonts w:ascii="Times New Roman" w:hAnsi="Times New Roman" w:eastAsia="宋体" w:cs="Times New Roman"/>
      <w:b/>
      <w:color w:val="0000FF"/>
      <w:kern w:val="10"/>
      <w:sz w:val="21"/>
    </w:rPr>
  </w:style>
  <w:style w:type="paragraph" w:customStyle="1" w:styleId="67">
    <w:name w:val="报告表格"/>
    <w:basedOn w:val="1"/>
    <w:autoRedefine/>
    <w:qFormat/>
    <w:uiPriority w:val="0"/>
    <w:pPr>
      <w:autoSpaceDE w:val="0"/>
      <w:autoSpaceDN w:val="0"/>
      <w:adjustRightInd w:val="0"/>
      <w:spacing w:before="40" w:beforeLines="0" w:after="40" w:afterLines="0" w:line="240" w:lineRule="auto"/>
      <w:jc w:val="center"/>
      <w:textAlignment w:val="bottom"/>
    </w:pPr>
    <w:rPr>
      <w:rFonts w:ascii="Times New Roman" w:hAnsi="Times New Roman" w:eastAsia="宋体" w:cs="Times New Roman"/>
      <w:kern w:val="0"/>
      <w:sz w:val="21"/>
      <w:szCs w:val="20"/>
    </w:rPr>
  </w:style>
  <w:style w:type="paragraph" w:customStyle="1" w:styleId="68">
    <w:name w:val="表格内容"/>
    <w:basedOn w:val="1"/>
    <w:next w:val="1"/>
    <w:autoRedefine/>
    <w:qFormat/>
    <w:uiPriority w:val="0"/>
    <w:pPr>
      <w:widowControl/>
      <w:adjustRightInd w:val="0"/>
      <w:snapToGrid w:val="0"/>
      <w:spacing w:line="240" w:lineRule="atLeast"/>
      <w:jc w:val="center"/>
      <w:textAlignment w:val="baseline"/>
    </w:pPr>
    <w:rPr>
      <w:rFonts w:ascii="Times New Roman" w:hAnsi="Times New Roman" w:eastAsia="宋体" w:cs="黑体"/>
      <w:kern w:val="0"/>
    </w:rPr>
  </w:style>
  <w:style w:type="character" w:customStyle="1" w:styleId="69">
    <w:name w:val="标题 2 Char"/>
    <w:link w:val="4"/>
    <w:autoRedefine/>
    <w:qFormat/>
    <w:uiPriority w:val="0"/>
    <w:rPr>
      <w:b/>
      <w:sz w:val="32"/>
    </w:rPr>
  </w:style>
  <w:style w:type="paragraph" w:customStyle="1" w:styleId="70">
    <w:name w:val="WPSOffice手动目录 1"/>
    <w:autoRedefine/>
    <w:qFormat/>
    <w:uiPriority w:val="0"/>
    <w:pPr>
      <w:ind w:leftChars="0"/>
    </w:pPr>
    <w:rPr>
      <w:rFonts w:ascii="Times New Roman" w:hAnsi="Times New Roman" w:eastAsia="宋体" w:cs="Times New Roman"/>
      <w:sz w:val="20"/>
      <w:szCs w:val="20"/>
    </w:rPr>
  </w:style>
  <w:style w:type="paragraph" w:customStyle="1" w:styleId="71">
    <w:name w:val="WPSOffice手动目录 2"/>
    <w:autoRedefine/>
    <w:qFormat/>
    <w:uiPriority w:val="0"/>
    <w:pPr>
      <w:ind w:leftChars="200"/>
    </w:pPr>
    <w:rPr>
      <w:rFonts w:ascii="Times New Roman" w:hAnsi="Times New Roman" w:eastAsia="宋体" w:cs="Times New Roman"/>
      <w:sz w:val="20"/>
      <w:szCs w:val="20"/>
    </w:rPr>
  </w:style>
  <w:style w:type="paragraph" w:customStyle="1" w:styleId="72">
    <w:name w:val="WPSOffice手动目录 3"/>
    <w:autoRedefine/>
    <w:qFormat/>
    <w:uiPriority w:val="0"/>
    <w:pPr>
      <w:ind w:leftChars="400"/>
    </w:pPr>
    <w:rPr>
      <w:rFonts w:ascii="Times New Roman" w:hAnsi="Times New Roman" w:eastAsia="宋体" w:cs="Times New Roman"/>
      <w:sz w:val="20"/>
      <w:szCs w:val="20"/>
    </w:rPr>
  </w:style>
  <w:style w:type="character" w:customStyle="1" w:styleId="73">
    <w:name w:val="font11"/>
    <w:basedOn w:val="33"/>
    <w:qFormat/>
    <w:uiPriority w:val="0"/>
    <w:rPr>
      <w:rFonts w:hint="default" w:ascii="Times New Roman" w:hAnsi="Times New Roman" w:cs="Times New Roman"/>
      <w:color w:val="000000"/>
      <w:sz w:val="21"/>
      <w:szCs w:val="21"/>
      <w:u w:val="none"/>
    </w:rPr>
  </w:style>
  <w:style w:type="character" w:customStyle="1" w:styleId="74">
    <w:name w:val="font41"/>
    <w:basedOn w:val="33"/>
    <w:qFormat/>
    <w:uiPriority w:val="0"/>
    <w:rPr>
      <w:rFonts w:hint="eastAsia" w:ascii="宋体" w:hAnsi="宋体" w:eastAsia="宋体" w:cs="宋体"/>
      <w:color w:val="000000"/>
      <w:sz w:val="21"/>
      <w:szCs w:val="21"/>
      <w:u w:val="none"/>
    </w:rPr>
  </w:style>
  <w:style w:type="character" w:customStyle="1" w:styleId="75">
    <w:name w:val="r10"/>
    <w:qFormat/>
    <w:uiPriority w:val="0"/>
  </w:style>
  <w:style w:type="paragraph" w:customStyle="1" w:styleId="76">
    <w:name w:val="【正文】"/>
    <w:basedOn w:val="1"/>
    <w:qFormat/>
    <w:uiPriority w:val="0"/>
    <w:pPr>
      <w:spacing w:line="360" w:lineRule="auto"/>
      <w:ind w:firstLine="200" w:firstLineChars="200"/>
    </w:pPr>
    <w:rPr>
      <w:rFonts w:eastAsia="仿宋_GB2312"/>
      <w:sz w:val="28"/>
    </w:rPr>
  </w:style>
  <w:style w:type="paragraph" w:customStyle="1" w:styleId="77">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paragraph" w:customStyle="1" w:styleId="78">
    <w:name w:val="图号1"/>
    <w:basedOn w:val="1"/>
    <w:qFormat/>
    <w:uiPriority w:val="0"/>
    <w:pPr>
      <w:spacing w:line="360" w:lineRule="auto"/>
      <w:ind w:firstLine="0" w:firstLineChars="0"/>
      <w:jc w:val="center"/>
    </w:pPr>
    <w:rPr>
      <w:rFonts w:ascii="Times New Roman" w:hAnsi="Times New Roman" w:eastAsia="宋体" w:cs="Times New Roman"/>
      <w:b/>
      <w:color w:val="auto"/>
      <w:szCs w:val="20"/>
    </w:rPr>
  </w:style>
  <w:style w:type="character" w:customStyle="1" w:styleId="79">
    <w:name w:val="font31"/>
    <w:basedOn w:val="33"/>
    <w:uiPriority w:val="0"/>
    <w:rPr>
      <w:rFonts w:hint="eastAsia" w:ascii="宋体" w:hAnsi="宋体" w:eastAsia="宋体" w:cs="宋体"/>
      <w:color w:val="000000"/>
      <w:sz w:val="18"/>
      <w:szCs w:val="18"/>
      <w:u w:val="none"/>
      <w:vertAlign w:val="superscript"/>
    </w:rPr>
  </w:style>
  <w:style w:type="character" w:customStyle="1" w:styleId="80">
    <w:name w:val="font21"/>
    <w:basedOn w:val="33"/>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footer" Target="footer4.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48.wmf"/><Relationship Id="rId76" Type="http://schemas.openxmlformats.org/officeDocument/2006/relationships/oleObject" Target="embeddings/oleObject3.bin"/><Relationship Id="rId75" Type="http://schemas.openxmlformats.org/officeDocument/2006/relationships/image" Target="media/image47.wmf"/><Relationship Id="rId74" Type="http://schemas.openxmlformats.org/officeDocument/2006/relationships/image" Target="media/image46.jpeg"/><Relationship Id="rId73" Type="http://schemas.openxmlformats.org/officeDocument/2006/relationships/image" Target="media/image45.png"/><Relationship Id="rId72" Type="http://schemas.openxmlformats.org/officeDocument/2006/relationships/image" Target="media/image44.wmf"/><Relationship Id="rId71" Type="http://schemas.openxmlformats.org/officeDocument/2006/relationships/image" Target="media/image43.wmf"/><Relationship Id="rId70" Type="http://schemas.openxmlformats.org/officeDocument/2006/relationships/image" Target="media/image42.wmf"/><Relationship Id="rId7" Type="http://schemas.openxmlformats.org/officeDocument/2006/relationships/footer" Target="footer3.xml"/><Relationship Id="rId69" Type="http://schemas.openxmlformats.org/officeDocument/2006/relationships/image" Target="media/image41.png"/><Relationship Id="rId68" Type="http://schemas.openxmlformats.org/officeDocument/2006/relationships/image" Target="media/image40.jpeg"/><Relationship Id="rId67" Type="http://schemas.openxmlformats.org/officeDocument/2006/relationships/image" Target="media/image39.wmf"/><Relationship Id="rId66" Type="http://schemas.openxmlformats.org/officeDocument/2006/relationships/image" Target="media/image38.wmf"/><Relationship Id="rId65" Type="http://schemas.openxmlformats.org/officeDocument/2006/relationships/image" Target="media/image37.wmf"/><Relationship Id="rId64" Type="http://schemas.openxmlformats.org/officeDocument/2006/relationships/image" Target="media/image36.jpeg"/><Relationship Id="rId63" Type="http://schemas.openxmlformats.org/officeDocument/2006/relationships/image" Target="media/image35.jpeg"/><Relationship Id="rId62" Type="http://schemas.openxmlformats.org/officeDocument/2006/relationships/image" Target="media/image34.jpeg"/><Relationship Id="rId61" Type="http://schemas.openxmlformats.org/officeDocument/2006/relationships/image" Target="media/image33.jpeg"/><Relationship Id="rId60" Type="http://schemas.openxmlformats.org/officeDocument/2006/relationships/image" Target="media/image32.jpeg"/><Relationship Id="rId6" Type="http://schemas.openxmlformats.org/officeDocument/2006/relationships/footer" Target="footer2.xml"/><Relationship Id="rId59" Type="http://schemas.openxmlformats.org/officeDocument/2006/relationships/image" Target="media/image31.jpeg"/><Relationship Id="rId58" Type="http://schemas.openxmlformats.org/officeDocument/2006/relationships/image" Target="media/image30.jpeg"/><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emf"/><Relationship Id="rId40" Type="http://schemas.openxmlformats.org/officeDocument/2006/relationships/oleObject" Target="embeddings/oleObject2.bin"/><Relationship Id="rId4" Type="http://schemas.openxmlformats.org/officeDocument/2006/relationships/endnotes" Target="endnotes.xml"/><Relationship Id="rId39" Type="http://schemas.openxmlformats.org/officeDocument/2006/relationships/image" Target="media/image12.emf"/><Relationship Id="rId38" Type="http://schemas.openxmlformats.org/officeDocument/2006/relationships/oleObject" Target="embeddings/oleObject1.bin"/><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header" Target="header15.xml"/><Relationship Id="rId24" Type="http://schemas.openxmlformats.org/officeDocument/2006/relationships/footer" Target="footer6.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d472ca9d-fc03-4eef-8acb-61176b41847d</errorID>
      <errorWord>（2）</errorWord>
      <group>L1_AI</group>
      <groupName>深度校对</groupName>
      <ability>L2_AI_Title</ability>
      <abilityName>标题检查</abilityName>
      <candidateList>
        <item>（3）</item>
      </candidateList>
      <explain>标题顺序错误，请检查标题顺序是否合理。</explain>
      <paraID>543480F5</paraID>
      <start>0</start>
      <end>3</end>
      <status>modified</status>
      <modifiedWord>（3）</modifiedWord>
      <trackRevisions>false</trackRevisions>
    </reviewItem>
    <reviewItem>
      <errorID>13d614a1-ad61-4c89-88c0-b202c187b43c</errorID>
      <errorWord>区</errorWord>
      <group>L1_Word</group>
      <groupName>字词问题</groupName>
      <ability>L2_Typo</ability>
      <abilityName>字词错误</abilityName>
      <candidateList>
        <item>区规</item>
      </candidateList>
      <explain/>
      <paraID>52C67F97</paraID>
      <start>31</start>
      <end>32</end>
      <status>ignored</status>
      <modifiedWord/>
      <trackRevisions>false</trackRevisions>
    </reviewItem>
    <reviewItem>
      <errorID>3c2a951b-bd9c-4bc1-a4d7-0f4dc29d9f74</errorID>
      <errorWord>行</errorWord>
      <group>L1_Word</group>
      <groupName>字词问题</groupName>
      <ability>L2_Typo</ability>
      <abilityName>字词错误</abilityName>
      <candidateList>
        <item>行性</item>
      </candidateList>
      <explain/>
      <paraID> 8FD1460</paraID>
      <start>162</start>
      <end>163</end>
      <status>ignored</status>
      <modifiedWord/>
      <trackRevisions>false</trackRevisions>
    </reviewItem>
    <reviewItem>
      <errorID>10ec40a3-56a8-4790-9b1d-4ed7d50a413d</errorID>
      <errorWord>，</errorWord>
      <group>L1_AI</group>
      <groupName>深度校对</groupName>
      <ability>L2_AI_Punc</ability>
      <abilityName>标点纠错</abilityName>
      <candidateList>
        <item/>
      </candidateList>
      <explain/>
      <paraID>4671426C</paraID>
      <start>24</start>
      <end>24</end>
      <status>modified</status>
      <modifiedWord/>
      <trackRevisions>false</trackRevisions>
    </reviewItem>
    <reviewItem>
      <errorID>e251bf41-e0db-4302-ac7b-dce0fe5ce3be</errorID>
      <errorWord>)</errorWord>
      <group>L1_AI</group>
      <groupName>深度校对</groupName>
      <ability>L2_AI_Punc</ability>
      <abilityName>标点纠错</abilityName>
      <candidateList>
        <item>）</item>
      </candidateList>
      <explain/>
      <paraID>4671426C</paraID>
      <start>53</start>
      <end>54</end>
      <status>modified</status>
      <modifiedWord>）</modifiedWord>
      <trackRevisions>false</trackRevisions>
    </reviewItem>
    <reviewItem>
      <errorID>2e1ff6c7-f19d-4c14-a944-f61a51e999a3</errorID>
      <errorWord>，</errorWord>
      <group>L1_AI</group>
      <groupName>深度校对</groupName>
      <ability>L2_AI_Punc</ability>
      <abilityName>标点纠错</abilityName>
      <candidateList>
        <item/>
      </candidateList>
      <explain/>
      <paraID>295BF3A2</paraID>
      <start>7</start>
      <end>8</end>
      <status>ignored</status>
      <modifiedWord/>
      <trackRevisions>false</trackRevisions>
    </reviewItem>
    <reviewItem>
      <errorID>dd63cb15-45b8-4dad-9ebb-2e71a9cbcdab</errorID>
      <errorWord>中办厅</errorWord>
      <group>L1_Knowledge</group>
      <groupName>知识性问题</groupName>
      <ability>L2_Organization</ability>
      <abilityName>机构检查</abilityName>
      <candidateList>
        <item>中央办公厅</item>
      </candidateList>
      <explain>机关单位全简称表述错误</explain>
      <paraID>1C4FE0D1</paraID>
      <start>19</start>
      <end>22</end>
      <status>ignored</status>
      <modifiedWord/>
      <trackRevisions>false</trackRevisions>
    </reviewItem>
    <reviewItem>
      <errorID>9c7ba9d7-113e-4ddd-a5f7-aa028105a0cb</errorID>
      <errorWord>《中共中央办公厅、国务院办公厅</errorWord>
      <group>L1_Political</group>
      <groupName>政治性问题</groupName>
      <ability>L2_Unpolitical</ability>
      <abilityName>政治敏感错误</abilityName>
      <candidateList>
        <item>《中共中央办公厅 国务院办公厅</item>
      </candidateList>
      <explain/>
      <paraID>1C4FE0D1</paraID>
      <start>31</start>
      <end>46</end>
      <status>modified</status>
      <modifiedWord>《中共中央办公厅 国务院办公厅</modifiedWord>
      <trackRevisions>false</trackRevisions>
    </reviewItem>
    <reviewItem>
      <errorID>aa862440-bbd2-4e6a-8ca8-c1aaaaa49d84</errorID>
      <errorWord>〈</errorWord>
      <group>L1_Punc</group>
      <groupName>标点问题</groupName>
      <ability>L2_Punc</ability>
      <abilityName>标点符号检查</abilityName>
      <candidateList/>
      <explain/>
      <paraID>1C4FE0D1</paraID>
      <start>48</start>
      <end>49</end>
      <status>ignored</status>
      <modifiedWord/>
      <trackRevisions>false</trackRevisions>
    </reviewItem>
    <reviewItem>
      <errorID>459bb1d6-f048-41ce-8168-8ae948f4e263</errorID>
      <errorWord>《环境影响评价技术导则土壤环境》（试行）</errorWord>
      <group>L1_Knowledge</group>
      <groupName>知识性问题</groupName>
      <ability>L2_Knowledge</ability>
      <abilityName>其他知识</abilityName>
      <candidateList>
        <item>《环境影响评价技术导则土壤环境（试行）》</item>
      </candidateList>
      <explain>疑似政策文件、法律法规名称等书写不规范，请注意检查。</explain>
      <paraID> 8E3EBA2</paraID>
      <start>3</start>
      <end>23</end>
      <status>modified</status>
      <modifiedWord>《环境影响评价技术导则土壤环境（试行）》</modifiedWord>
      <trackRevisions>false</trackRevisions>
    </reviewItem>
    <reviewItem>
      <errorID>3db1a774-1ed2-4f9f-87b9-7c5217d9c0ee</errorID>
      <errorWord>)</errorWord>
      <group>L1_Format</group>
      <groupName>格式问题</groupName>
      <ability>L2_HalfPunc</ability>
      <abilityName>全半角检查</abilityName>
      <candidateList>
        <item>）</item>
      </candidateList>
      <explain>文本全半角错误。</explain>
      <paraID>5C35AE83</paraID>
      <start>26</start>
      <end>27</end>
      <status>modified</status>
      <modifiedWord>）</modifiedWord>
      <trackRevisions>false</trackRevisions>
    </reviewItem>
    <reviewItem>
      <errorID>500257e1-1917-44b7-b9d2-d1fe4cc7f3e8</errorID>
      <errorWord>水底面积</errorWord>
      <group>L1_Knowledge</group>
      <groupName>知识性问题</groupName>
      <ability>L2_Term</ability>
      <abilityName>专业术语</abilityName>
      <candidateList>
        <item>基底面积</item>
      </candidateList>
      <explain/>
      <paraID>1AA89151</paraID>
      <start>24</start>
      <end>28</end>
      <status>ignored</status>
      <modifiedWord/>
      <trackRevisions>false</trackRevisions>
    </reviewItem>
    <reviewItem>
      <errorID>54c360a3-229b-4546-8f84-f7139e448014</errorID>
      <errorWord>水底面积</errorWord>
      <group>L1_Knowledge</group>
      <groupName>知识性问题</groupName>
      <ability>L2_Term</ability>
      <abilityName>专业术语</abilityName>
      <candidateList>
        <item>基底面积</item>
      </candidateList>
      <explain/>
      <paraID>4CD7BAEA</paraID>
      <start>24</start>
      <end>28</end>
      <status>ignored</status>
      <modifiedWord/>
      <trackRevisions>false</trackRevisions>
    </reviewItem>
    <reviewItem>
      <errorID>0866ddf5-12b8-4f06-bad8-841074b6d275</errorID>
      <errorWord>调节</errorWord>
      <group>L1_Word</group>
      <groupName>字词问题</groupName>
      <ability>L2_Typo</ability>
      <abilityName>字词错误</abilityName>
      <candidateList>
        <item>调解</item>
      </candidateList>
      <explain>〈动〉劝说双方消除纠纷：～人｜～纠纷。</explain>
      <paraID> B2DE4B0</paraID>
      <start>2</start>
      <end>4</end>
      <status>ignored</status>
      <modifiedWord/>
      <trackRevisions>false</trackRevisions>
    </reviewItem>
    <reviewItem>
      <errorID>e96c92e8-ddc0-4aed-a8a7-cee9c7641323</errorID>
      <errorWord>》</errorWord>
      <group>L1_Punc</group>
      <groupName>标点问题</groupName>
      <ability>L2_Punc</ability>
      <abilityName>标点符号检查</abilityName>
      <candidateList/>
      <explain/>
      <paraID>631EDAF7</paraID>
      <start>29</start>
      <end>30</end>
      <status>ignored</status>
      <modifiedWord/>
      <trackRevisions>false</trackRevisions>
    </reviewItem>
    <reviewItem>
      <errorID>3fce77a5-c05c-46e7-99fb-8f82a8336e8a</errorID>
      <errorWord>无具有</errorWord>
      <group>L1_Word</group>
      <groupName>字词问题</groupName>
      <ability>L2_Typo</ability>
      <abilityName>字词错误</abilityName>
      <candidateList>
        <item>不具有</item>
      </candidateList>
      <explain/>
      <paraID>6C9F53DF</paraID>
      <start>76</start>
      <end>79</end>
      <status>ignored</status>
      <modifiedWord/>
      <trackRevisions>false</trackRevisions>
    </reviewItem>
    <reviewItem>
      <errorID>45a4a490-6d0c-4695-9faa-8d7ab13f7b60</errorID>
      <errorWord>无具有</errorWord>
      <group>L1_Word</group>
      <groupName>字词问题</groupName>
      <ability>L2_Typo</ability>
      <abilityName>字词错误</abilityName>
      <candidateList>
        <item>不具有</item>
      </candidateList>
      <explain/>
      <paraID>6CBE8A19</paraID>
      <start>29</start>
      <end>32</end>
      <status>ignored</status>
      <modifiedWord/>
      <trackRevisions>false</trackRevisions>
    </reviewItem>
    <reviewItem>
      <errorID>1898a466-c8ed-4b80-9e46-914414622df7</errorID>
      <errorWord>废气污染物</errorWord>
      <group>L1_Knowledge</group>
      <groupName>知识性问题</groupName>
      <ability>L2_Term</ability>
      <abilityName>专业术语</abilityName>
      <candidateList>
        <item>空气污染物</item>
      </candidateList>
      <explain/>
      <paraID>19F14F65</paraID>
      <start>104</start>
      <end>109</end>
      <status>ignored</status>
      <modifiedWord/>
      <trackRevisions>false</trackRevisions>
    </reviewItem>
    <reviewItem>
      <errorID>5066cfc6-d4e9-4e60-aaec-d158856d7e3c</errorID>
      <errorWord>(</errorWord>
      <group>L1_Format</group>
      <groupName>格式问题</groupName>
      <ability>L2_HalfPunc</ability>
      <abilityName>全半角检查</abilityName>
      <candidateList>
        <item>（</item>
      </candidateList>
      <explain>文本全半角错误。</explain>
      <paraID>36C8BE26</paraID>
      <start>56</start>
      <end>57</end>
      <status>modified</status>
      <modifiedWord>（</modifiedWord>
      <trackRevisions>false</trackRevisions>
    </reviewItem>
    <reviewItem>
      <errorID>b75aadb2-b19e-46a2-81ab-f6904d00ba60</errorID>
      <errorWord>)</errorWord>
      <group>L1_Format</group>
      <groupName>格式问题</groupName>
      <ability>L2_HalfPunc</ability>
      <abilityName>全半角检查</abilityName>
      <candidateList>
        <item>）</item>
      </candidateList>
      <explain>文本全半角错误。</explain>
      <paraID>36C8BE26</paraID>
      <start>69</start>
      <end>70</end>
      <status>modified</status>
      <modifiedWord>）</modifiedWord>
      <trackRevisions>false</trackRevisions>
    </reviewItem>
    <reviewItem>
      <errorID>3569acc3-586d-4215-8572-2c2b81c8abc9</errorID>
      <errorWord>(</errorWord>
      <group>L1_Format</group>
      <groupName>格式问题</groupName>
      <ability>L2_HalfPunc</ability>
      <abilityName>全半角检查</abilityName>
      <candidateList>
        <item>（</item>
      </candidateList>
      <explain>文本全半角错误。</explain>
      <paraID>4F693DA0</paraID>
      <start>66</start>
      <end>67</end>
      <status>modified</status>
      <modifiedWord>（</modifiedWord>
      <trackRevisions>false</trackRevisions>
    </reviewItem>
    <reviewItem>
      <errorID>b2340350-9fee-4486-8776-79cf4b463866</errorID>
      <errorWord>(</errorWord>
      <group>L1_Format</group>
      <groupName>格式问题</groupName>
      <ability>L2_HalfPunc</ability>
      <abilityName>全半角检查</abilityName>
      <candidateList>
        <item>（</item>
      </candidateList>
      <explain>文本全半角错误。</explain>
      <paraID>35A843F2</paraID>
      <start>59</start>
      <end>60</end>
      <status>modified</status>
      <modifiedWord>（</modifiedWord>
      <trackRevisions>false</trackRevisions>
    </reviewItem>
    <reviewItem>
      <errorID>2860f809-468c-41bc-87ad-1df9c755202d</errorID>
      <errorWord>)</errorWord>
      <group>L1_Format</group>
      <groupName>格式问题</groupName>
      <ability>L2_HalfPunc</ability>
      <abilityName>全半角检查</abilityName>
      <candidateList>
        <item>）</item>
      </candidateList>
      <explain>文本全半角错误。</explain>
      <paraID>35A843F2</paraID>
      <start>72</start>
      <end>73</end>
      <status>modified</status>
      <modifiedWord>）</modifiedWord>
      <trackRevisions>false</trackRevisions>
    </reviewItem>
    <reviewItem>
      <errorID>8560a1b3-ccc7-4800-911b-35c9f118e7d8</errorID>
      <errorWord>对声</errorWord>
      <group>L1_Word</group>
      <groupName>字词问题</groupName>
      <ability>L2_Typo</ability>
      <abilityName>字词错误</abilityName>
      <candidateList>
        <item>噪声</item>
      </candidateList>
      <explain/>
      <paraID>1D480C05</paraID>
      <start>2</start>
      <end>4</end>
      <status>ignored</status>
      <modifiedWord/>
      <trackRevisions>false</trackRevisions>
    </reviewItem>
    <reviewItem>
      <errorID>e0be24c3-1e7e-43b3-af88-6a4e36d36234</errorID>
      <errorWord>环境环境保护</errorWord>
      <group>L1_Word</group>
      <groupName>字词问题</groupName>
      <ability>L2_Typo</ability>
      <abilityName>字词错误</abilityName>
      <candidateList>
        <item>环境保护</item>
      </candidateList>
      <explain/>
      <paraID>5010F867</paraID>
      <start>21</start>
      <end>25</end>
      <status>modified</status>
      <modifiedWord>环境保护</modifiedWord>
      <trackRevisions>false</trackRevisions>
    </reviewItem>
    <reviewItem>
      <errorID>18f129c3-553d-4404-aab5-d0a99674924e</errorID>
      <errorWord>护长</errorWord>
      <group>L1_Word</group>
      <groupName>字词问题</groupName>
      <ability>L2_Typo</ability>
      <abilityName>字词错误</abilityName>
      <candidateList>
        <item>护士长</item>
      </candidateList>
      <explain/>
      <paraID> E3EA03D</paraID>
      <start>32</start>
      <end>34</end>
      <status>ignored</status>
      <modifiedWord/>
      <trackRevisions>false</trackRevisions>
    </reviewItem>
    <reviewItem>
      <errorID>68366683-dc5c-4e3d-a877-f6c97fdfec1c</errorID>
      <errorWord>护长</errorWord>
      <group>L1_Word</group>
      <groupName>字词问题</groupName>
      <ability>L2_Typo</ability>
      <abilityName>字词错误</abilityName>
      <candidateList>
        <item>护士长</item>
      </candidateList>
      <explain/>
      <paraID> E3EA03D</paraID>
      <start>47</start>
      <end>49</end>
      <status>ignored</status>
      <modifiedWord/>
      <trackRevisions>false</trackRevisions>
    </reviewItem>
    <reviewItem>
      <errorID>aa7a500a-adcb-4c64-a810-698185feb050</errorID>
      <errorWord>护长</errorWord>
      <group>L1_Word</group>
      <groupName>字词问题</groupName>
      <ability>L2_Typo</ability>
      <abilityName>字词错误</abilityName>
      <candidateList>
        <item>护士长</item>
      </candidateList>
      <explain/>
      <paraID>2655E515</paraID>
      <start>13</start>
      <end>15</end>
      <status>ignored</status>
      <modifiedWord/>
      <trackRevisions>false</trackRevisions>
    </reviewItem>
    <reviewItem>
      <errorID>12c4775e-4858-4238-b914-46dea532fef3</errorID>
      <errorWord>护长</errorWord>
      <group>L1_Word</group>
      <groupName>字词问题</groupName>
      <ability>L2_Typo</ability>
      <abilityName>字词错误</abilityName>
      <candidateList>
        <item>护士长</item>
      </candidateList>
      <explain/>
      <paraID>46B4CB38</paraID>
      <start>20</start>
      <end>22</end>
      <status>ignored</status>
      <modifiedWord/>
      <trackRevisions>false</trackRevisions>
    </reviewItem>
    <reviewItem>
      <errorID>bc01ef0f-6628-4cde-8f4e-96f01e0accac</errorID>
      <errorWord>）</errorWord>
      <group>L1_Format</group>
      <groupName>格式问题</groupName>
      <ability>L2_HalfPunc</ability>
      <abilityName>全半角检查</abilityName>
      <candidateList>
        <item>)</item>
      </candidateList>
      <explain>文本全半角错误。</explain>
      <paraID>5AB96169</paraID>
      <start>48</start>
      <end>49</end>
      <status>modified</status>
      <modifiedWord>)</modifiedWord>
      <trackRevisions>false</trackRevisions>
    </reviewItem>
    <reviewItem>
      <errorID>32c56b3a-5e82-4e1c-82b9-681ebb4a4205</errorID>
      <errorWord>护长</errorWord>
      <group>L1_Word</group>
      <groupName>字词问题</groupName>
      <ability>L2_Typo</ability>
      <abilityName>字词错误</abilityName>
      <candidateList>
        <item>护士长</item>
      </candidateList>
      <explain/>
      <paraID>34C9317E</paraID>
      <start>71</start>
      <end>73</end>
      <status>ignored</status>
      <modifiedWord/>
      <trackRevisions>false</trackRevisions>
    </reviewItem>
    <reviewItem>
      <errorID>cde1f27b-ec87-4380-9112-5bed2a62683a</errorID>
      <errorWord>护长</errorWord>
      <group>L1_Word</group>
      <groupName>字词问题</groupName>
      <ability>L2_Typo</ability>
      <abilityName>字词错误</abilityName>
      <candidateList>
        <item>护士长</item>
      </candidateList>
      <explain/>
      <paraID>34C9317E</paraID>
      <start>98</start>
      <end>100</end>
      <status>ignored</status>
      <modifiedWord/>
      <trackRevisions>false</trackRevisions>
    </reviewItem>
    <reviewItem>
      <errorID>906af590-53d7-4cf3-8697-ba81f076e356</errorID>
      <errorWord>）</errorWord>
      <group>L1_Format</group>
      <groupName>格式问题</groupName>
      <ability>L2_HalfPunc</ability>
      <abilityName>全半角检查</abilityName>
      <candidateList>
        <item>)</item>
      </candidateList>
      <explain>文本全半角错误。</explain>
      <paraID>73767B96</paraID>
      <start>41</start>
      <end>42</end>
      <status>modified</status>
      <modifiedWord>)</modifiedWord>
      <trackRevisions>false</trackRevisions>
    </reviewItem>
    <reviewItem>
      <errorID>44287db3-ae41-4d78-b03b-b10bef66f6d9</errorID>
      <errorWord>,</errorWord>
      <group>L1_Format</group>
      <groupName>格式问题</groupName>
      <ability>L2_HalfPunc</ability>
      <abilityName>全半角检查</abilityName>
      <candidateList>
        <item>，</item>
      </candidateList>
      <explain>文本全半角错误。</explain>
      <paraID>371FD669</paraID>
      <start>52</start>
      <end>53</end>
      <status>ignored</status>
      <modifiedWord/>
      <trackRevisions>false</trackRevisions>
    </reviewItem>
    <reviewItem>
      <errorID>987e8662-bdc4-4b84-903f-8359fd5f7eab</errorID>
      <errorWord>来自于</errorWord>
      <group>L1_Word</group>
      <groupName>字词问题</groupName>
      <ability>L2_Typo</ability>
      <abilityName>字词错误</abilityName>
      <candidateList>
        <item>来自</item>
      </candidateList>
      <explain/>
      <paraID>4B23334D</paraID>
      <start>24</start>
      <end>26</end>
      <status>modified</status>
      <modifiedWord>来自</modifiedWord>
      <trackRevisions>false</trackRevisions>
    </reviewItem>
    <reviewItem>
      <errorID>bc127f49-57f5-4418-ad44-929e1ea7ab90</errorID>
      <errorWord>护长</errorWord>
      <group>L1_Word</group>
      <groupName>字词问题</groupName>
      <ability>L2_Typo</ability>
      <abilityName>字词错误</abilityName>
      <candidateList>
        <item>护士长</item>
      </candidateList>
      <explain/>
      <paraID>52D32EA3</paraID>
      <start>15</start>
      <end>17</end>
      <status>ignored</status>
      <modifiedWord/>
      <trackRevisions>false</trackRevisions>
    </reviewItem>
    <reviewItem>
      <errorID>83af5261-5eb7-46df-8436-1b7a035f680b</errorID>
      <errorWord>护长</errorWord>
      <group>L1_Word</group>
      <groupName>字词问题</groupName>
      <ability>L2_Typo</ability>
      <abilityName>字词错误</abilityName>
      <candidateList>
        <item>护士长</item>
      </candidateList>
      <explain/>
      <paraID>12D13607</paraID>
      <start>9</start>
      <end>11</end>
      <status>ignored</status>
      <modifiedWord/>
      <trackRevisions>false</trackRevisions>
    </reviewItem>
    <reviewItem>
      <errorID>2dfc40b3-a592-440f-9fa9-6d6648d249df</errorID>
      <errorWord>护长</errorWord>
      <group>L1_Word</group>
      <groupName>字词问题</groupName>
      <ability>L2_Typo</ability>
      <abilityName>字词错误</abilityName>
      <candidateList>
        <item>护士长</item>
      </candidateList>
      <explain/>
      <paraID>66C47D65</paraID>
      <start>12</start>
      <end>14</end>
      <status>ignored</status>
      <modifiedWord/>
      <trackRevisions>false</trackRevisions>
    </reviewItem>
    <reviewItem>
      <errorID>9e14ed5c-8e2d-4820-9a02-61a97e410bdf</errorID>
      <errorWord>护长</errorWord>
      <group>L1_Word</group>
      <groupName>字词问题</groupName>
      <ability>L2_Typo</ability>
      <abilityName>字词错误</abilityName>
      <candidateList>
        <item>护士长</item>
      </candidateList>
      <explain/>
      <paraID>45614FD8</paraID>
      <start>19</start>
      <end>21</end>
      <status>ignored</status>
      <modifiedWord/>
      <trackRevisions>false</trackRevisions>
    </reviewItem>
    <reviewItem>
      <errorID>03f64505-cf10-458a-9ba4-6ed5b5c43b10</errorID>
      <errorWord>（</errorWord>
      <group>L1_Punc</group>
      <groupName>标点问题</groupName>
      <ability>L2_Punc</ability>
      <abilityName>标点符号检查</abilityName>
      <candidateList/>
      <explain/>
      <paraID>1DEAE145</paraID>
      <start>13</start>
      <end>14</end>
      <status>unmodified</status>
      <modifiedWord/>
      <trackRevisions>false</trackRevisions>
    </reviewItem>
    <reviewItem>
      <errorID>70841065-8e4e-4235-8801-fe5efa737658</errorID>
      <errorWord>护长</errorWord>
      <group>L1_Word</group>
      <groupName>字词问题</groupName>
      <ability>L2_Typo</ability>
      <abilityName>字词错误</abilityName>
      <candidateList>
        <item>护士长</item>
      </candidateList>
      <explain/>
      <paraID>7CE22F6C</paraID>
      <start>82</start>
      <end>84</end>
      <status>ignored</status>
      <modifiedWord/>
      <trackRevisions>false</trackRevisions>
    </reviewItem>
    <reviewItem>
      <errorID>8e70d0c7-ecaf-4b47-ba5a-e813b42d5608</errorID>
      <errorWord>护岸形式</errorWord>
      <group>L1_Word</group>
      <groupName>字词问题</groupName>
      <ability>L2_Typo</ability>
      <abilityName>字词错误</abilityName>
      <candidateList>
        <item>护岸型式</item>
      </candidateList>
      <explain/>
      <paraID>7CE22F6C</paraID>
      <start>151</start>
      <end>155</end>
      <status>unmodified</status>
      <modifiedWord/>
      <trackRevisions>false</trackRevisions>
    </reviewItem>
    <reviewItem>
      <errorID>b116ad8e-fe2e-4ce1-880c-a8bf1935db8e</errorID>
      <errorWord>堆积高度</errorWord>
      <group>L1_Knowledge</group>
      <groupName>知识性问题</groupName>
      <ability>L2_Term</ability>
      <abilityName>专业术语</abilityName>
      <candidateList>
        <item>堆芯高度</item>
      </candidateList>
      <explain/>
      <paraID>5A43C0C6</paraID>
      <start>2</start>
      <end>6</end>
      <status>unmodified</status>
      <modifiedWord/>
      <trackRevisions>false</trackRevisions>
    </reviewItem>
    <reviewItem>
      <errorID>05e0b2c4-507d-4bab-b8c3-43de971ff3c4</errorID>
      <errorWord>脚的</errorWord>
      <group>L1_Word</group>
      <groupName>字词问题</groupName>
      <ability>L2_Typo</ability>
      <abilityName>字词错误</abilityName>
      <candidateList>
        <item>脚</item>
      </candidateList>
      <explain/>
      <paraID>21CFAFDE</paraID>
      <start>4</start>
      <end>5</end>
      <status>modified</status>
      <modifiedWord>脚</modifiedWord>
      <trackRevisions>false</trackRevisions>
    </reviewItem>
    <reviewItem>
      <errorID>fe535c0e-41d3-4dbc-b64e-ebe1a30cbc45</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6BA5D7FA</paraID>
      <start>29</start>
      <end>31</end>
      <status>ignored</status>
      <modifiedWord/>
      <trackRevisions>false</trackRevisions>
    </reviewItem>
    <reviewItem>
      <errorID>55fe98e0-9aca-4580-8ed6-628eee0af34e</errorID>
      <errorWord>基础开挖</errorWord>
      <group>L1_Knowledge</group>
      <groupName>知识性问题</groupName>
      <ability>L2_Term</ability>
      <abilityName>专业术语</abilityName>
      <candidateList>
        <item>基坑开挖</item>
      </candidateList>
      <explain/>
      <paraID>28B02474</paraID>
      <start>63</start>
      <end>67</end>
      <status>ignored</status>
      <modifiedWord/>
      <trackRevisions>false</trackRevisions>
    </reviewItem>
    <reviewItem>
      <errorID>b5e11c0d-47df-4581-ab99-4c1ef20e8c90</errorID>
      <errorWord>结条</errorWord>
      <group>L1_Word</group>
      <groupName>字词问题</groupName>
      <ability>L2_Typo</ability>
      <abilityName>字词错误</abilityName>
      <candidateList>
        <item>接条</item>
      </candidateList>
      <explain/>
      <paraID> 45C35FD</paraID>
      <start>211</start>
      <end>213</end>
      <status>ignored</status>
      <modifiedWord/>
      <trackRevisions>false</trackRevisions>
    </reviewItem>
    <reviewItem>
      <errorID>3c3643d0-8b55-4367-9669-bb30af6ee971</errorID>
      <errorWord>网垫</errorWord>
      <group>L1_Word</group>
      <groupName>字词问题</groupName>
      <ability>L2_Typo</ability>
      <abilityName>字词错误</abilityName>
      <candidateList>
        <item>网格</item>
      </candidateList>
      <explain/>
      <paraID> CEE7CCA</paraID>
      <start>39</start>
      <end>41</end>
      <status>ignored</status>
      <modifiedWord/>
      <trackRevisions>false</trackRevisions>
    </reviewItem>
    <reviewItem>
      <errorID>7f5e88c5-2ee4-491d-9522-14af0b0ac7ea</errorID>
      <errorWord>震捣</errorWord>
      <group>L1_Word</group>
      <groupName>字词问题</groupName>
      <ability>L2_Typo</ability>
      <abilityName>字词错误</abilityName>
      <candidateList>
        <item>振捣</item>
      </candidateList>
      <explain/>
      <paraID>14F23C47</paraID>
      <start>28</start>
      <end>30</end>
      <status>modified</status>
      <modifiedWord>振捣</modifiedWord>
      <trackRevisions>false</trackRevisions>
    </reviewItem>
    <reviewItem>
      <errorID>652efa67-12e3-4af9-84c0-42238784d744</errorID>
      <errorWord>修</errorWord>
      <group>L1_Word</group>
      <groupName>字词问题</groupName>
      <ability>L2_Typo</ability>
      <abilityName>字词错误</abilityName>
      <candidateList>
        <item>修复</item>
      </candidateList>
      <explain/>
      <paraID>3DE3C2B1</paraID>
      <start>194</start>
      <end>196</end>
      <status>modified</status>
      <modifiedWord>修复</modifiedWord>
      <trackRevisions>false</trackRevisions>
    </reviewItem>
    <reviewItem>
      <errorID>8426794d-dc8b-4a0c-aaac-631273c0862a</errorID>
      <errorWord>施工营</errorWord>
      <group>L1_Word</group>
      <groupName>字词问题</groupName>
      <ability>L2_Typo</ability>
      <abilityName>字词错误</abilityName>
      <candidateList>
        <item>施工场</item>
      </candidateList>
      <explain/>
      <paraID>1651695C</paraID>
      <start>2</start>
      <end>5</end>
      <status>ignored</status>
      <modifiedWord/>
      <trackRevisions>false</trackRevisions>
    </reviewItem>
    <reviewItem>
      <errorID>c868fe68-f2bc-4103-bd0f-1200cff3161a</errorID>
      <errorWord>~</errorWord>
      <group>L1_Format</group>
      <groupName>格式问题</groupName>
      <ability>L2_HalfPunc</ability>
      <abilityName>全半角检查</abilityName>
      <candidateList>
        <item>～</item>
      </candidateList>
      <explain>文本全半角错误。</explain>
      <paraID>78CAEC6B</paraID>
      <start>20</start>
      <end>21</end>
      <status>modified</status>
      <modifiedWord>～</modifiedWord>
      <trackRevisions>false</trackRevisions>
    </reviewItem>
    <reviewItem>
      <errorID>6d006ea9-6b7c-4faa-954c-5789c48809a2</errorID>
      <errorWord>计</errorWord>
      <group>L1_Word</group>
      <groupName>字词问题</groupName>
      <ability>L2_Typo</ability>
      <abilityName>字词错误</abilityName>
      <candidateList>
        <item>计算</item>
      </candidateList>
      <explain/>
      <paraID>17D241CC</paraID>
      <start>67</start>
      <end>68</end>
      <status>ignored</status>
      <modifiedWord/>
      <trackRevisions>false</trackRevisions>
    </reviewItem>
    <reviewItem>
      <errorID>0c58be63-fe35-41b4-9b14-9d8044593b4c</errorID>
      <errorWord>(</errorWord>
      <group>L1_Format</group>
      <groupName>格式问题</groupName>
      <ability>L2_HalfPunc</ability>
      <abilityName>全半角检查</abilityName>
      <candidateList>
        <item>（</item>
      </candidateList>
      <explain>文本全半角错误。</explain>
      <paraID> B6445DB</paraID>
      <start>92</start>
      <end>93</end>
      <status>modified</status>
      <modifiedWord>（</modifiedWord>
      <trackRevisions>false</trackRevisions>
    </reviewItem>
    <reviewItem>
      <errorID>4225da48-af56-4c24-9820-adc4519747f8</errorID>
      <errorWord>施工占</errorWord>
      <group>L1_Word</group>
      <groupName>字词问题</groupName>
      <ability>L2_Typo</ability>
      <abilityName>字词错误</abilityName>
      <candidateList>
        <item>施工场</item>
      </candidateList>
      <explain/>
      <paraID>55404BD7</paraID>
      <start>63</start>
      <end>66</end>
      <status>ignored</status>
      <modifiedWord/>
      <trackRevisions>false</trackRevisions>
    </reviewItem>
    <reviewItem>
      <errorID>f78c4529-b9a6-4462-b582-11b6cfc02dc2</errorID>
      <errorWord>造成的</errorWord>
      <group>L1_Word</group>
      <groupName>字词问题</groupName>
      <ability>L2_Typo</ability>
      <abilityName>字词错误</abilityName>
      <candidateList>
        <item>造成</item>
      </candidateList>
      <explain/>
      <paraID>4EAF097C</paraID>
      <start>109</start>
      <end>112</end>
      <status>ignored</status>
      <modifiedWord/>
      <trackRevisions>false</trackRevisions>
    </reviewItem>
    <reviewItem>
      <errorID>866574c4-9b59-41f7-b64f-c87bfa89ba23</errorID>
      <errorWord>是</errorWord>
      <group>L1_Word</group>
      <groupName>字词问题</groupName>
      <ability>L2_Typo</ability>
      <abilityName>字词错误</abilityName>
      <candidateList>
        <item>是一</item>
      </candidateList>
      <explain/>
      <paraID>42C1E629</paraID>
      <start>20</start>
      <end>21</end>
      <status>ignored</status>
      <modifiedWord/>
      <trackRevisions>false</trackRevisions>
    </reviewItem>
    <reviewItem>
      <errorID>228882d4-fb91-4a4f-ba61-0859177fa8bc</errorID>
      <errorWord>程</errorWord>
      <group>L1_Word</group>
      <groupName>字词问题</groupName>
      <ability>L2_Typo</ability>
      <abilityName>字词错误</abilityName>
      <candidateList>
        <item>程中</item>
      </candidateList>
      <explain/>
      <paraID>6C4D72EF</paraID>
      <start>8</start>
      <end>9</end>
      <status>ignored</status>
      <modifiedWord/>
      <trackRevisions>false</trackRevisions>
    </reviewItem>
    <reviewItem>
      <errorID>1ed8d36f-d980-4e35-a02b-4944f3e3896a</errorID>
      <errorWord>加强</errorWord>
      <group>L1_Word</group>
      <groupName>字词问题</groupName>
      <ability>L2_Typo</ability>
      <abilityName>字词错误</abilityName>
      <candidateList>
        <item>加大</item>
      </candidateList>
      <explain>“加强～力度”搭配不当，建议修改为“加大～力度”。</explain>
      <paraID>7C4F0FCD</paraID>
      <start>19</start>
      <end>21</end>
      <status>modified</status>
      <modifiedWord>加大</modifiedWord>
      <trackRevisions>false</trackRevisions>
    </reviewItem>
    <reviewItem>
      <errorID>524169f4-c7b2-4751-941a-a43d2e6b2abd</errorID>
      <errorWord>陡坎</errorWord>
      <group>L1_Word</group>
      <groupName>字词问题</groupName>
      <ability>L2_Typo</ability>
      <abilityName>字词错误</abilityName>
      <candidateList>
        <item>陡坡</item>
      </candidateList>
      <explain/>
      <paraID>57E5DDF8</paraID>
      <start>66</start>
      <end>68</end>
      <status>ignored</status>
      <modifiedWord/>
      <trackRevisions>false</trackRevisions>
    </reviewItem>
    <reviewItem>
      <errorID>0f81e592-b4aa-460f-829c-c0c5204fbfb5</errorID>
      <errorWord>桔红色</errorWord>
      <group>L1_Word</group>
      <groupName>字词问题</groupName>
      <ability>L2_Typo</ability>
      <abilityName>字词错误</abilityName>
      <candidateList>
        <item>橘红色</item>
      </candidateList>
      <explain/>
      <paraID>743ACEFE</paraID>
      <start>21</start>
      <end>24</end>
      <status>ignored</status>
      <modifiedWord/>
      <trackRevisions>false</trackRevisions>
    </reviewItem>
    <reviewItem>
      <errorID>437b06b1-0863-4ecc-97e2-9277bc74c435</errorID>
      <errorWord>陡坎</errorWord>
      <group>L1_Word</group>
      <groupName>字词问题</groupName>
      <ability>L2_Typo</ability>
      <abilityName>字词错误</abilityName>
      <candidateList>
        <item>陡坡</item>
      </candidateList>
      <explain/>
      <paraID>215E597C</paraID>
      <start>133</start>
      <end>135</end>
      <status>ignored</status>
      <modifiedWord/>
      <trackRevisions>false</trackRevisions>
    </reviewItem>
    <reviewItem>
      <errorID>6c2eeb34-5c61-4cb3-9a86-1501f6b672b3</errorID>
      <errorWord>立直</errorWord>
      <group>L1_Word</group>
      <groupName>字词问题</groupName>
      <ability>L2_Typo</ability>
      <abilityName>字词错误</abilityName>
      <candidateList>
        <item>平直</item>
      </candidateList>
      <explain/>
      <paraID>10BAFB6C</paraID>
      <start>8</start>
      <end>10</end>
      <status>ignored</status>
      <modifiedWord/>
      <trackRevisions>false</trackRevisions>
    </reviewItem>
    <reviewItem>
      <errorID>0d338f89-97b7-4e44-a0d9-0e02a9eabae3</errorID>
      <errorWord>陡坎</errorWord>
      <group>L1_Word</group>
      <groupName>字词问题</groupName>
      <ability>L2_Typo</ability>
      <abilityName>字词错误</abilityName>
      <candidateList>
        <item>陡坡</item>
      </candidateList>
      <explain/>
      <paraID>10BAFB6C</paraID>
      <start>10</start>
      <end>12</end>
      <status>ignored</status>
      <modifiedWord/>
      <trackRevisions>false</trackRevisions>
    </reviewItem>
    <reviewItem>
      <errorID>adc251db-65eb-4b8a-accc-88173f74cdb6</errorID>
      <errorWord>-2022年</errorWord>
      <group>L1_Word</group>
      <groupName>字词问题</groupName>
      <ability>L2_Typo</ability>
      <abilityName>字词错误</abilityName>
      <candidateList>
        <item>—2022年</item>
      </candidateList>
      <explain/>
      <paraID> B7322F6</paraID>
      <start>68</start>
      <end>74</end>
      <status>ignored</status>
      <modifiedWord/>
      <trackRevisions>false</trackRevisions>
    </reviewItem>
    <reviewItem>
      <errorID>fb9c6abb-78bf-42bf-b337-cc17940eb5b9</errorID>
      <errorWord>-2022年</errorWord>
      <group>L1_Word</group>
      <groupName>字词问题</groupName>
      <ability>L2_Typo</ability>
      <abilityName>字词错误</abilityName>
      <candidateList>
        <item>—2022年</item>
      </candidateList>
      <explain/>
      <paraID>3300751C</paraID>
      <start>17</start>
      <end>23</end>
      <status>ignored</status>
      <modifiedWord/>
      <trackRevisions>false</trackRevisions>
    </reviewItem>
    <reviewItem>
      <errorID>a29fda67-1595-4381-9492-75f3cc9d57d4</errorID>
      <errorWord>陡坎</errorWord>
      <group>L1_Word</group>
      <groupName>字词问题</groupName>
      <ability>L2_Typo</ability>
      <abilityName>字词错误</abilityName>
      <candidateList>
        <item>陡坡</item>
      </candidateList>
      <explain/>
      <paraID>55209B42</paraID>
      <start>85</start>
      <end>87</end>
      <status>ignored</status>
      <modifiedWord/>
      <trackRevisions>false</trackRevisions>
    </reviewItem>
    <reviewItem>
      <errorID>fe6f8d8b-db28-44cc-9c0d-1aadb9409f81</errorID>
      <errorWord>陡坎</errorWord>
      <group>L1_Word</group>
      <groupName>字词问题</groupName>
      <ability>L2_Typo</ability>
      <abilityName>字词错误</abilityName>
      <candidateList>
        <item>陡坡</item>
      </candidateList>
      <explain/>
      <paraID>5C09B934</paraID>
      <start>114</start>
      <end>116</end>
      <status>ignored</status>
      <modifiedWord/>
      <trackRevisions>false</trackRevisions>
    </reviewItem>
    <reviewItem>
      <errorID>a3ee3345-288b-465a-a717-8225d6e633ba</errorID>
      <errorWord>成</errorWord>
      <group>L1_Word</group>
      <groupName>字词问题</groupName>
      <ability>L2_Typo</ability>
      <abilityName>字词错误</abilityName>
      <candidateList>
        <item>呈</item>
      </candidateList>
      <explain>存在发音相同字词的误用。</explain>
      <paraID>5C09B934</paraID>
      <start>178</start>
      <end>179</end>
      <status>modified</status>
      <modifiedWord>呈</modifiedWord>
      <trackRevisions>false</trackRevisions>
    </reviewItem>
    <reviewItem>
      <errorID>40868dd2-4275-4813-8d84-ab43464d1a95</errorID>
      <errorWord>陡坎</errorWord>
      <group>L1_Word</group>
      <groupName>字词问题</groupName>
      <ability>L2_Typo</ability>
      <abilityName>字词错误</abilityName>
      <candidateList>
        <item>陡坡</item>
      </candidateList>
      <explain/>
      <paraID>5C09B934</paraID>
      <start>181</start>
      <end>183</end>
      <status>ignored</status>
      <modifiedWord/>
      <trackRevisions>false</trackRevisions>
    </reviewItem>
    <reviewItem>
      <errorID>e7c74958-d0d8-412d-985e-2a21681edc8a</errorID>
      <errorWord>陡坎</errorWord>
      <group>L1_Word</group>
      <groupName>字词问题</groupName>
      <ability>L2_Typo</ability>
      <abilityName>字词错误</abilityName>
      <candidateList>
        <item>陡坡</item>
      </candidateList>
      <explain/>
      <paraID> 5463EC9</paraID>
      <start>42</start>
      <end>44</end>
      <status>ignored</status>
      <modifiedWord/>
      <trackRevisions>false</trackRevisions>
    </reviewItem>
    <reviewItem>
      <errorID>96cd3c99-5d25-4d79-9fca-f6f781e56e44</errorID>
      <errorWord>护长</errorWord>
      <group>L1_Word</group>
      <groupName>字词问题</groupName>
      <ability>L2_Typo</ability>
      <abilityName>字词错误</abilityName>
      <candidateList>
        <item>护士长</item>
      </candidateList>
      <explain/>
      <paraID>77AF33FE</paraID>
      <start>96</start>
      <end>98</end>
      <status>ignored</status>
      <modifiedWord/>
      <trackRevisions>false</trackRevisions>
    </reviewItem>
    <reviewItem>
      <errorID>eb171e8f-ef2a-4b98-904c-29d94a954052</errorID>
      <errorWord>护长</errorWord>
      <group>L1_Word</group>
      <groupName>字词问题</groupName>
      <ability>L2_Typo</ability>
      <abilityName>字词错误</abilityName>
      <candidateList>
        <item>护士长</item>
      </candidateList>
      <explain/>
      <paraID>4F66881E</paraID>
      <start>52</start>
      <end>54</end>
      <status>ignored</status>
      <modifiedWord/>
      <trackRevisions>false</trackRevisions>
    </reviewItem>
    <reviewItem>
      <errorID>d1c116eb-0583-40f3-b5a7-4e947c3ad15d</errorID>
      <errorWord>护长</errorWord>
      <group>L1_Word</group>
      <groupName>字词问题</groupName>
      <ability>L2_Typo</ability>
      <abilityName>字词错误</abilityName>
      <candidateList>
        <item>护士长</item>
      </candidateList>
      <explain/>
      <paraID>4F66881E</paraID>
      <start>118</start>
      <end>120</end>
      <status>ignored</status>
      <modifiedWord/>
      <trackRevisions>false</trackRevisions>
    </reviewItem>
    <reviewItem>
      <errorID>2b3bd294-f505-443a-bdd7-97855daa2dd9</errorID>
      <errorWord>年</errorWord>
      <group>L1_Word</group>
      <groupName>字词问题</groupName>
      <ability>L2_Typo</ability>
      <abilityName>字词错误</abilityName>
      <candidateList>
        <item>年度</item>
      </candidateList>
      <explain/>
      <paraID>16786747</paraID>
      <start>0</start>
      <end>1</end>
      <status>ignored</status>
      <modifiedWord/>
      <trackRevisions>false</trackRevisions>
    </reviewItem>
    <reviewItem>
      <errorID>db86625e-44b1-47b0-9b8b-e9b6643d0d04</errorID>
      <errorWord>《</errorWord>
      <group>L1_Punc</group>
      <groupName>标点问题</groupName>
      <ability>L2_Punc</ability>
      <abilityName>标点符号检查</abilityName>
      <candidateList/>
      <explain/>
      <paraID>440E62E5</paraID>
      <start>0</start>
      <end>1</end>
      <status>ignored</status>
      <modifiedWord/>
      <trackRevisions>false</trackRevisions>
    </reviewItem>
    <reviewItem>
      <errorID>3fdc3764-6315-4660-a032-8fe6778070ea</errorID>
      <errorWord>地下水检测</errorWord>
      <group>L1_Word</group>
      <groupName>字词问题</groupName>
      <ability>L2_Typo</ability>
      <abilityName>字词错误</abilityName>
      <candidateList>
        <item>地下水监测</item>
      </candidateList>
      <explain/>
      <paraID>4B3E082D</paraID>
      <start>6</start>
      <end>11</end>
      <status>unmodified</status>
      <modifiedWord/>
      <trackRevisions>false</trackRevisions>
    </reviewItem>
    <reviewItem>
      <errorID>2b5ea57b-9e62-4670-b262-820798da55b1</errorID>
      <errorWord>(</errorWord>
      <group>L1_Format</group>
      <groupName>格式问题</groupName>
      <ability>L2_HalfPunc</ability>
      <abilityName>全半角检查</abilityName>
      <candidateList>
        <item>（</item>
      </candidateList>
      <explain>文本全半角错误。</explain>
      <paraID>69BF8A42</paraID>
      <start>0</start>
      <end>1</end>
      <status>modified</status>
      <modifiedWord>（</modifiedWord>
      <trackRevisions>false</trackRevisions>
    </reviewItem>
    <reviewItem>
      <errorID>b6fd4e01-9d95-4a0e-bee2-a1ddb6da535d</errorID>
      <errorWord>)</errorWord>
      <group>L1_Format</group>
      <groupName>格式问题</groupName>
      <ability>L2_HalfPunc</ability>
      <abilityName>全半角检查</abilityName>
      <candidateList>
        <item>）</item>
      </candidateList>
      <explain>文本全半角错误。</explain>
      <paraID>698E6068</paraID>
      <start>29</start>
      <end>30</end>
      <status>modified</status>
      <modifiedWord>）</modifiedWord>
      <trackRevisions>false</trackRevisions>
    </reviewItem>
    <reviewItem>
      <errorID>b9a3c99d-600a-4d2b-b1e1-f675e93930fc</errorID>
      <errorWord>)</errorWord>
      <group>L1_Format</group>
      <groupName>格式问题</groupName>
      <ability>L2_HalfPunc</ability>
      <abilityName>全半角检查</abilityName>
      <candidateList>
        <item>）</item>
      </candidateList>
      <explain>文本全半角错误。</explain>
      <paraID>494E0630</paraID>
      <start>21</start>
      <end>22</end>
      <status>modified</status>
      <modifiedWord>）</modifiedWord>
      <trackRevisions>false</trackRevisions>
    </reviewItem>
    <reviewItem>
      <errorID>710deb22-aa7d-4c33-b58b-dc745bca0888</errorID>
      <errorWord>&gt;</errorWord>
      <group>L1_Punc</group>
      <groupName>标点问题</groupName>
      <ability>L2_Punc</ability>
      <abilityName>标点符号检查</abilityName>
      <candidateList/>
      <explain/>
      <paraID>4D610AFB</paraID>
      <start>0</start>
      <end>1</end>
      <status>ignored</status>
      <modifiedWord/>
      <trackRevisions>false</trackRevisions>
    </reviewItem>
    <reviewItem>
      <errorID>6f14222e-15de-4ece-98f7-24e90ec55b3e</errorID>
      <errorWord>＜</errorWord>
      <group>L1_Format</group>
      <groupName>格式问题</groupName>
      <ability>L2_HalfPunc</ability>
      <abilityName>全半角检查</abilityName>
      <candidateList>
        <item>&lt;</item>
      </candidateList>
      <explain>文本全半角错误。</explain>
      <paraID>79469852</paraID>
      <start>0</start>
      <end>1</end>
      <status>ignored</status>
      <modifiedWord/>
      <trackRevisions>false</trackRevisions>
    </reviewItem>
    <reviewItem>
      <errorID>7fb7b3a6-b696-4c69-81e9-0a7736ecb592</errorID>
      <errorWord>，＜</errorWord>
      <group>L1_Format</group>
      <groupName>格式问题</groupName>
      <ability>L2_HalfPunc</ability>
      <abilityName>全半角检查</abilityName>
      <candidateList>
        <item>,&lt;</item>
      </candidateList>
      <explain>文本全半角错误。</explain>
      <paraID>79469852</paraID>
      <start>4</start>
      <end>6</end>
      <status>unmodified</status>
      <modifiedWord/>
      <trackRevisions>false</trackRevisions>
    </reviewItem>
    <reviewItem>
      <errorID>74f5bf82-4d66-4cab-bd97-de8f0eb7353a</errorID>
      <errorWord>，＜</errorWord>
      <group>L1_Format</group>
      <groupName>格式问题</groupName>
      <ability>L2_HalfPunc</ability>
      <abilityName>全半角检查</abilityName>
      <candidateList>
        <item>,&lt;</item>
      </candidateList>
      <explain>文本全半角错误。</explain>
      <paraID>79469852</paraID>
      <start>9</start>
      <end>11</end>
      <status>unmodified</status>
      <modifiedWord/>
      <trackRevisions>false</trackRevisions>
    </reviewItem>
    <reviewItem>
      <errorID>c1f4b01f-e59b-43f8-8121-d7323321e21f</errorID>
      <errorWord>，</errorWord>
      <group>L1_Format</group>
      <groupName>格式问题</groupName>
      <ability>L2_HalfPunc</ability>
      <abilityName>全半角检查</abilityName>
      <candidateList>
        <item>,</item>
      </candidateList>
      <explain>文本全半角错误。</explain>
      <paraID>1CDCD4F9</paraID>
      <start>3</start>
      <end>4</end>
      <status>modified</status>
      <modifiedWord>,</modifiedWord>
      <trackRevisions>false</trackRevisions>
    </reviewItem>
    <reviewItem>
      <errorID>45d2938b-f7b1-47d8-bf37-a2b7866dfa3e</errorID>
      <errorWord>&gt;</errorWord>
      <group>L1_Punc</group>
      <groupName>标点问题</groupName>
      <ability>L2_Punc</ability>
      <abilityName>标点符号检查</abilityName>
      <candidateList/>
      <explain/>
      <paraID>570D05B2</paraID>
      <start>0</start>
      <end>1</end>
      <status>unmodified</status>
      <modifiedWord/>
      <trackRevisions>false</trackRevisions>
    </reviewItem>
    <reviewItem>
      <errorID>80a229d7-58a0-4de9-8a0e-64756903ce79</errorID>
      <errorWord>工程工程</errorWord>
      <group>L1_Word</group>
      <groupName>字词问题</groupName>
      <ability>L2_Typo</ability>
      <abilityName>字词错误</abilityName>
      <candidateList>
        <item>工程</item>
      </candidateList>
      <explain/>
      <paraID>52861BEF</paraID>
      <start>84</start>
      <end>86</end>
      <status>modified</status>
      <modifiedWord>工程</modifiedWord>
      <trackRevisions>false</trackRevisions>
    </reviewItem>
    <reviewItem>
      <errorID>7ebbe3c3-e8ab-43ba-8c7e-d7def0d9ef29</errorID>
      <errorWord>期</errorWord>
      <group>L1_Word</group>
      <groupName>字词问题</groupName>
      <ability>L2_Typo</ability>
      <abilityName>字词错误</abilityName>
      <candidateList>
        <item>期间</item>
      </candidateList>
      <explain>〈名〉某个时期里面：农忙～｜春节～｜抗战～。</explain>
      <paraID>52861BEF</paraID>
      <start>111</start>
      <end>112</end>
      <status>unmodified</status>
      <modifiedWord/>
      <trackRevisions>false</trackRevisions>
    </reviewItem>
    <reviewItem>
      <errorID>7904ebc4-76e8-48a8-aafe-878c7813ab96</errorID>
      <errorWord>详实</errorWord>
      <group>L1_Word</group>
      <groupName>字词问题</groupName>
      <ability>L2_Typo</ability>
      <abilityName>字词错误</abilityName>
      <candidateList>
        <item>翔实</item>
      </candidateList>
      <explain/>
      <paraID>724932BE</paraID>
      <start>14</start>
      <end>16</end>
      <status>unmodified</status>
      <modifiedWord/>
      <trackRevisions>false</trackRevisions>
    </reviewItem>
    <reviewItem>
      <errorID>f28d31f5-5584-412d-a73c-0d9e3d7bd696</errorID>
      <errorWord>陡坎</errorWord>
      <group>L1_Word</group>
      <groupName>字词问题</groupName>
      <ability>L2_Typo</ability>
      <abilityName>字词错误</abilityName>
      <candidateList>
        <item>陡坡</item>
      </candidateList>
      <explain/>
      <paraID>6E716BF3</paraID>
      <start>85</start>
      <end>87</end>
      <status>ignored</status>
      <modifiedWord/>
      <trackRevisions>false</trackRevisions>
    </reviewItem>
    <reviewItem>
      <errorID>a15dc50a-cbe6-4a3e-8807-fab2cf30e3a8</errorID>
      <errorWord>程</errorWord>
      <group>L1_Word</group>
      <groupName>字词问题</groupName>
      <ability>L2_Typo</ability>
      <abilityName>字词错误</abilityName>
      <candidateList>
        <item>程中</item>
      </candidateList>
      <explain/>
      <paraID>14173284</paraID>
      <start>108</start>
      <end>109</end>
      <status>unmodified</status>
      <modifiedWord/>
      <trackRevisions>false</trackRevisions>
    </reviewItem>
    <reviewItem>
      <errorID>6fe90975-182e-430e-9c18-11fb3fafb23f</errorID>
      <errorWord>水环境影响评价</errorWord>
      <group>L1_Knowledge</group>
      <groupName>知识性问题</groupName>
      <ability>L2_Term</ability>
      <abilityName>专业术语</abilityName>
      <candidateList>
        <item>声环境影响评价</item>
      </candidateList>
      <explain/>
      <paraID>69840EFA</paraID>
      <start>8</start>
      <end>15</end>
      <status>unmodified</status>
      <modifiedWord/>
      <trackRevisions>false</trackRevisions>
    </reviewItem>
    <reviewItem>
      <errorID>057c86dc-2bcc-4330-89c2-ee964ac547c8</errorID>
      <errorWord>）</errorWord>
      <group>L1_Format</group>
      <groupName>格式问题</groupName>
      <ability>L2_HalfPunc</ability>
      <abilityName>全半角检查</abilityName>
      <candidateList>
        <item>)</item>
      </candidateList>
      <explain>文本全半角错误。</explain>
      <paraID>4079647E</paraID>
      <start>23</start>
      <end>24</end>
      <status>modified</status>
      <modifiedWord>)</modifiedWord>
      <trackRevisions>false</trackRevisions>
    </reviewItem>
    <reviewItem>
      <errorID>edb26617-5ebf-43e4-9350-32bcb1e7586f</errorID>
      <errorWord>)</errorWord>
      <group>L1_Format</group>
      <groupName>格式问题</groupName>
      <ability>L2_HalfPunc</ability>
      <abilityName>全半角检查</abilityName>
      <candidateList>
        <item>）</item>
      </candidateList>
      <explain>文本全半角错误。</explain>
      <paraID>5A186D29</paraID>
      <start>108</start>
      <end>109</end>
      <status>modified</status>
      <modifiedWord>）</modifiedWord>
      <trackRevisions>false</trackRevisions>
    </reviewItem>
    <reviewItem>
      <errorID>b2ff694a-7854-4296-b7b4-ed252ef3e969</errorID>
      <errorWord>)</errorWord>
      <group>L1_Format</group>
      <groupName>格式问题</groupName>
      <ability>L2_HalfPunc</ability>
      <abilityName>全半角检查</abilityName>
      <candidateList>
        <item>）</item>
      </candidateList>
      <explain>文本全半角错误。</explain>
      <paraID>5A186D29</paraID>
      <start>118</start>
      <end>119</end>
      <status>modified</status>
      <modifiedWord>）</modifiedWord>
      <trackRevisions>false</trackRevisions>
    </reviewItem>
    <reviewItem>
      <errorID>e55f0373-9733-4b21-921e-ff222566f939</errorID>
      <errorWord>程</errorWord>
      <group>L1_Word</group>
      <groupName>字词问题</groupName>
      <ability>L2_Typo</ability>
      <abilityName>字词错误</abilityName>
      <candidateList>
        <item>程中</item>
      </candidateList>
      <explain/>
      <paraID>5A186D29</paraID>
      <start>127</start>
      <end>128</end>
      <status>unmodified</status>
      <modifiedWord/>
      <trackRevisions>false</trackRevisions>
    </reviewItem>
    <reviewItem>
      <errorID>42a4317f-210b-4257-a005-3bb334ec20c2</errorID>
      <errorWord>(</errorWord>
      <group>L1_Format</group>
      <groupName>格式问题</groupName>
      <ability>L2_HalfPunc</ability>
      <abilityName>全半角检查</abilityName>
      <candidateList>
        <item>（</item>
      </candidateList>
      <explain>文本全半角错误。</explain>
      <paraID>38BBD3DC</paraID>
      <start>140</start>
      <end>141</end>
      <status>modified</status>
      <modifiedWord>（</modifiedWord>
      <trackRevisions>false</trackRevisions>
    </reviewItem>
    <reviewItem>
      <errorID>fec2dc08-1348-46e0-831a-1c18a5860cee</errorID>
      <errorWord>)</errorWord>
      <group>L1_Format</group>
      <groupName>格式问题</groupName>
      <ability>L2_HalfPunc</ability>
      <abilityName>全半角检查</abilityName>
      <candidateList>
        <item>）</item>
      </candidateList>
      <explain>文本全半角错误。</explain>
      <paraID>38BBD3DC</paraID>
      <start>242</start>
      <end>243</end>
      <status>modified</status>
      <modifiedWord>）</modifiedWord>
      <trackRevisions>false</trackRevisions>
    </reviewItem>
    <reviewItem>
      <errorID>8c3c64ec-ef63-4540-b6c7-cd45ec44f6a8</errorID>
      <errorWord>)</errorWord>
      <group>L1_Format</group>
      <groupName>格式问题</groupName>
      <ability>L2_HalfPunc</ability>
      <abilityName>全半角检查</abilityName>
      <candidateList>
        <item>）</item>
      </candidateList>
      <explain>文本全半角错误。</explain>
      <paraID>38BBD3DC</paraID>
      <start>252</start>
      <end>253</end>
      <status>modified</status>
      <modifiedWord>）</modifiedWord>
      <trackRevisions>false</trackRevisions>
    </reviewItem>
    <reviewItem>
      <errorID>099a5fc4-f3fc-4537-91d8-694cbb3e5844</errorID>
      <errorWord>来自于</errorWord>
      <group>L1_Word</group>
      <groupName>字词问题</groupName>
      <ability>L2_Typo</ability>
      <abilityName>字词错误</abilityName>
      <candidateList>
        <item>来自</item>
      </candidateList>
      <explain/>
      <paraID> E9B6691</paraID>
      <start>8</start>
      <end>11</end>
      <status>unmodified</status>
      <modifiedWord/>
      <trackRevisions>false</trackRevisions>
    </reviewItem>
    <reviewItem>
      <errorID>2f1d3b2e-bab4-4a89-af6b-668080bb6a60</errorID>
      <errorWord>侵润</errorWord>
      <group>L1_Knowledge</group>
      <groupName>知识性问题</groupName>
      <ability>L2_Term</ability>
      <abilityName>专业术语</abilityName>
      <candidateList>
        <item>浸润</item>
      </candidateList>
      <explain>医学名词[侵润]为不规范表述或旧称，其规范书面表述为[浸润]。</explain>
      <paraID>55567A95</paraID>
      <start>158</start>
      <end>160</end>
      <status>unmodified</status>
      <modifiedWord/>
      <trackRevisions>false</trackRevisions>
    </reviewItem>
    <reviewItem>
      <errorID>d061dad5-2e00-48e3-b2a2-1b089fc3a731</errorID>
      <errorWord>白垩统</errorWord>
      <group>L1_Word</group>
      <groupName>字词问题</groupName>
      <ability>L2_Typo</ability>
      <abilityName>字词错误</abilityName>
      <candidateList>
        <item>白垩纪</item>
      </candidateList>
      <explain/>
      <paraID>454650B1</paraID>
      <start>24</start>
      <end>27</end>
      <status>unmodified</status>
      <modifiedWord/>
      <trackRevisions>false</trackRevisions>
    </reviewItem>
    <reviewItem>
      <errorID>919cd5ad-b448-4890-b5c1-b16ae6c108a9</errorID>
      <errorWord>其它</errorWord>
      <group>L1_Word</group>
      <groupName>字词问题</groupName>
      <ability>L2_Alias</ability>
      <abilityName>也作/曾用词</abilityName>
      <candidateList>
        <item>其他</item>
      </candidateList>
      <explain>词汇[其它]为不规范表述或旧称，其规范书面表述为[其他]。</explain>
      <paraID>7C001A37</paraID>
      <start>27</start>
      <end>29</end>
      <status>modified</status>
      <modifiedWord>其他</modifiedWord>
      <trackRevisions>false</trackRevisions>
    </reviewItem>
    <reviewItem>
      <errorID>9f5ca53c-840d-4ab7-97f7-ce456d0de16c</errorID>
      <errorWord>其它</errorWord>
      <group>L1_Word</group>
      <groupName>字词问题</groupName>
      <ability>L2_Alias</ability>
      <abilityName>也作/曾用词</abilityName>
      <candidateList>
        <item>其他</item>
      </candidateList>
      <explain>词汇[其它]为不规范表述或旧称，其规范书面表述为[其他]。</explain>
      <paraID>5525B449</paraID>
      <start>28</start>
      <end>30</end>
      <status>modified</status>
      <modifiedWord>其他</modifiedWord>
      <trackRevisions>false</trackRevisions>
    </reviewItem>
    <reviewItem>
      <errorID>1ee65b67-f824-44c4-af63-aa04954e32f5</errorID>
      <errorWord>工程有</errorWord>
      <group>L1_Word</group>
      <groupName>字词问题</groupName>
      <ability>L2_Typo</ability>
      <abilityName>字词错误</abilityName>
      <candidateList>
        <item>工程</item>
      </candidateList>
      <explain/>
      <paraID>6BC370E9</paraID>
      <start>1</start>
      <end>4</end>
      <status>unmodified</status>
      <modifiedWord/>
      <trackRevisions>false</trackRevisions>
    </reviewItem>
    <reviewItem>
      <errorID>623cf7b4-72e9-40b7-b495-e8ff8f673d64</errorID>
      <errorWord>湿生植物</errorWord>
      <group>L1_Word</group>
      <groupName>字词问题</groupName>
      <ability>L2_Typo</ability>
      <abilityName>字词错误</abilityName>
      <candidateList>
        <item>水生植物</item>
      </candidateList>
      <explain/>
      <paraID> 2F4D7F3</paraID>
      <start>24</start>
      <end>28</end>
      <status>unmodified</status>
      <modifiedWord/>
      <trackRevisions>false</trackRevisions>
    </reviewItem>
    <reviewItem>
      <errorID>7a9a8f6e-314e-4d05-bb66-97fcbe9a0c9d</errorID>
      <errorWord>期</errorWord>
      <group>L1_Word</group>
      <groupName>字词问题</groupName>
      <ability>L2_Typo</ability>
      <abilityName>字词错误</abilityName>
      <candidateList>
        <item>期间</item>
      </candidateList>
      <explain>〈名〉某个时期里面：农忙～｜春节～｜抗战～。</explain>
      <paraID> 90CE067</paraID>
      <start>2</start>
      <end>3</end>
      <status>unmodified</status>
      <modifiedWord/>
      <trackRevisions>false</trackRevisions>
    </reviewItem>
    <reviewItem>
      <errorID>f571fef7-6212-4f2a-9614-c7666c51d43f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90CE067</paraID>
      <start>201</start>
      <end>202</end>
      <status>unmodified</status>
      <modifiedWord/>
      <trackRevisions>false</trackRevisions>
    </reviewItem>
    <reviewItem>
      <errorID>f2a5973f-dbb6-4caf-bbdc-f2375bf472b2</errorID>
      <errorWord>几率</errorWord>
      <group>L1_Word</group>
      <groupName>字词问题</groupName>
      <ability>L2_Typo</ability>
      <abilityName>字词错误</abilityName>
      <candidateList>
        <item>概率</item>
      </candidateList>
      <explain/>
      <paraID>5175C45D</paraID>
      <start>74</start>
      <end>76</end>
      <status>unmodified</status>
      <modifiedWord/>
      <trackRevisions>false</trackRevisions>
    </reviewItem>
    <reviewItem>
      <errorID>640924fd-67f6-41de-af65-dbb1e823725a</errorID>
      <errorWord>加强</errorWord>
      <group>L1_Word</group>
      <groupName>字词问题</groupName>
      <ability>L2_Typo</ability>
      <abilityName>字词错误</abilityName>
      <candidateList>
        <item>加大</item>
      </candidateList>
      <explain>“加强～力度”搭配不当，建议修改为“加大～力度”。</explain>
      <paraID>5D5B957A</paraID>
      <start>112</start>
      <end>114</end>
      <status>unmodified</status>
      <modifiedWord/>
      <trackRevisions>false</trackRevisions>
    </reviewItem>
    <reviewItem>
      <errorID>dc255b57-dd5c-4b9a-b763-1c0239480ec4</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5D5B957A</paraID>
      <start>114</start>
      <end>116</end>
      <status>unmodified</status>
      <modifiedWord/>
      <trackRevisions>false</trackRevisions>
    </reviewItem>
    <reviewItem>
      <errorID>696c576c-4d45-4877-9dd8-b06c031d3c0e</errorID>
      <errorWord>期</errorWord>
      <group>L1_Word</group>
      <groupName>字词问题</groupName>
      <ability>L2_Typo</ability>
      <abilityName>字词错误</abilityName>
      <candidateList>
        <item>期间</item>
      </candidateList>
      <explain>〈名〉某个时期里面：农忙～｜春节～｜抗战～。</explain>
      <paraID>5D5B957A</paraID>
      <start>152</start>
      <end>153</end>
      <status>unmodified</status>
      <modifiedWord/>
      <trackRevisions>false</trackRevisions>
    </reviewItem>
    <reviewItem>
      <errorID>a3face34-dd9a-48fc-8dc0-f6205fb75ab6</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5D5B957A</paraID>
      <start>153</start>
      <end>155</end>
      <status>unmodified</status>
      <modifiedWord/>
      <trackRevisions>false</trackRevisions>
    </reviewItem>
    <reviewItem>
      <errorID>b70d2e37-61a3-44c8-85dc-bf4fc7f4c922</errorID>
      <errorWord>仅</errorWord>
      <group>L1_Word</group>
      <groupName>字词问题</groupName>
      <ability>L2_Typo</ability>
      <abilityName>字词错误</abilityName>
      <candidateList>
        <item>经</item>
      </candidateList>
      <explain>存在发音相近字词的误用。</explain>
      <paraID>22613A99</paraID>
      <start>14</start>
      <end>15</end>
      <status>unmodified</status>
      <modifiedWord/>
      <trackRevisions>false</trackRevisions>
    </reviewItem>
    <reviewItem>
      <errorID>ec6efbff-449d-4bf8-85b6-65aab0ae85d0</errorID>
      <errorWord>程</errorWord>
      <group>L1_Word</group>
      <groupName>字词问题</groupName>
      <ability>L2_Typo</ability>
      <abilityName>字词错误</abilityName>
      <candidateList>
        <item>程中</item>
      </candidateList>
      <explain/>
      <paraID>22613A99</paraID>
      <start>29</start>
      <end>30</end>
      <status>unmodified</status>
      <modifiedWord/>
      <trackRevisions>false</trackRevisions>
    </reviewItem>
    <reviewItem>
      <errorID>eb7c3a98-86d2-4c96-97df-302a21c68ed1</errorID>
      <errorWord>期</errorWord>
      <group>L1_Word</group>
      <groupName>字词问题</groupName>
      <ability>L2_Typo</ability>
      <abilityName>字词错误</abilityName>
      <candidateList>
        <item>期间</item>
      </candidateList>
      <explain>〈名〉某个时期里面：农忙～｜春节～｜抗战～。</explain>
      <paraID>41391BC4</paraID>
      <start>48</start>
      <end>49</end>
      <status>unmodified</status>
      <modifiedWord/>
      <trackRevisions>false</trackRevisions>
    </reviewItem>
    <reviewItem>
      <errorID>46f0c1f9-b975-40b8-b8ff-c77fe7c52830</errorID>
      <errorWord>泄露</errorWord>
      <group>L1_Word</group>
      <groupName>字词问题</groupName>
      <ability>L2_Typo</ability>
      <abilityName>字词错误</abilityName>
      <candidateList>
        <item>泄漏</item>
      </candidateList>
      <explain>存在发音相同字词的误用。</explain>
      <paraID>557316FD</paraID>
      <start>74</start>
      <end>76</end>
      <status>modified</status>
      <modifiedWord>泄漏</modifiedWord>
      <trackRevisions>false</trackRevisions>
    </reviewItem>
    <reviewItem>
      <errorID>ecd2b3c7-213a-41d5-b935-a9f7cc42d434</errorID>
      <errorWord>涉及到</errorWord>
      <group>L1_Word</group>
      <groupName>字词问题</groupName>
      <ability>L2_Typo</ability>
      <abilityName>字词错误</abilityName>
      <candidateList>
        <item>涉及</item>
      </candidateList>
      <explain>〈动〉牵涉到；关联到：案子～好几个人｜这个问题～面很广。</explain>
      <paraID>4DBE0284</paraID>
      <start>6</start>
      <end>9</end>
      <status>unmodified</status>
      <modifiedWord/>
      <trackRevisions>false</trackRevisions>
    </reviewItem>
    <reviewItem>
      <errorID>b1474e9d-789d-43c6-b424-7f490fd0c83c</errorID>
      <errorWord>型</errorWord>
      <group>L1_Word</group>
      <groupName>字词问题</groupName>
      <ability>L2_Typo</ability>
      <abilityName>字词错误</abilityName>
      <candidateList>
        <item>形</item>
      </candidateList>
      <explain>存在发音相同字词的误用。</explain>
      <paraID>551CB856</paraID>
      <start>51</start>
      <end>52</end>
      <status>unmodified</status>
      <modifiedWord/>
      <trackRevisions>false</trackRevisions>
    </reviewItem>
    <reviewItem>
      <errorID>26a36528-3cbe-4f0f-ac30-114344cfb860</errorID>
      <errorWord>(</errorWord>
      <group>L1_Format</group>
      <groupName>格式问题</groupName>
      <ability>L2_HalfPunc</ability>
      <abilityName>全半角检查</abilityName>
      <candidateList>
        <item>（</item>
      </candidateList>
      <explain>文本全半角错误。</explain>
      <paraID>551CB856</paraID>
      <start>134</start>
      <end>135</end>
      <status>modified</status>
      <modifiedWord>（</modifiedWord>
      <trackRevisions>false</trackRevisions>
    </reviewItem>
    <reviewItem>
      <errorID>60186373-4ead-4828-90ae-3bef3a46c1c9</errorID>
      <errorWord>)</errorWord>
      <group>L1_Format</group>
      <groupName>格式问题</groupName>
      <ability>L2_HalfPunc</ability>
      <abilityName>全半角检查</abilityName>
      <candidateList>
        <item>）</item>
      </candidateList>
      <explain>文本全半角错误。</explain>
      <paraID>2BEC3812</paraID>
      <start>85</start>
      <end>86</end>
      <status>modified</status>
      <modifiedWord>）</modifiedWord>
      <trackRevisions>false</trackRevisions>
    </reviewItem>
    <reviewItem>
      <errorID>a3a2d9fe-1425-48ad-897b-2c632c36a87e</errorID>
      <errorWord>工程控制</errorWord>
      <group>L1_Knowledge</group>
      <groupName>知识性问题</groupName>
      <ability>L2_Term</ability>
      <abilityName>专业术语</abilityName>
      <candidateList>
        <item>过程控制</item>
      </candidateList>
      <explain>通过事先编制的固定程序实现的自动控制。广泛应用于控制各种生产和工艺加工过程。</explain>
      <paraID>19AF5907</paraID>
      <start>97</start>
      <end>101</end>
      <status>unmodified</status>
      <modifiedWord/>
      <trackRevisions>false</trackRevisions>
    </reviewItem>
    <reviewItem>
      <errorID>66432e31-2882-4aaf-93c0-1ae41f9e376a</errorID>
      <errorWord>期</errorWord>
      <group>L1_Word</group>
      <groupName>字词问题</groupName>
      <ability>L2_Typo</ability>
      <abilityName>字词错误</abilityName>
      <candidateList>
        <item>期间</item>
      </candidateList>
      <explain>〈名〉某个时期里面：农忙～｜春节～｜抗战～。</explain>
      <paraID>7842513F</paraID>
      <start>74</start>
      <end>75</end>
      <status>unmodified</status>
      <modifiedWord/>
      <trackRevisions>false</trackRevisions>
    </reviewItem>
    <reviewItem>
      <errorID>52ad631f-6c52-42da-a44b-1a565f348f62</errorID>
      <errorWord>调出</errorWord>
      <group>L1_Word</group>
      <groupName>字词问题</groupName>
      <ability>L2_Typo</ability>
      <abilityName>字词错误</abilityName>
      <candidateList>
        <item>倒出</item>
      </candidateList>
      <explain/>
      <paraID> 52FA04F</paraID>
      <start>30</start>
      <end>32</end>
      <status>unmodified</status>
      <modifiedWord/>
      <trackRevisions>false</trackRevisions>
    </reviewItem>
    <reviewItem>
      <errorID>08bb9187-9854-4ac5-9900-6edf39d87ce5</errorID>
      <errorWord>施工期</errorWord>
      <group>L1_Word</group>
      <groupName>字词问题</groupName>
      <ability>L2_Typo</ability>
      <abilityName>字词错误</abilityName>
      <candidateList>
        <item>施工</item>
      </candidateList>
      <explain>〈动〉按照设计的规格和要求建筑房屋、桥梁、道路、水利工程等。</explain>
      <paraID>154395D7</paraID>
      <start>70</start>
      <end>73</end>
      <status>unmodified</status>
      <modifiedWord/>
      <trackRevisions>false</trackRevisions>
    </reviewItem>
    <reviewItem>
      <errorID>77d7c8e7-54f8-4594-b2d0-d30ee5d1205c</errorID>
      <errorWord>提高</errorWord>
      <group>L1_Word</group>
      <groupName>字词问题</groupName>
      <ability>L2_Typo</ability>
      <abilityName>字词错误</abilityName>
      <candidateList>
        <item>增强</item>
      </candidateList>
      <explain>“提高～意识”搭配不当，建议修改为“增强～意识”。</explain>
      <paraID> DEBF1CA</paraID>
      <start>29</start>
      <end>31</end>
      <status>unmodified</status>
      <modifiedWord/>
      <trackRevisions>false</trackRevisions>
    </reviewItem>
    <reviewItem>
      <errorID>e49eb3b2-c3ec-4f4a-ab27-491955d7d3bd</errorID>
      <errorWord>物质</errorWord>
      <group>L1_Word</group>
      <groupName>字词问题</groupName>
      <ability>L2_Typo</ability>
      <abilityName>字词错误</abilityName>
      <candidateList>
        <item>物资</item>
      </candidateList>
      <explain/>
      <paraID>12860CB5</paraID>
      <start>38</start>
      <end>40</end>
      <status>unmodified</status>
      <modifiedWord/>
      <trackRevisions>false</trackRevisions>
    </reviewItem>
    <reviewItem>
      <errorID>c3ebc683-3f9c-48fb-a13e-f5adf5c678c8</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52C661CF</paraID>
      <start>4</start>
      <end>11</end>
      <status>unmodified</status>
      <modifiedWord/>
      <trackRevisions>false</trackRevisions>
    </reviewItem>
    <reviewItem>
      <errorID>46169f55-f6aa-40fa-922f-ff0f98f4d605</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52C661CF</paraID>
      <start>37</start>
      <end>44</end>
      <status>unmodified</status>
      <modifiedWord/>
      <trackRevisions>false</trackRevisions>
    </reviewItem>
    <reviewItem>
      <errorID>872dabee-3155-4952-ab53-340d000da1f7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 C020BF1</paraID>
      <start>7</start>
      <end>14</end>
      <status>unmodified</status>
      <modifiedWord/>
      <trackRevisions>false</trackRevisions>
    </reviewItem>
    <reviewItem>
      <errorID>accbc08e-9f3e-4bf6-9cc6-1831e70c8c58</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 C020BF1</paraID>
      <start>40</start>
      <end>47</end>
      <status>unmodified</status>
      <modifiedWord/>
      <trackRevisions>false</trackRevisions>
    </reviewItem>
    <reviewItem>
      <errorID>c971aa56-5258-4b1d-adac-df3c74a8006d</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1F086519</paraID>
      <start>9</start>
      <end>16</end>
      <status>unmodified</status>
      <modifiedWord/>
      <trackRevisions>false</trackRevisions>
    </reviewItem>
    <reviewItem>
      <errorID>53d2fd55-8636-491b-b4b0-96ef65931d28</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1F086519</paraID>
      <start>42</start>
      <end>49</end>
      <status>unmodified</status>
      <modifiedWord/>
      <trackRevisions>false</trackRevisions>
    </reviewItem>
    <reviewItem>
      <errorID>958c64ee-2e4c-4ff9-80d8-274478e24327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384C4313</paraID>
      <start>12</start>
      <end>19</end>
      <status>unmodified</status>
      <modifiedWord/>
      <trackRevisions>false</trackRevisions>
    </reviewItem>
    <reviewItem>
      <errorID>3d01a5ac-25c2-4b94-9588-12199bbf2f0e</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384C4313</paraID>
      <start>52</start>
      <end>59</end>
      <status>unmodified</status>
      <modifiedWord/>
      <trackRevisions>false</trackRevisions>
    </reviewItem>
    <reviewItem>
      <errorID>59537a70-5399-4d4d-a05d-1a1992b2d618</errorID>
      <errorWord>区</errorWord>
      <group>L1_Word</group>
      <groupName>字词问题</groupName>
      <ability>L2_Typo</ability>
      <abilityName>字词错误</abilityName>
      <candidateList>
        <item>区规</item>
      </candidateList>
      <explain/>
      <paraID>563439D7</paraID>
      <start>72</start>
      <end>73</end>
      <status>unmodified</status>
      <modifiedWord/>
      <trackRevisions>false</trackRevisions>
    </reviewItem>
    <reviewItem>
      <errorID>1be91243-eea8-415a-9c07-564246e1868d</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563439D7</paraID>
      <start>85</start>
      <end>95</end>
      <status>unmodified</status>
      <modifiedWord/>
      <trackRevisions>false</trackRevisions>
    </reviewItem>
    <reviewItem>
      <errorID>c4310c4f-b82c-409a-824a-d45fbc784121</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563439D7</paraID>
      <start>108</start>
      <end>118</end>
      <status>unmodified</status>
      <modifiedWord/>
      <trackRevisions>false</trackRevisions>
    </reviewItem>
    <reviewItem>
      <errorID>3beb8aee-2030-4c5a-8063-7991f64bd86d</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563439D7</paraID>
      <start>215</start>
      <end>225</end>
      <status>unmodified</status>
      <modifiedWord/>
      <trackRevisions>false</trackRevisions>
    </reviewItem>
    <reviewItem>
      <errorID>0e054e9f-d5d3-41ef-83e8-74a09941570d</errorID>
      <errorWord>“</errorWord>
      <group>L1_Punc</group>
      <groupName>标点问题</groupName>
      <ability>L2_Punc</ability>
      <abilityName>标点符号检查</abilityName>
      <candidateList/>
      <explain/>
      <paraID>30257B03</paraID>
      <start>21</start>
      <end>22</end>
      <status>unmodified</status>
      <modifiedWord/>
      <trackRevisions>false</trackRevisions>
    </reviewItem>
    <reviewItem>
      <errorID>4578a0ba-caa9-413e-94c3-b144afc445e9</errorID>
      <errorWord>……等</errorWord>
      <group>L1_Punc</group>
      <groupName>标点问题</groupName>
      <ability>L2_Punc</ability>
      <abilityName>标点符号检查</abilityName>
      <candidateList>
        <item>等</item>
      </candidateList>
      <explain>〈助〉❶〈书〉用在人称代词或指人的名词后面，表示复数：我～｜彼～。❷表示列举未尽（可以叠用）：北京、天津～地｜纸张文具～～。❸列举后煞尾：长江、黄河、黑龙江、珠江～四大河流。</explain>
      <paraID>30257B03</paraID>
      <start>22</start>
      <end>25</end>
      <status>unmodified</status>
      <modifiedWord/>
      <trackRevisions>false</trackRevisions>
    </reviewItem>
    <reviewItem>
      <errorID>371fc5b5-07b2-41b2-be57-fade6547f83e</errorID>
      <errorWord>期</errorWord>
      <group>L1_Word</group>
      <groupName>字词问题</groupName>
      <ability>L2_Typo</ability>
      <abilityName>字词错误</abilityName>
      <candidateList>
        <item>期间</item>
      </candidateList>
      <explain>〈名〉某个时期里面：农忙～｜春节～｜抗战～。</explain>
      <paraID>7F0D5126</paraID>
      <start>2</start>
      <end>3</end>
      <status>unmodified</status>
      <modifiedWord/>
      <trackRevisions>false</trackRevisions>
    </reviewItem>
    <reviewItem>
      <errorID>a1b7f816-0463-4473-b81d-6b60700b80c9</errorID>
      <errorWord>乱取</errorWord>
      <group>L1_Word</group>
      <groupName>字词问题</groupName>
      <ability>L2_Typo</ability>
      <abilityName>字词错误</abilityName>
      <candidateList>
        <item>滥取</item>
      </candidateList>
      <explain/>
      <paraID>16BD270D</paraID>
      <start>196</start>
      <end>198</end>
      <status>unmodified</status>
      <modifiedWord/>
      <trackRevisions>false</trackRevisions>
    </reviewItem>
    <reviewItem>
      <errorID>59adb7f8-bff2-4f92-bbf5-9eba5efc0579</errorID>
      <errorWord>步</errorWord>
      <group>L1_Word</group>
      <groupName>字词问题</groupName>
      <ability>L2_Typo</ability>
      <abilityName>字词错误</abilityName>
      <candidateList>
        <item>步推</item>
      </candidateList>
      <explain/>
      <paraID>2B2F1E90</paraID>
      <start>37</start>
      <end>38</end>
      <status>unmodified</status>
      <modifiedWord/>
      <trackRevisions>false</trackRevisions>
    </reviewItem>
    <reviewItem>
      <errorID>c91c22f1-3c8b-4df5-89c5-b3a86bc46e90</errorID>
      <errorWord>境</errorWord>
      <group>L1_Word</group>
      <groupName>字词问题</groupName>
      <ability>L2_Typo</ability>
      <abilityName>字词错误</abilityName>
      <candidateList>
        <item>境形</item>
      </candidateList>
      <explain/>
      <paraID>3148996C</paraID>
      <start>58</start>
      <end>59</end>
      <status>unmodified</status>
      <modifiedWord/>
      <trackRevisions>false</trackRevisions>
    </reviewItem>
    <reviewItem>
      <errorID>8f588de2-5285-4b0b-88a0-f7325ed421b2</errorID>
      <errorWord>境</errorWord>
      <group>L1_Word</group>
      <groupName>字词问题</groupName>
      <ability>L2_Typo</ability>
      <abilityName>字词错误</abilityName>
      <candidateList>
        <item>境形</item>
      </candidateList>
      <explain/>
      <paraID>3510693B</paraID>
      <start>36</start>
      <end>37</end>
      <status>unmodified</status>
      <modifiedWord/>
      <trackRevisions>false</trackRevisions>
    </reviewItem>
    <reviewItem>
      <errorID>979ad781-073b-4b1a-99b5-cde83609e71f</errorID>
      <errorWord>程</errorWord>
      <group>L1_Word</group>
      <groupName>字词问题</groupName>
      <ability>L2_Typo</ability>
      <abilityName>字词错误</abilityName>
      <candidateList>
        <item>程中</item>
      </candidateList>
      <explain/>
      <paraID>71534C83</paraID>
      <start>16</start>
      <end>17</end>
      <status>unmodified</status>
      <modifiedWord/>
      <trackRevisions>false</trackRevisions>
    </reviewItem>
    <reviewItem>
      <errorID>573d9728-609b-4575-b573-17bce20de4dd</errorID>
      <errorWord>工程污染物</errorWord>
      <group>L1_Knowledge</group>
      <groupName>知识性问题</groupName>
      <ability>L2_Term</ability>
      <abilityName>专业术语</abilityName>
      <candidateList>
        <item>工业污染物</item>
      </candidateList>
      <explain/>
      <paraID>71DAA18B</paraID>
      <start>32</start>
      <end>37</end>
      <status>unmodified</status>
      <modifiedWord/>
      <trackRevisions>false</trackRevisions>
    </reviewItem>
    <reviewItem>
      <errorID>182027d1-602e-4a73-863a-26fe062b5cdf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4B13DD7E</paraID>
      <start>0</start>
      <end>2</end>
      <status>modified</status>
      <modifiedWord>5.</modifiedWord>
      <trackRevisions>false</trackRevisions>
    </reviewItem>
    <reviewItem>
      <errorID>2d0b77ee-8183-490e-aa3e-2bdb68b63c9a</errorID>
      <errorWord>提高</errorWord>
      <group>L1_Word</group>
      <groupName>字词问题</groupName>
      <ability>L2_Typo</ability>
      <abilityName>字词错误</abilityName>
      <candidateList>
        <item>增强</item>
      </candidateList>
      <explain>“提高～意识”搭配不当，建议修改为“增强～意识”。</explain>
      <paraID>  25AFEC</paraID>
      <start>11</start>
      <end>13</end>
      <status>modified</status>
      <modifiedWord>增强</modifiedWord>
      <trackRevisions>false</trackRevisions>
    </reviewItem>
    <reviewItem>
      <errorID>764092d9-e890-48dd-8045-3e6f3d95add6</errorID>
      <errorWord>保护</errorWord>
      <group>L1_Word</group>
      <groupName>字词问题</groupName>
      <ability>L2_Typo</ability>
      <abilityName>字词错误</abilityName>
      <candidateList>
        <item>维护</item>
      </candidateList>
      <explain>“保护～稳定”搭配不当，建议修改为“维护～稳定”。</explain>
      <paraID>506C53D0</paraID>
      <start>318</start>
      <end>320</end>
      <status>unmodified</status>
      <modifiedWord/>
      <trackRevisions>false</trackRevisions>
    </reviewItem>
    <reviewItem>
      <errorID>dec6ef9e-366d-4ba3-8e0f-7035712e708f</errorID>
      <errorWord>草地植物</errorWord>
      <group>L1_Knowledge</group>
      <groupName>知识性问题</groupName>
      <ability>L2_Term</ability>
      <abilityName>专业术语</abilityName>
      <candidateList>
        <item>草本植物</item>
      </candidateList>
      <explain/>
      <paraID>3CE12F89</paraID>
      <start>186</start>
      <end>190</end>
      <status>unmodified</status>
      <modifiedWord/>
      <trackRevisions>false</trackRevisions>
    </reviewItem>
    <reviewItem>
      <errorID>db8c5a8e-606c-4f2b-8951-1f5b1da9f256</errorID>
      <errorWord>工程有</errorWord>
      <group>L1_Word</group>
      <groupName>字词问题</groupName>
      <ability>L2_Typo</ability>
      <abilityName>字词错误</abilityName>
      <candidateList>
        <item>工程</item>
      </candidateList>
      <explain/>
      <paraID>6CA0CD76</paraID>
      <start>1</start>
      <end>4</end>
      <status>unmodified</status>
      <modifiedWord/>
      <trackRevisions>false</trackRevisions>
    </reviewItem>
    <reviewItem>
      <errorID>b70d2e37-61a3-44c8-85dc-bf4fc7f4c922</errorID>
      <errorWord>仅</errorWord>
      <group>L1_Word</group>
      <groupName>字词问题</groupName>
      <ability>L2_Typo</ability>
      <abilityName>字词错误</abilityName>
      <candidateList>
        <item>经</item>
      </candidateList>
      <explain>存在发音相近字词的误用。</explain>
      <paraID>7451617E</paraID>
      <start>14</start>
      <end>15</end>
      <status>unmodified</status>
      <modifiedWord/>
      <trackRevisions>false</trackRevisions>
    </reviewItem>
    <reviewItem>
      <errorID>ec6efbff-449d-4bf8-85b6-65aab0ae85d0</errorID>
      <errorWord>程</errorWord>
      <group>L1_Word</group>
      <groupName>字词问题</groupName>
      <ability>L2_Typo</ability>
      <abilityName>字词错误</abilityName>
      <candidateList>
        <item>程中</item>
      </candidateList>
      <explain/>
      <paraID>7451617E</paraID>
      <start>29</start>
      <end>30</end>
      <status>unmodified</status>
      <modifiedWord/>
      <trackRevisions>false</trackRevisions>
    </reviewItem>
    <reviewItem>
      <errorID>f9827980-34f0-4d1c-92c5-2c1caf2bd83a</errorID>
      <errorWord>（</errorWord>
      <group>L1_Punc</group>
      <groupName>标点问题</groupName>
      <ability>L2_Punc</ability>
      <abilityName>标点符号检查</abilityName>
      <candidateList>
        <item/>
      </candidateList>
      <explain>同一形式括号套用。</explain>
      <paraID>7E2C98C6</paraID>
      <start>83</start>
      <end>84</end>
      <status>unmodified</status>
      <modifiedWord/>
      <trackRevisions>false</trackRevisions>
    </reviewItem>
    <reviewItem>
      <errorID>5b3478b9-3a8f-41af-9381-7a3aebd9e289</errorID>
      <errorWord>(</errorWord>
      <group>L1_Punc</group>
      <groupName>标点问题</groupName>
      <ability>L2_Punc</ability>
      <abilityName>标点符号检查</abilityName>
      <candidateList/>
      <explain>同一形式括号套用。</explain>
      <paraID>7E2C98C6</paraID>
      <start>94</start>
      <end>95</end>
      <status>unmodified</status>
      <modifiedWord/>
      <trackRevisions>false</trackRevisions>
    </reviewItem>
    <reviewItem>
      <errorID>a6336272-0450-4896-bfa2-500f61ff84eb</errorID>
      <errorWord>)</errorWord>
      <group>L1_Punc</group>
      <groupName>标点问题</groupName>
      <ability>L2_Punc</ability>
      <abilityName>标点符号检查</abilityName>
      <candidateList/>
      <explain>同一形式括号套用。</explain>
      <paraID>7E2C98C6</paraID>
      <start>96</start>
      <end>97</end>
      <status>unmodified</status>
      <modifiedWord/>
      <trackRevisions>false</trackRevisions>
    </reviewItem>
    <reviewItem>
      <errorID>37fcf568-8ab0-411c-8b9f-05849476272a</errorID>
      <errorWord>）</errorWord>
      <group>L1_Punc</group>
      <groupName>标点问题</groupName>
      <ability>L2_Punc</ability>
      <abilityName>标点符号检查</abilityName>
      <candidateList/>
      <explain>同一形式括号套用。</explain>
      <paraID>7E2C98C6</paraID>
      <start>97</start>
      <end>98</end>
      <status>unmodified</status>
      <modifiedWord/>
      <trackRevisions>false</trackRevisions>
    </reviewItem>
    <reviewItem>
      <errorID>69ac78a7-1911-4717-b469-d845e0c69fe4</errorID>
      <errorWord>期</errorWord>
      <group>L1_Word</group>
      <groupName>字词问题</groupName>
      <ability>L2_Typo</ability>
      <abilityName>字词错误</abilityName>
      <candidateList>
        <item>期间</item>
      </candidateList>
      <explain>〈名〉某个时期里面：农忙～｜春节～｜抗战～。</explain>
      <paraID>64FF8554</paraID>
      <start>5</start>
      <end>6</end>
      <status>unmodified</status>
      <modifiedWord/>
      <trackRevisions>false</trackRevisions>
    </reviewItem>
    <reviewItem>
      <errorID>19473745-b6c2-49bc-819f-bbba1956fbf8</errorID>
      <errorWord>影</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69D743B0</paraID>
      <start>59</start>
      <end>60</end>
      <status>unmodified</status>
      <modifiedWord/>
      <trackRevisions>false</trackRevisions>
    </reviewItem>
    <reviewItem>
      <errorID>8c381976-f86f-4559-85af-20570694510e</errorID>
      <errorWord>施工营</errorWord>
      <group>L1_Word</group>
      <groupName>字词问题</groupName>
      <ability>L2_Typo</ability>
      <abilityName>字词错误</abilityName>
      <candidateList>
        <item>施工场</item>
      </candidateList>
      <explain/>
      <paraID>2FEBC6F7</paraID>
      <start>0</start>
      <end>3</end>
      <status>unmodified</status>
      <modifiedWord/>
      <trackRevisions>false</trackRevisions>
    </reviewItem>
    <reviewItem>
      <errorID>ef57b093-676f-4db1-ae1d-17f1f4756b09</errorID>
      <errorWord>监测报告</errorWord>
      <group>L1_Word</group>
      <groupName>字词问题</groupName>
      <ability>L2_Typo</ability>
      <abilityName>字词错误</abilityName>
      <candidateList>
        <item>检测报告</item>
      </candidateList>
      <explain/>
      <paraID>6BCC630F</paraID>
      <start>8</start>
      <end>12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0613e8-c9af-4fa7-8529-3eefabf6bc45}">
  <ds:schemaRefs/>
</ds:datastoreItem>
</file>

<file path=docProps/app.xml><?xml version="1.0" encoding="utf-8"?>
<Properties xmlns="http://schemas.openxmlformats.org/officeDocument/2006/extended-properties" xmlns:vt="http://schemas.openxmlformats.org/officeDocument/2006/docPropsVTypes">
  <Template>Normal</Template>
  <Pages>208</Pages>
  <Words>48956</Words>
  <Characters>60822</Characters>
  <Lines>1</Lines>
  <Paragraphs>1</Paragraphs>
  <TotalTime>21</TotalTime>
  <ScaleCrop>false</ScaleCrop>
  <LinksUpToDate>false</LinksUpToDate>
  <CharactersWithSpaces>61906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2023-07-25T01:06:00Z</dcterms:created>
  <dc:creator>Administrator</dc:creator>
  <cp:lastModifiedBy>斑马不吃萝卜</cp:lastModifiedBy>
  <dcterms:modified xsi:type="dcterms:W3CDTF">2026-02-02T01:29:51Z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A239C94378684878A833BEC763D69543_13</vt:lpwstr>
  </property>
  <property fmtid="{D5CDD505-2E9C-101B-9397-08002B2CF9AE}" pid="4" name="KSOTemplateDocerSaveRecord">
    <vt:lpwstr>eyJoZGlkIjoiMmM2ODZmMDlmMzMzNGFhODk3ZmQwYzY0OTM2ZjhlNmEiLCJ1c2VySWQiOiIyNDM1ODkxMDEifQ==</vt:lpwstr>
  </property>
</Properties>
</file>